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4,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BWX TECHNOLOGIES,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w:t>
      </w:r>
    </w:p>
    <w:p>
      <w:pPr>
        <w:spacing w:after="0" w:line="351"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3160" w:type="dxa"/>
            <w:vAlign w:val="bottom"/>
          </w:tcPr>
          <w:p>
            <w:pPr>
              <w:jc w:val="center"/>
              <w:ind w:right="7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6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001-34658</w:t>
            </w:r>
          </w:p>
        </w:tc>
        <w:tc>
          <w:tcPr>
            <w:tcW w:w="21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80-0558025</w:t>
            </w:r>
          </w:p>
        </w:tc>
      </w:tr>
      <w:tr>
        <w:trPr>
          <w:trHeight w:val="193"/>
        </w:trPr>
        <w:tc>
          <w:tcPr>
            <w:tcW w:w="3160" w:type="dxa"/>
            <w:vAlign w:val="bottom"/>
          </w:tcPr>
          <w:p>
            <w:pPr>
              <w:jc w:val="center"/>
              <w:ind w:right="7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66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160" w:type="dxa"/>
            <w:vAlign w:val="bottom"/>
          </w:tcPr>
          <w:p>
            <w:pPr>
              <w:jc w:val="center"/>
              <w:ind w:left="96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16"/>
        </w:trPr>
        <w:tc>
          <w:tcPr>
            <w:tcW w:w="3160" w:type="dxa"/>
            <w:vAlign w:val="bottom"/>
          </w:tcPr>
          <w:p>
            <w:pPr>
              <w:jc w:val="center"/>
              <w:ind w:right="7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66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60" w:type="dxa"/>
            <w:vAlign w:val="bottom"/>
          </w:tcPr>
          <w:p>
            <w:pPr>
              <w:jc w:val="center"/>
              <w:ind w:left="9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2"/>
        </w:trPr>
        <w:tc>
          <w:tcPr>
            <w:tcW w:w="3160" w:type="dxa"/>
            <w:vAlign w:val="bottom"/>
          </w:tcPr>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800 Main Street, 4th Floor</w:t>
            </w:r>
          </w:p>
        </w:tc>
        <w:tc>
          <w:tcPr>
            <w:tcW w:w="26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5"/>
        </w:trPr>
        <w:tc>
          <w:tcPr>
            <w:tcW w:w="3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Lynchburg,  Virginia</w:t>
            </w:r>
          </w:p>
        </w:tc>
        <w:tc>
          <w:tcPr>
            <w:tcW w:w="2660" w:type="dxa"/>
            <w:vAlign w:val="bottom"/>
          </w:tcPr>
          <w:p>
            <w:pPr>
              <w:spacing w:after="0"/>
              <w:rPr>
                <w:sz w:val="21"/>
                <w:szCs w:val="21"/>
                <w:color w:val="auto"/>
              </w:rPr>
            </w:pPr>
          </w:p>
        </w:tc>
        <w:tc>
          <w:tcPr>
            <w:tcW w:w="21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24504</w:t>
            </w:r>
          </w:p>
        </w:tc>
      </w:tr>
      <w:tr>
        <w:trPr>
          <w:trHeight w:val="190"/>
        </w:trPr>
        <w:tc>
          <w:tcPr>
            <w:tcW w:w="3160" w:type="dxa"/>
            <w:vAlign w:val="bottom"/>
          </w:tcPr>
          <w:p>
            <w:pPr>
              <w:jc w:val="center"/>
              <w:ind w:right="7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spacing w:after="0"/>
              <w:rPr>
                <w:sz w:val="16"/>
                <w:szCs w:val="16"/>
                <w:color w:val="auto"/>
              </w:rPr>
            </w:pPr>
          </w:p>
        </w:tc>
        <w:tc>
          <w:tcPr>
            <w:tcW w:w="2160" w:type="dxa"/>
            <w:vAlign w:val="bottom"/>
          </w:tcPr>
          <w:p>
            <w:pPr>
              <w:jc w:val="center"/>
              <w:ind w:left="9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(980) 365-4300</w:t>
      </w:r>
    </w:p>
    <w:p>
      <w:pPr>
        <w:spacing w:after="0" w:line="2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w:t>
      </w:r>
    </w:p>
    <w:p>
      <w:pPr>
        <w:spacing w:after="0" w:line="19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40" w:hanging="30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40" w:hanging="30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40" w:hanging="30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40" w:hanging="30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80" w:type="dxa"/>
            <w:vAlign w:val="bottom"/>
          </w:tcPr>
          <w:p>
            <w:pPr>
              <w:spacing w:after="0"/>
              <w:rPr>
                <w:sz w:val="18"/>
                <w:szCs w:val="18"/>
                <w:color w:val="auto"/>
              </w:rPr>
            </w:pPr>
          </w:p>
        </w:tc>
        <w:tc>
          <w:tcPr>
            <w:tcW w:w="2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28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60" w:type="dxa"/>
            <w:vAlign w:val="bottom"/>
          </w:tcPr>
          <w:p>
            <w:pPr>
              <w:spacing w:after="0"/>
              <w:rPr>
                <w:sz w:val="24"/>
                <w:szCs w:val="24"/>
                <w:color w:val="auto"/>
              </w:rPr>
            </w:pPr>
          </w:p>
        </w:tc>
        <w:tc>
          <w:tcPr>
            <w:tcW w:w="19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BWXT</w:t>
            </w:r>
          </w:p>
        </w:tc>
        <w:tc>
          <w:tcPr>
            <w:tcW w:w="5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8" w:lineRule="exact"/>
        <w:rPr>
          <w:sz w:val="24"/>
          <w:szCs w:val="24"/>
          <w:color w:val="auto"/>
        </w:rPr>
      </w:pPr>
    </w:p>
    <w:p>
      <w:pPr>
        <w:ind w:left="7920"/>
        <w:spacing w:after="0" w:line="207" w:lineRule="exact"/>
        <w:tabs>
          <w:tab w:leader="none" w:pos="100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On May 4, 2026, we issued a press release announcing our financial results for the first quarter ended March 31, 2026. A copy of the press release is attached as Exhibit 99.1, and the information contained in Exhibit 99.1 is incorporated by reference.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to be "filed" for the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Earnings Release dated May 4, 2026.</w:t>
            </w:r>
          </w:p>
        </w:tc>
        <w:tc>
          <w:tcPr>
            <w:tcW w:w="3840" w:type="dxa"/>
            <w:vAlign w:val="bottom"/>
          </w:tcPr>
          <w:p>
            <w:pPr>
              <w:spacing w:after="0"/>
              <w:rPr>
                <w:sz w:val="17"/>
                <w:szCs w:val="17"/>
                <w:color w:val="auto"/>
              </w:rPr>
            </w:pPr>
          </w:p>
        </w:tc>
      </w:tr>
      <w:tr>
        <w:trPr>
          <w:trHeight w:val="35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56"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333" w:lineRule="exact"/>
        <w:rPr>
          <w:sz w:val="20"/>
          <w:szCs w:val="20"/>
          <w:color w:val="auto"/>
        </w:rPr>
      </w:pPr>
    </w:p>
    <w:p>
      <w:pPr>
        <w:ind w:left="5900"/>
        <w:spacing w:after="0"/>
        <w:tabs>
          <w:tab w:leader="none" w:pos="6320" w:val="left"/>
        </w:tabs>
        <w:rPr>
          <w:sz w:val="20"/>
          <w:szCs w:val="20"/>
          <w:color w:val="auto"/>
        </w:rPr>
      </w:pPr>
      <w:r>
        <w:rPr>
          <w:rFonts w:ascii="Times New Roman" w:cs="Times New Roman" w:eastAsia="Times New Roman" w:hAnsi="Times New Roman"/>
          <w:sz w:val="18"/>
          <w:szCs w:val="18"/>
          <w:color w:val="auto"/>
        </w:rPr>
        <w:t>By:</w:t>
        <w:tab/>
        <w:t>/s/ Kevin J.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2460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4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Kevin J. Gorman</w:t>
      </w:r>
    </w:p>
    <w:p>
      <w:pPr>
        <w:spacing w:after="0" w:line="33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4, 2026</w:t>
      </w:r>
    </w:p>
    <w:p>
      <w:pPr>
        <w:sectPr>
          <w:pgSz w:w="11900" w:h="16838" w:orient="portrait"/>
          <w:cols w:equalWidth="0" w:num="1">
            <w:col w:w="11200"/>
          </w:cols>
          <w:pgMar w:left="320" w:top="887" w:right="3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995160" cy="1156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995160"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BWX Technologies Reports First Quarter 2026 Results</w:t>
      </w:r>
    </w:p>
    <w:p>
      <w:pPr>
        <w:spacing w:after="0" w:line="12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20"/>
          <w:szCs w:val="20"/>
          <w:color w:val="auto"/>
        </w:rPr>
      </w:pPr>
      <w:r>
        <w:rPr>
          <w:rFonts w:ascii="Arial" w:cs="Arial" w:eastAsia="Arial" w:hAnsi="Arial"/>
          <w:sz w:val="20"/>
          <w:szCs w:val="20"/>
          <w:color w:val="auto"/>
        </w:rPr>
        <w:t>1Q26 revenues of $860.2 million</w:t>
      </w:r>
    </w:p>
    <w:p>
      <w:pPr>
        <w:spacing w:after="0" w:line="107" w:lineRule="exact"/>
        <w:rPr>
          <w:rFonts w:ascii="Arial" w:cs="Arial" w:eastAsia="Arial" w:hAnsi="Arial"/>
          <w:sz w:val="20"/>
          <w:szCs w:val="20"/>
          <w:color w:val="auto"/>
        </w:rPr>
      </w:pPr>
    </w:p>
    <w:p>
      <w:pPr>
        <w:ind w:left="240" w:hanging="232"/>
        <w:spacing w:after="0"/>
        <w:tabs>
          <w:tab w:leader="none" w:pos="240" w:val="left"/>
        </w:tabs>
        <w:numPr>
          <w:ilvl w:val="0"/>
          <w:numId w:val="3"/>
        </w:numPr>
        <w:rPr>
          <w:rFonts w:ascii="Arial" w:cs="Arial" w:eastAsia="Arial" w:hAnsi="Arial"/>
          <w:sz w:val="20"/>
          <w:szCs w:val="20"/>
          <w:color w:val="auto"/>
        </w:rPr>
      </w:pPr>
      <w:r>
        <w:rPr>
          <w:rFonts w:ascii="Arial" w:cs="Arial" w:eastAsia="Arial" w:hAnsi="Arial"/>
          <w:sz w:val="20"/>
          <w:szCs w:val="20"/>
          <w:color w:val="auto"/>
        </w:rPr>
        <w:t>1Q26 net income of $91.2 million,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$148.0 million</w:t>
      </w:r>
    </w:p>
    <w:p>
      <w:pPr>
        <w:spacing w:after="0" w:line="63" w:lineRule="exact"/>
        <w:rPr>
          <w:rFonts w:ascii="Arial" w:cs="Arial" w:eastAsia="Arial" w:hAnsi="Arial"/>
          <w:sz w:val="20"/>
          <w:szCs w:val="20"/>
          <w:color w:val="auto"/>
        </w:rPr>
      </w:pPr>
    </w:p>
    <w:p>
      <w:pPr>
        <w:ind w:left="240" w:hanging="232"/>
        <w:spacing w:after="0"/>
        <w:tabs>
          <w:tab w:leader="none" w:pos="240" w:val="left"/>
        </w:tabs>
        <w:numPr>
          <w:ilvl w:val="0"/>
          <w:numId w:val="3"/>
        </w:numPr>
        <w:rPr>
          <w:rFonts w:ascii="Arial" w:cs="Arial" w:eastAsia="Arial" w:hAnsi="Arial"/>
          <w:sz w:val="20"/>
          <w:szCs w:val="20"/>
          <w:color w:val="auto"/>
        </w:rPr>
      </w:pPr>
      <w:r>
        <w:rPr>
          <w:rFonts w:ascii="Arial" w:cs="Arial" w:eastAsia="Arial" w:hAnsi="Arial"/>
          <w:sz w:val="20"/>
          <w:szCs w:val="20"/>
          <w:color w:val="auto"/>
        </w:rPr>
        <w:t>1Q26 diluted GAAP EPS of $0.99, non-GAAP</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EPS of $1.12</w:t>
      </w:r>
    </w:p>
    <w:p>
      <w:pPr>
        <w:spacing w:after="0" w:line="56" w:lineRule="exact"/>
        <w:rPr>
          <w:rFonts w:ascii="Arial" w:cs="Arial" w:eastAsia="Arial" w:hAnsi="Arial"/>
          <w:sz w:val="20"/>
          <w:szCs w:val="20"/>
          <w:color w:val="auto"/>
        </w:rPr>
      </w:pPr>
    </w:p>
    <w:p>
      <w:pPr>
        <w:ind w:left="260" w:right="840" w:hanging="252"/>
        <w:spacing w:after="0" w:line="279" w:lineRule="auto"/>
        <w:tabs>
          <w:tab w:leader="none" w:pos="248" w:val="left"/>
        </w:tabs>
        <w:numPr>
          <w:ilvl w:val="0"/>
          <w:numId w:val="3"/>
        </w:numPr>
        <w:rPr>
          <w:rFonts w:ascii="Arial" w:cs="Arial" w:eastAsia="Arial" w:hAnsi="Arial"/>
          <w:sz w:val="20"/>
          <w:szCs w:val="20"/>
          <w:color w:val="auto"/>
        </w:rPr>
      </w:pPr>
      <w:r>
        <w:rPr>
          <w:rFonts w:ascii="Arial" w:cs="Arial" w:eastAsia="Arial" w:hAnsi="Arial"/>
          <w:sz w:val="20"/>
          <w:szCs w:val="20"/>
          <w:color w:val="auto"/>
        </w:rPr>
        <w:t>Announced the acquisition of Precision Components Group, LLC (PCG), establishing a footprint for U.S. commercial nuclear component manufacturing</w:t>
      </w:r>
    </w:p>
    <w:p>
      <w:pPr>
        <w:spacing w:after="0" w:line="40" w:lineRule="exact"/>
        <w:rPr>
          <w:rFonts w:ascii="Arial" w:cs="Arial" w:eastAsia="Arial" w:hAnsi="Arial"/>
          <w:sz w:val="20"/>
          <w:szCs w:val="20"/>
          <w:color w:val="auto"/>
        </w:rPr>
      </w:pPr>
    </w:p>
    <w:p>
      <w:pPr>
        <w:ind w:left="260" w:right="620" w:hanging="252"/>
        <w:spacing w:after="0" w:line="249" w:lineRule="auto"/>
        <w:tabs>
          <w:tab w:leader="none" w:pos="248" w:val="left"/>
        </w:tabs>
        <w:numPr>
          <w:ilvl w:val="0"/>
          <w:numId w:val="3"/>
        </w:numPr>
        <w:rPr>
          <w:rFonts w:ascii="Arial" w:cs="Arial" w:eastAsia="Arial" w:hAnsi="Arial"/>
          <w:sz w:val="20"/>
          <w:szCs w:val="20"/>
          <w:color w:val="auto"/>
        </w:rPr>
      </w:pPr>
      <w:r>
        <w:rPr>
          <w:rFonts w:ascii="Arial" w:cs="Arial" w:eastAsia="Arial" w:hAnsi="Arial"/>
          <w:sz w:val="20"/>
          <w:szCs w:val="20"/>
          <w:color w:val="auto"/>
        </w:rPr>
        <w:t>Raising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guidance to $650 million-$665 million, non-GAAP EPS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guidance to $4.60-$4.75, and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guidance to $315 million-$330 million</w:t>
      </w:r>
    </w:p>
    <w:p>
      <w:pPr>
        <w:spacing w:after="0" w:line="200" w:lineRule="exact"/>
        <w:rPr>
          <w:sz w:val="20"/>
          <w:szCs w:val="20"/>
          <w:color w:val="auto"/>
        </w:rPr>
      </w:pPr>
    </w:p>
    <w:p>
      <w:pPr>
        <w:spacing w:after="0" w:line="255" w:lineRule="exact"/>
        <w:rPr>
          <w:sz w:val="20"/>
          <w:szCs w:val="20"/>
          <w:color w:val="auto"/>
        </w:rPr>
      </w:pPr>
    </w:p>
    <w:p>
      <w:pPr>
        <w:ind w:right="360"/>
        <w:spacing w:after="0" w:line="271" w:lineRule="auto"/>
        <w:rPr>
          <w:sz w:val="20"/>
          <w:szCs w:val="20"/>
          <w:color w:val="auto"/>
        </w:rPr>
      </w:pPr>
      <w:r>
        <w:rPr>
          <w:rFonts w:ascii="Arial" w:cs="Arial" w:eastAsia="Arial" w:hAnsi="Arial"/>
          <w:sz w:val="20"/>
          <w:szCs w:val="20"/>
          <w:color w:val="auto"/>
        </w:rPr>
        <w:t>(LYNCHBURG, Va. - May. 4, 2026) BWX Technologies, Inc. (NYSE: BWXT) ("BWXT", "we", "us" or the "Company") reported first quarter 2026 results. A reconciliation of non-GAAP results is detailed in Exhibit 1.</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started 2026 with strong results,” said Rex D. Geveden president and chief executive officer. “Our first quarter results were driven by pacing of work, higher throughput and improved operating performance as we executed on our robust backlog and pursued new opportunities across our global security, commercial power, and nuclear medicine markets.”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“Investment in global nuclear markets is accelerating and demand for BWXT’s innovative nuclear solutions is growing rapidly,” continued Geveden. “As highlighted by the recent announcement of the PCG acquisition, BWXT’s first step in establishing U.S.-based commercial nuclear manufacturing capacity, we are committed to strategically deploying capital, both organically and inorganically, to bolster our industrial scale to meet the needs of these exciting markets and drive value creation for our shareholders.”</w:t>
      </w:r>
    </w:p>
    <w:p>
      <w:pPr>
        <w:spacing w:after="0" w:line="214"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“Given our strong first quarter results, robust backlog, and optimistic market outlook, we are raising our 2026 financial guidance,” said Geveden. “We now anticipate 2026 adjusted EBITDA of $650 million-$665 million, non-GAAP EPS of $4.60-$4.75, and $315 million-$330 million of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8"/>
        <w:spacing w:after="0" w:line="286" w:lineRule="auto"/>
        <w:tabs>
          <w:tab w:leader="none" w:pos="268" w:val="left"/>
        </w:tabs>
        <w:numPr>
          <w:ilvl w:val="0"/>
          <w:numId w:val="4"/>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i w:val="1"/>
          <w:iCs w:val="1"/>
          <w:color w:val="auto"/>
        </w:rPr>
        <w:t>Financial Results Summary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3"/>
          </w:tcPr>
          <w:p>
            <w:pPr>
              <w:jc w:val="right"/>
              <w:ind w:right="343"/>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4"/>
        </w:trPr>
        <w:tc>
          <w:tcPr>
            <w:tcW w:w="5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 Change</w:t>
            </w:r>
          </w:p>
        </w:tc>
        <w:tc>
          <w:tcPr>
            <w:tcW w:w="12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 Change</w:t>
            </w:r>
          </w:p>
        </w:tc>
      </w:tr>
      <w:tr>
        <w:trPr>
          <w:trHeight w:val="143"/>
        </w:trPr>
        <w:tc>
          <w:tcPr>
            <w:tcW w:w="5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(Unaudited)</w:t>
            </w: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89"/>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160" w:type="dxa"/>
            <w:vAlign w:val="bottom"/>
            <w:gridSpan w:val="4"/>
          </w:tcPr>
          <w:p>
            <w:pPr>
              <w:jc w:val="right"/>
              <w:ind w:right="242"/>
              <w:spacing w:after="0"/>
              <w:rPr>
                <w:sz w:val="20"/>
                <w:szCs w:val="20"/>
                <w:color w:val="auto"/>
              </w:rPr>
            </w:pPr>
            <w:r>
              <w:rPr>
                <w:rFonts w:ascii="Arial" w:cs="Arial" w:eastAsia="Arial" w:hAnsi="Arial"/>
                <w:sz w:val="14"/>
                <w:szCs w:val="14"/>
                <w:b w:val="1"/>
                <w:bCs w:val="1"/>
                <w:color w:val="auto"/>
              </w:rPr>
              <w:t>(In millions, except per share amounts)</w:t>
            </w:r>
          </w:p>
        </w:tc>
        <w:tc>
          <w:tcPr>
            <w:tcW w:w="1260" w:type="dxa"/>
            <w:vAlign w:val="bottom"/>
          </w:tcPr>
          <w:p>
            <w:pPr>
              <w:spacing w:after="0"/>
              <w:rPr>
                <w:sz w:val="16"/>
                <w:szCs w:val="16"/>
                <w:color w:val="auto"/>
              </w:rPr>
            </w:pPr>
          </w:p>
        </w:tc>
      </w:tr>
      <w:tr>
        <w:trPr>
          <w:trHeight w:val="257"/>
        </w:trPr>
        <w:tc>
          <w:tcPr>
            <w:tcW w:w="53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Revenues</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7"/>
        </w:trPr>
        <w:tc>
          <w:tcPr>
            <w:tcW w:w="5380" w:type="dxa"/>
            <w:vAlign w:val="bottom"/>
          </w:tcPr>
          <w:p>
            <w:pPr>
              <w:ind w:left="240"/>
              <w:spacing w:after="0"/>
              <w:rPr>
                <w:sz w:val="20"/>
                <w:szCs w:val="20"/>
                <w:color w:val="auto"/>
              </w:rPr>
            </w:pPr>
            <w:r>
              <w:rPr>
                <w:rFonts w:ascii="Arial" w:cs="Arial" w:eastAsia="Arial" w:hAnsi="Arial"/>
                <w:sz w:val="20"/>
                <w:szCs w:val="20"/>
                <w:color w:val="auto"/>
              </w:rPr>
              <w:t>Government Operations</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20"/>
                <w:szCs w:val="20"/>
                <w:color w:val="auto"/>
              </w:rPr>
              <w:t>577.9</w:t>
            </w:r>
          </w:p>
        </w:tc>
        <w:tc>
          <w:tcPr>
            <w:tcW w:w="40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3"/>
              <w:spacing w:after="0"/>
              <w:rPr>
                <w:sz w:val="20"/>
                <w:szCs w:val="20"/>
                <w:color w:val="auto"/>
              </w:rPr>
            </w:pPr>
            <w:r>
              <w:rPr>
                <w:rFonts w:ascii="Arial" w:cs="Arial" w:eastAsia="Arial" w:hAnsi="Arial"/>
                <w:sz w:val="20"/>
                <w:szCs w:val="20"/>
                <w:color w:val="auto"/>
              </w:rPr>
              <w:t>555.3</w:t>
            </w:r>
          </w:p>
        </w:tc>
        <w:tc>
          <w:tcPr>
            <w:tcW w:w="4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202"/>
              <w:spacing w:after="0"/>
              <w:rPr>
                <w:sz w:val="20"/>
                <w:szCs w:val="20"/>
                <w:color w:val="auto"/>
              </w:rPr>
            </w:pPr>
            <w:r>
              <w:rPr>
                <w:rFonts w:ascii="Arial" w:cs="Arial" w:eastAsia="Arial" w:hAnsi="Arial"/>
                <w:sz w:val="20"/>
                <w:szCs w:val="20"/>
                <w:color w:val="auto"/>
              </w:rPr>
              <w:t>22.6</w:t>
            </w:r>
          </w:p>
        </w:tc>
        <w:tc>
          <w:tcPr>
            <w:tcW w:w="1260" w:type="dxa"/>
            <w:vAlign w:val="bottom"/>
          </w:tcPr>
          <w:p>
            <w:pPr>
              <w:jc w:val="center"/>
              <w:ind w:right="2"/>
              <w:spacing w:after="0"/>
              <w:rPr>
                <w:sz w:val="20"/>
                <w:szCs w:val="20"/>
                <w:color w:val="auto"/>
              </w:rPr>
            </w:pPr>
            <w:r>
              <w:rPr>
                <w:rFonts w:ascii="Arial" w:cs="Arial" w:eastAsia="Arial" w:hAnsi="Arial"/>
                <w:sz w:val="20"/>
                <w:szCs w:val="20"/>
                <w:color w:val="auto"/>
                <w:w w:val="96"/>
              </w:rPr>
              <w:t>4%</w:t>
            </w:r>
          </w:p>
        </w:tc>
      </w:tr>
      <w:tr>
        <w:trPr>
          <w:trHeight w:val="256"/>
        </w:trPr>
        <w:tc>
          <w:tcPr>
            <w:tcW w:w="53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Commercial Operations</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283.6</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128.3</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20"/>
                <w:szCs w:val="20"/>
                <w:color w:val="auto"/>
              </w:rPr>
              <w:t>155.3</w:t>
            </w:r>
          </w:p>
        </w:tc>
        <w:tc>
          <w:tcPr>
            <w:tcW w:w="1260" w:type="dxa"/>
            <w:vAlign w:val="bottom"/>
            <w:shd w:val="clear" w:color="auto" w:fill="CCEEFF"/>
          </w:tcPr>
          <w:p>
            <w:pPr>
              <w:jc w:val="center"/>
              <w:ind w:right="2"/>
              <w:spacing w:after="0"/>
              <w:rPr>
                <w:sz w:val="20"/>
                <w:szCs w:val="20"/>
                <w:color w:val="auto"/>
              </w:rPr>
            </w:pPr>
            <w:r>
              <w:rPr>
                <w:rFonts w:ascii="Arial" w:cs="Arial" w:eastAsia="Arial" w:hAnsi="Arial"/>
                <w:sz w:val="20"/>
                <w:szCs w:val="20"/>
                <w:color w:val="auto"/>
              </w:rPr>
              <w:t>121%</w:t>
            </w:r>
          </w:p>
        </w:tc>
      </w:tr>
      <w:tr>
        <w:trPr>
          <w:trHeight w:val="257"/>
        </w:trPr>
        <w:tc>
          <w:tcPr>
            <w:tcW w:w="5380" w:type="dxa"/>
            <w:vAlign w:val="bottom"/>
          </w:tcPr>
          <w:p>
            <w:pPr>
              <w:ind w:left="240"/>
              <w:spacing w:after="0"/>
              <w:rPr>
                <w:sz w:val="20"/>
                <w:szCs w:val="20"/>
                <w:color w:val="auto"/>
              </w:rPr>
            </w:pPr>
            <w:r>
              <w:rPr>
                <w:rFonts w:ascii="Arial" w:cs="Arial" w:eastAsia="Arial" w:hAnsi="Arial"/>
                <w:sz w:val="20"/>
                <w:szCs w:val="20"/>
                <w:color w:val="auto"/>
              </w:rPr>
              <w:t>Consolidated</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20"/>
                <w:szCs w:val="20"/>
                <w:color w:val="auto"/>
              </w:rPr>
              <w:t>860.2</w:t>
            </w:r>
          </w:p>
        </w:tc>
        <w:tc>
          <w:tcPr>
            <w:tcW w:w="40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3"/>
              <w:spacing w:after="0"/>
              <w:rPr>
                <w:sz w:val="20"/>
                <w:szCs w:val="20"/>
                <w:color w:val="auto"/>
              </w:rPr>
            </w:pPr>
            <w:r>
              <w:rPr>
                <w:rFonts w:ascii="Arial" w:cs="Arial" w:eastAsia="Arial" w:hAnsi="Arial"/>
                <w:sz w:val="20"/>
                <w:szCs w:val="20"/>
                <w:color w:val="auto"/>
              </w:rPr>
              <w:t>682.3</w:t>
            </w:r>
          </w:p>
        </w:tc>
        <w:tc>
          <w:tcPr>
            <w:tcW w:w="4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202"/>
              <w:spacing w:after="0"/>
              <w:rPr>
                <w:sz w:val="20"/>
                <w:szCs w:val="20"/>
                <w:color w:val="auto"/>
              </w:rPr>
            </w:pPr>
            <w:r>
              <w:rPr>
                <w:rFonts w:ascii="Arial" w:cs="Arial" w:eastAsia="Arial" w:hAnsi="Arial"/>
                <w:sz w:val="20"/>
                <w:szCs w:val="20"/>
                <w:color w:val="auto"/>
              </w:rPr>
              <w:t>178.0</w:t>
            </w:r>
          </w:p>
        </w:tc>
        <w:tc>
          <w:tcPr>
            <w:tcW w:w="1260" w:type="dxa"/>
            <w:vAlign w:val="bottom"/>
          </w:tcPr>
          <w:p>
            <w:pPr>
              <w:jc w:val="center"/>
              <w:ind w:right="2"/>
              <w:spacing w:after="0"/>
              <w:rPr>
                <w:sz w:val="20"/>
                <w:szCs w:val="20"/>
                <w:color w:val="auto"/>
              </w:rPr>
            </w:pPr>
            <w:r>
              <w:rPr>
                <w:rFonts w:ascii="Arial" w:cs="Arial" w:eastAsia="Arial" w:hAnsi="Arial"/>
                <w:sz w:val="20"/>
                <w:szCs w:val="20"/>
                <w:color w:val="auto"/>
                <w:w w:val="99"/>
              </w:rPr>
              <w:t>26%</w:t>
            </w:r>
          </w:p>
        </w:tc>
      </w:tr>
      <w:tr>
        <w:trPr>
          <w:trHeight w:val="257"/>
        </w:trPr>
        <w:tc>
          <w:tcPr>
            <w:tcW w:w="53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Income</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7"/>
        </w:trPr>
        <w:tc>
          <w:tcPr>
            <w:tcW w:w="5380" w:type="dxa"/>
            <w:vAlign w:val="bottom"/>
          </w:tcPr>
          <w:p>
            <w:pPr>
              <w:ind w:left="240"/>
              <w:spacing w:after="0"/>
              <w:rPr>
                <w:sz w:val="20"/>
                <w:szCs w:val="20"/>
                <w:color w:val="auto"/>
              </w:rPr>
            </w:pPr>
            <w:r>
              <w:rPr>
                <w:rFonts w:ascii="Arial" w:cs="Arial" w:eastAsia="Arial" w:hAnsi="Arial"/>
                <w:sz w:val="20"/>
                <w:szCs w:val="20"/>
                <w:color w:val="auto"/>
              </w:rPr>
              <w:t>Government Operations</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20"/>
                <w:szCs w:val="20"/>
                <w:color w:val="auto"/>
              </w:rPr>
              <w:t>99.1</w:t>
            </w:r>
          </w:p>
        </w:tc>
        <w:tc>
          <w:tcPr>
            <w:tcW w:w="40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3"/>
              <w:spacing w:after="0"/>
              <w:rPr>
                <w:sz w:val="20"/>
                <w:szCs w:val="20"/>
                <w:color w:val="auto"/>
              </w:rPr>
            </w:pPr>
            <w:r>
              <w:rPr>
                <w:rFonts w:ascii="Arial" w:cs="Arial" w:eastAsia="Arial" w:hAnsi="Arial"/>
                <w:sz w:val="20"/>
                <w:szCs w:val="20"/>
                <w:color w:val="auto"/>
              </w:rPr>
              <w:t>97.7</w:t>
            </w:r>
          </w:p>
        </w:tc>
        <w:tc>
          <w:tcPr>
            <w:tcW w:w="4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202"/>
              <w:spacing w:after="0"/>
              <w:rPr>
                <w:sz w:val="20"/>
                <w:szCs w:val="20"/>
                <w:color w:val="auto"/>
              </w:rPr>
            </w:pPr>
            <w:r>
              <w:rPr>
                <w:rFonts w:ascii="Arial" w:cs="Arial" w:eastAsia="Arial" w:hAnsi="Arial"/>
                <w:sz w:val="20"/>
                <w:szCs w:val="20"/>
                <w:color w:val="auto"/>
              </w:rPr>
              <w:t>1.4</w:t>
            </w:r>
          </w:p>
        </w:tc>
        <w:tc>
          <w:tcPr>
            <w:tcW w:w="1260" w:type="dxa"/>
            <w:vAlign w:val="bottom"/>
          </w:tcPr>
          <w:p>
            <w:pPr>
              <w:jc w:val="center"/>
              <w:ind w:right="2"/>
              <w:spacing w:after="0"/>
              <w:rPr>
                <w:sz w:val="20"/>
                <w:szCs w:val="20"/>
                <w:color w:val="auto"/>
              </w:rPr>
            </w:pPr>
            <w:r>
              <w:rPr>
                <w:rFonts w:ascii="Arial" w:cs="Arial" w:eastAsia="Arial" w:hAnsi="Arial"/>
                <w:sz w:val="20"/>
                <w:szCs w:val="20"/>
                <w:color w:val="auto"/>
                <w:w w:val="96"/>
              </w:rPr>
              <w:t>1%</w:t>
            </w:r>
          </w:p>
        </w:tc>
      </w:tr>
      <w:tr>
        <w:trPr>
          <w:trHeight w:val="256"/>
        </w:trPr>
        <w:tc>
          <w:tcPr>
            <w:tcW w:w="53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Commercial Operations</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24.0</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6.5</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20"/>
                <w:szCs w:val="20"/>
                <w:color w:val="auto"/>
              </w:rPr>
              <w:t>17.6</w:t>
            </w:r>
          </w:p>
        </w:tc>
        <w:tc>
          <w:tcPr>
            <w:tcW w:w="1260" w:type="dxa"/>
            <w:vAlign w:val="bottom"/>
            <w:shd w:val="clear" w:color="auto" w:fill="CCEEFF"/>
          </w:tcPr>
          <w:p>
            <w:pPr>
              <w:jc w:val="center"/>
              <w:ind w:right="2"/>
              <w:spacing w:after="0"/>
              <w:rPr>
                <w:sz w:val="20"/>
                <w:szCs w:val="20"/>
                <w:color w:val="auto"/>
              </w:rPr>
            </w:pPr>
            <w:r>
              <w:rPr>
                <w:rFonts w:ascii="Arial" w:cs="Arial" w:eastAsia="Arial" w:hAnsi="Arial"/>
                <w:sz w:val="20"/>
                <w:szCs w:val="20"/>
                <w:color w:val="auto"/>
              </w:rPr>
              <w:t>272%</w:t>
            </w:r>
          </w:p>
        </w:tc>
      </w:tr>
      <w:tr>
        <w:trPr>
          <w:trHeight w:val="257"/>
        </w:trPr>
        <w:tc>
          <w:tcPr>
            <w:tcW w:w="5380" w:type="dxa"/>
            <w:vAlign w:val="bottom"/>
          </w:tcPr>
          <w:p>
            <w:pPr>
              <w:ind w:left="240"/>
              <w:spacing w:after="0"/>
              <w:rPr>
                <w:sz w:val="20"/>
                <w:szCs w:val="20"/>
                <w:color w:val="auto"/>
              </w:rPr>
            </w:pPr>
            <w:r>
              <w:rPr>
                <w:rFonts w:ascii="Arial" w:cs="Arial" w:eastAsia="Arial" w:hAnsi="Arial"/>
                <w:sz w:val="20"/>
                <w:szCs w:val="20"/>
                <w:color w:val="auto"/>
              </w:rPr>
              <w:t>Unallocated Corporate (Expense)</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(16.5)</w:t>
            </w:r>
          </w:p>
        </w:tc>
        <w:tc>
          <w:tcPr>
            <w:tcW w:w="40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(7.6)</w:t>
            </w:r>
          </w:p>
        </w:tc>
        <w:tc>
          <w:tcPr>
            <w:tcW w:w="4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42"/>
              <w:spacing w:after="0"/>
              <w:rPr>
                <w:sz w:val="20"/>
                <w:szCs w:val="20"/>
                <w:color w:val="auto"/>
              </w:rPr>
            </w:pPr>
            <w:r>
              <w:rPr>
                <w:rFonts w:ascii="Arial" w:cs="Arial" w:eastAsia="Arial" w:hAnsi="Arial"/>
                <w:sz w:val="20"/>
                <w:szCs w:val="20"/>
                <w:color w:val="auto"/>
              </w:rPr>
              <w:t>(8.9)</w:t>
            </w:r>
          </w:p>
        </w:tc>
        <w:tc>
          <w:tcPr>
            <w:tcW w:w="1260" w:type="dxa"/>
            <w:vAlign w:val="bottom"/>
          </w:tcPr>
          <w:p>
            <w:pPr>
              <w:jc w:val="center"/>
              <w:ind w:right="2"/>
              <w:spacing w:after="0"/>
              <w:rPr>
                <w:sz w:val="20"/>
                <w:szCs w:val="20"/>
                <w:color w:val="auto"/>
              </w:rPr>
            </w:pPr>
            <w:r>
              <w:rPr>
                <w:rFonts w:ascii="Arial" w:cs="Arial" w:eastAsia="Arial" w:hAnsi="Arial"/>
                <w:sz w:val="20"/>
                <w:szCs w:val="20"/>
                <w:color w:val="auto"/>
              </w:rPr>
              <w:t>NM</w:t>
            </w:r>
          </w:p>
        </w:tc>
      </w:tr>
      <w:tr>
        <w:trPr>
          <w:trHeight w:val="257"/>
        </w:trPr>
        <w:tc>
          <w:tcPr>
            <w:tcW w:w="53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Consolidated</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106.7</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96.6</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20"/>
                <w:szCs w:val="20"/>
                <w:color w:val="auto"/>
              </w:rPr>
              <w:t>10.1</w:t>
            </w:r>
          </w:p>
        </w:tc>
        <w:tc>
          <w:tcPr>
            <w:tcW w:w="1260" w:type="dxa"/>
            <w:vAlign w:val="bottom"/>
            <w:shd w:val="clear" w:color="auto" w:fill="CCEEFF"/>
          </w:tcPr>
          <w:p>
            <w:pPr>
              <w:jc w:val="center"/>
              <w:ind w:right="2"/>
              <w:spacing w:after="0"/>
              <w:rPr>
                <w:sz w:val="20"/>
                <w:szCs w:val="20"/>
                <w:color w:val="auto"/>
              </w:rPr>
            </w:pPr>
            <w:r>
              <w:rPr>
                <w:rFonts w:ascii="Arial" w:cs="Arial" w:eastAsia="Arial" w:hAnsi="Arial"/>
                <w:sz w:val="20"/>
                <w:szCs w:val="20"/>
                <w:color w:val="auto"/>
                <w:w w:val="99"/>
              </w:rPr>
              <w:t>10%</w:t>
            </w:r>
          </w:p>
        </w:tc>
      </w:tr>
      <w:tr>
        <w:trPr>
          <w:trHeight w:val="257"/>
        </w:trPr>
        <w:tc>
          <w:tcPr>
            <w:tcW w:w="5380" w:type="dxa"/>
            <w:vAlign w:val="bottom"/>
          </w:tcPr>
          <w:p>
            <w:pPr>
              <w:ind w:left="240"/>
              <w:spacing w:after="0" w:line="257" w:lineRule="exact"/>
              <w:rPr>
                <w:sz w:val="20"/>
                <w:szCs w:val="20"/>
                <w:color w:val="auto"/>
              </w:rPr>
            </w:pPr>
            <w:r>
              <w:rPr>
                <w:rFonts w:ascii="Arial" w:cs="Arial" w:eastAsia="Arial" w:hAnsi="Arial"/>
                <w:sz w:val="20"/>
                <w:szCs w:val="20"/>
                <w:color w:val="auto"/>
              </w:rPr>
              <w:t>Consolidated non-GAAP</w:t>
            </w:r>
            <w:r>
              <w:rPr>
                <w:rFonts w:ascii="Arial" w:cs="Arial" w:eastAsia="Arial" w:hAnsi="Arial"/>
                <w:sz w:val="25"/>
                <w:szCs w:val="25"/>
                <w:color w:val="auto"/>
                <w:vertAlign w:val="superscript"/>
              </w:rPr>
              <w:t>(1)</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20"/>
                <w:szCs w:val="20"/>
                <w:color w:val="auto"/>
              </w:rPr>
              <w:t>121.5</w:t>
            </w:r>
          </w:p>
        </w:tc>
        <w:tc>
          <w:tcPr>
            <w:tcW w:w="40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3"/>
              <w:spacing w:after="0"/>
              <w:rPr>
                <w:sz w:val="20"/>
                <w:szCs w:val="20"/>
                <w:color w:val="auto"/>
              </w:rPr>
            </w:pPr>
            <w:r>
              <w:rPr>
                <w:rFonts w:ascii="Arial" w:cs="Arial" w:eastAsia="Arial" w:hAnsi="Arial"/>
                <w:sz w:val="20"/>
                <w:szCs w:val="20"/>
                <w:color w:val="auto"/>
              </w:rPr>
              <w:t>107.6</w:t>
            </w:r>
          </w:p>
        </w:tc>
        <w:tc>
          <w:tcPr>
            <w:tcW w:w="4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202"/>
              <w:spacing w:after="0"/>
              <w:rPr>
                <w:sz w:val="20"/>
                <w:szCs w:val="20"/>
                <w:color w:val="auto"/>
              </w:rPr>
            </w:pPr>
            <w:r>
              <w:rPr>
                <w:rFonts w:ascii="Arial" w:cs="Arial" w:eastAsia="Arial" w:hAnsi="Arial"/>
                <w:sz w:val="20"/>
                <w:szCs w:val="20"/>
                <w:color w:val="auto"/>
              </w:rPr>
              <w:t>13.9</w:t>
            </w:r>
          </w:p>
        </w:tc>
        <w:tc>
          <w:tcPr>
            <w:tcW w:w="1260" w:type="dxa"/>
            <w:vAlign w:val="bottom"/>
          </w:tcPr>
          <w:p>
            <w:pPr>
              <w:jc w:val="center"/>
              <w:ind w:right="2"/>
              <w:spacing w:after="0"/>
              <w:rPr>
                <w:sz w:val="20"/>
                <w:szCs w:val="20"/>
                <w:color w:val="auto"/>
              </w:rPr>
            </w:pPr>
            <w:r>
              <w:rPr>
                <w:rFonts w:ascii="Arial" w:cs="Arial" w:eastAsia="Arial" w:hAnsi="Arial"/>
                <w:sz w:val="20"/>
                <w:szCs w:val="20"/>
                <w:color w:val="auto"/>
                <w:w w:val="99"/>
              </w:rPr>
              <w:t>13%</w:t>
            </w:r>
          </w:p>
        </w:tc>
      </w:tr>
      <w:tr>
        <w:trPr>
          <w:trHeight w:val="257"/>
        </w:trPr>
        <w:tc>
          <w:tcPr>
            <w:tcW w:w="538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EPS (Diluted)</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6"/>
        </w:trPr>
        <w:tc>
          <w:tcPr>
            <w:tcW w:w="5380" w:type="dxa"/>
            <w:vAlign w:val="bottom"/>
          </w:tcPr>
          <w:p>
            <w:pPr>
              <w:ind w:left="240"/>
              <w:spacing w:after="0"/>
              <w:rPr>
                <w:sz w:val="20"/>
                <w:szCs w:val="20"/>
                <w:color w:val="auto"/>
              </w:rPr>
            </w:pPr>
            <w:r>
              <w:rPr>
                <w:rFonts w:ascii="Arial" w:cs="Arial" w:eastAsia="Arial" w:hAnsi="Arial"/>
                <w:sz w:val="20"/>
                <w:szCs w:val="20"/>
                <w:color w:val="auto"/>
              </w:rPr>
              <w:t>GAAP</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20"/>
                <w:szCs w:val="20"/>
                <w:color w:val="auto"/>
              </w:rPr>
              <w:t>0.99</w:t>
            </w:r>
          </w:p>
        </w:tc>
        <w:tc>
          <w:tcPr>
            <w:tcW w:w="40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3"/>
              <w:spacing w:after="0"/>
              <w:rPr>
                <w:sz w:val="20"/>
                <w:szCs w:val="20"/>
                <w:color w:val="auto"/>
              </w:rPr>
            </w:pPr>
            <w:r>
              <w:rPr>
                <w:rFonts w:ascii="Arial" w:cs="Arial" w:eastAsia="Arial" w:hAnsi="Arial"/>
                <w:sz w:val="20"/>
                <w:szCs w:val="20"/>
                <w:color w:val="auto"/>
              </w:rPr>
              <w:t>0.82</w:t>
            </w:r>
          </w:p>
        </w:tc>
        <w:tc>
          <w:tcPr>
            <w:tcW w:w="4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202"/>
              <w:spacing w:after="0"/>
              <w:rPr>
                <w:sz w:val="20"/>
                <w:szCs w:val="20"/>
                <w:color w:val="auto"/>
              </w:rPr>
            </w:pPr>
            <w:r>
              <w:rPr>
                <w:rFonts w:ascii="Arial" w:cs="Arial" w:eastAsia="Arial" w:hAnsi="Arial"/>
                <w:sz w:val="20"/>
                <w:szCs w:val="20"/>
                <w:color w:val="auto"/>
              </w:rPr>
              <w:t>0.17</w:t>
            </w:r>
          </w:p>
        </w:tc>
        <w:tc>
          <w:tcPr>
            <w:tcW w:w="1260" w:type="dxa"/>
            <w:vAlign w:val="bottom"/>
          </w:tcPr>
          <w:p>
            <w:pPr>
              <w:jc w:val="center"/>
              <w:ind w:right="2"/>
              <w:spacing w:after="0"/>
              <w:rPr>
                <w:sz w:val="20"/>
                <w:szCs w:val="20"/>
                <w:color w:val="auto"/>
              </w:rPr>
            </w:pPr>
            <w:r>
              <w:rPr>
                <w:rFonts w:ascii="Arial" w:cs="Arial" w:eastAsia="Arial" w:hAnsi="Arial"/>
                <w:sz w:val="20"/>
                <w:szCs w:val="20"/>
                <w:color w:val="auto"/>
                <w:w w:val="99"/>
              </w:rPr>
              <w:t>21%</w:t>
            </w:r>
          </w:p>
        </w:tc>
      </w:tr>
      <w:tr>
        <w:trPr>
          <w:trHeight w:val="257"/>
        </w:trPr>
        <w:tc>
          <w:tcPr>
            <w:tcW w:w="5380" w:type="dxa"/>
            <w:vAlign w:val="bottom"/>
            <w:shd w:val="clear" w:color="auto" w:fill="CCEEFF"/>
          </w:tcPr>
          <w:p>
            <w:pPr>
              <w:ind w:left="240"/>
              <w:spacing w:after="0" w:line="257" w:lineRule="exact"/>
              <w:rPr>
                <w:sz w:val="20"/>
                <w:szCs w:val="20"/>
                <w:color w:val="auto"/>
              </w:rPr>
            </w:pPr>
            <w:r>
              <w:rPr>
                <w:rFonts w:ascii="Arial" w:cs="Arial" w:eastAsia="Arial" w:hAnsi="Arial"/>
                <w:sz w:val="20"/>
                <w:szCs w:val="20"/>
                <w:color w:val="auto"/>
              </w:rPr>
              <w:t>Non-GAAP</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1.12</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0.91</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20"/>
                <w:szCs w:val="20"/>
                <w:color w:val="auto"/>
              </w:rPr>
              <w:t>0.21</w:t>
            </w:r>
          </w:p>
        </w:tc>
        <w:tc>
          <w:tcPr>
            <w:tcW w:w="1260" w:type="dxa"/>
            <w:vAlign w:val="bottom"/>
            <w:shd w:val="clear" w:color="auto" w:fill="CCEEFF"/>
          </w:tcPr>
          <w:p>
            <w:pPr>
              <w:jc w:val="center"/>
              <w:ind w:right="2"/>
              <w:spacing w:after="0"/>
              <w:rPr>
                <w:sz w:val="20"/>
                <w:szCs w:val="20"/>
                <w:color w:val="auto"/>
              </w:rPr>
            </w:pPr>
            <w:r>
              <w:rPr>
                <w:rFonts w:ascii="Arial" w:cs="Arial" w:eastAsia="Arial" w:hAnsi="Arial"/>
                <w:sz w:val="20"/>
                <w:szCs w:val="20"/>
                <w:color w:val="auto"/>
                <w:w w:val="99"/>
              </w:rPr>
              <w:t>22%</w:t>
            </w:r>
          </w:p>
        </w:tc>
      </w:tr>
      <w:tr>
        <w:trPr>
          <w:trHeight w:val="257"/>
        </w:trPr>
        <w:tc>
          <w:tcPr>
            <w:tcW w:w="5380" w:type="dxa"/>
            <w:vAlign w:val="bottom"/>
          </w:tcPr>
          <w:p>
            <w:pPr>
              <w:ind w:left="20"/>
              <w:spacing w:after="0"/>
              <w:rPr>
                <w:sz w:val="20"/>
                <w:szCs w:val="20"/>
                <w:color w:val="auto"/>
              </w:rPr>
            </w:pPr>
            <w:r>
              <w:rPr>
                <w:rFonts w:ascii="Arial" w:cs="Arial" w:eastAsia="Arial" w:hAnsi="Arial"/>
                <w:sz w:val="20"/>
                <w:szCs w:val="20"/>
                <w:b w:val="1"/>
                <w:bCs w:val="1"/>
                <w:color w:val="auto"/>
              </w:rPr>
              <w:t>Net Income</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7"/>
        </w:trPr>
        <w:tc>
          <w:tcPr>
            <w:tcW w:w="53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GAAP</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91.2</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75.5</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20"/>
                <w:szCs w:val="20"/>
                <w:color w:val="auto"/>
              </w:rPr>
              <w:t>15.7</w:t>
            </w:r>
          </w:p>
        </w:tc>
        <w:tc>
          <w:tcPr>
            <w:tcW w:w="1260" w:type="dxa"/>
            <w:vAlign w:val="bottom"/>
            <w:shd w:val="clear" w:color="auto" w:fill="CCEEFF"/>
          </w:tcPr>
          <w:p>
            <w:pPr>
              <w:jc w:val="center"/>
              <w:ind w:right="2"/>
              <w:spacing w:after="0"/>
              <w:rPr>
                <w:sz w:val="20"/>
                <w:szCs w:val="20"/>
                <w:color w:val="auto"/>
              </w:rPr>
            </w:pPr>
            <w:r>
              <w:rPr>
                <w:rFonts w:ascii="Arial" w:cs="Arial" w:eastAsia="Arial" w:hAnsi="Arial"/>
                <w:sz w:val="20"/>
                <w:szCs w:val="20"/>
                <w:color w:val="auto"/>
                <w:w w:val="99"/>
              </w:rPr>
              <w:t>21%</w:t>
            </w:r>
          </w:p>
        </w:tc>
      </w:tr>
      <w:tr>
        <w:trPr>
          <w:trHeight w:val="256"/>
        </w:trPr>
        <w:tc>
          <w:tcPr>
            <w:tcW w:w="5380" w:type="dxa"/>
            <w:vAlign w:val="bottom"/>
          </w:tcPr>
          <w:p>
            <w:pPr>
              <w:ind w:left="240"/>
              <w:spacing w:after="0" w:line="257" w:lineRule="exact"/>
              <w:rPr>
                <w:sz w:val="20"/>
                <w:szCs w:val="20"/>
                <w:color w:val="auto"/>
              </w:rPr>
            </w:pPr>
            <w:r>
              <w:rPr>
                <w:rFonts w:ascii="Arial" w:cs="Arial" w:eastAsia="Arial" w:hAnsi="Arial"/>
                <w:sz w:val="20"/>
                <w:szCs w:val="20"/>
                <w:color w:val="auto"/>
              </w:rPr>
              <w:t>Non-GAAP</w:t>
            </w:r>
            <w:r>
              <w:rPr>
                <w:rFonts w:ascii="Arial" w:cs="Arial" w:eastAsia="Arial" w:hAnsi="Arial"/>
                <w:sz w:val="25"/>
                <w:szCs w:val="25"/>
                <w:color w:val="auto"/>
                <w:vertAlign w:val="superscript"/>
              </w:rPr>
              <w:t>(1)</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20"/>
                <w:szCs w:val="20"/>
                <w:color w:val="auto"/>
              </w:rPr>
              <w:t>102.8</w:t>
            </w:r>
          </w:p>
        </w:tc>
        <w:tc>
          <w:tcPr>
            <w:tcW w:w="40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3"/>
              <w:spacing w:after="0"/>
              <w:rPr>
                <w:sz w:val="20"/>
                <w:szCs w:val="20"/>
                <w:color w:val="auto"/>
              </w:rPr>
            </w:pPr>
            <w:r>
              <w:rPr>
                <w:rFonts w:ascii="Arial" w:cs="Arial" w:eastAsia="Arial" w:hAnsi="Arial"/>
                <w:sz w:val="20"/>
                <w:szCs w:val="20"/>
                <w:color w:val="auto"/>
              </w:rPr>
              <w:t>84.0</w:t>
            </w:r>
          </w:p>
        </w:tc>
        <w:tc>
          <w:tcPr>
            <w:tcW w:w="4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202"/>
              <w:spacing w:after="0"/>
              <w:rPr>
                <w:sz w:val="20"/>
                <w:szCs w:val="20"/>
                <w:color w:val="auto"/>
              </w:rPr>
            </w:pPr>
            <w:r>
              <w:rPr>
                <w:rFonts w:ascii="Arial" w:cs="Arial" w:eastAsia="Arial" w:hAnsi="Arial"/>
                <w:sz w:val="20"/>
                <w:szCs w:val="20"/>
                <w:color w:val="auto"/>
              </w:rPr>
              <w:t>18.8</w:t>
            </w:r>
          </w:p>
        </w:tc>
        <w:tc>
          <w:tcPr>
            <w:tcW w:w="1260" w:type="dxa"/>
            <w:vAlign w:val="bottom"/>
          </w:tcPr>
          <w:p>
            <w:pPr>
              <w:jc w:val="center"/>
              <w:ind w:right="2"/>
              <w:spacing w:after="0"/>
              <w:rPr>
                <w:sz w:val="20"/>
                <w:szCs w:val="20"/>
                <w:color w:val="auto"/>
              </w:rPr>
            </w:pPr>
            <w:r>
              <w:rPr>
                <w:rFonts w:ascii="Arial" w:cs="Arial" w:eastAsia="Arial" w:hAnsi="Arial"/>
                <w:sz w:val="20"/>
                <w:szCs w:val="20"/>
                <w:color w:val="auto"/>
                <w:w w:val="99"/>
              </w:rPr>
              <w:t>22%</w:t>
            </w:r>
          </w:p>
        </w:tc>
      </w:tr>
      <w:tr>
        <w:trPr>
          <w:trHeight w:val="257"/>
        </w:trPr>
        <w:tc>
          <w:tcPr>
            <w:tcW w:w="538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b w:val="1"/>
                <w:bCs w:val="1"/>
                <w:color w:val="auto"/>
              </w:rPr>
              <w:t>Adjusted EBITDA</w:t>
            </w:r>
            <w:r>
              <w:rPr>
                <w:rFonts w:ascii="Arial" w:cs="Arial" w:eastAsia="Arial" w:hAnsi="Arial"/>
                <w:sz w:val="25"/>
                <w:szCs w:val="25"/>
                <w:b w:val="1"/>
                <w:bCs w:val="1"/>
                <w:color w:val="auto"/>
                <w:vertAlign w:val="superscript"/>
              </w:rPr>
              <w:t>(1)</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7"/>
        </w:trPr>
        <w:tc>
          <w:tcPr>
            <w:tcW w:w="5380" w:type="dxa"/>
            <w:vAlign w:val="bottom"/>
          </w:tcPr>
          <w:p>
            <w:pPr>
              <w:ind w:left="240"/>
              <w:spacing w:after="0"/>
              <w:rPr>
                <w:sz w:val="20"/>
                <w:szCs w:val="20"/>
                <w:color w:val="auto"/>
              </w:rPr>
            </w:pPr>
            <w:r>
              <w:rPr>
                <w:rFonts w:ascii="Arial" w:cs="Arial" w:eastAsia="Arial" w:hAnsi="Arial"/>
                <w:sz w:val="20"/>
                <w:szCs w:val="20"/>
                <w:color w:val="auto"/>
              </w:rPr>
              <w:t>Government Operations</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20"/>
                <w:szCs w:val="20"/>
                <w:color w:val="auto"/>
              </w:rPr>
              <w:t>117.7</w:t>
            </w:r>
          </w:p>
        </w:tc>
        <w:tc>
          <w:tcPr>
            <w:tcW w:w="40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3"/>
              <w:spacing w:after="0"/>
              <w:rPr>
                <w:sz w:val="20"/>
                <w:szCs w:val="20"/>
                <w:color w:val="auto"/>
              </w:rPr>
            </w:pPr>
            <w:r>
              <w:rPr>
                <w:rFonts w:ascii="Arial" w:cs="Arial" w:eastAsia="Arial" w:hAnsi="Arial"/>
                <w:sz w:val="20"/>
                <w:szCs w:val="20"/>
                <w:color w:val="auto"/>
              </w:rPr>
              <w:t>116.9</w:t>
            </w:r>
          </w:p>
        </w:tc>
        <w:tc>
          <w:tcPr>
            <w:tcW w:w="4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202"/>
              <w:spacing w:after="0"/>
              <w:rPr>
                <w:sz w:val="20"/>
                <w:szCs w:val="20"/>
                <w:color w:val="auto"/>
              </w:rPr>
            </w:pPr>
            <w:r>
              <w:rPr>
                <w:rFonts w:ascii="Arial" w:cs="Arial" w:eastAsia="Arial" w:hAnsi="Arial"/>
                <w:sz w:val="20"/>
                <w:szCs w:val="20"/>
                <w:color w:val="auto"/>
              </w:rPr>
              <w:t>0.8</w:t>
            </w:r>
          </w:p>
        </w:tc>
        <w:tc>
          <w:tcPr>
            <w:tcW w:w="1260" w:type="dxa"/>
            <w:vAlign w:val="bottom"/>
          </w:tcPr>
          <w:p>
            <w:pPr>
              <w:jc w:val="center"/>
              <w:ind w:right="2"/>
              <w:spacing w:after="0"/>
              <w:rPr>
                <w:sz w:val="20"/>
                <w:szCs w:val="20"/>
                <w:color w:val="auto"/>
              </w:rPr>
            </w:pPr>
            <w:r>
              <w:rPr>
                <w:rFonts w:ascii="Arial" w:cs="Arial" w:eastAsia="Arial" w:hAnsi="Arial"/>
                <w:sz w:val="20"/>
                <w:szCs w:val="20"/>
                <w:color w:val="auto"/>
                <w:w w:val="96"/>
              </w:rPr>
              <w:t>1%</w:t>
            </w:r>
          </w:p>
        </w:tc>
      </w:tr>
      <w:tr>
        <w:trPr>
          <w:trHeight w:val="257"/>
        </w:trPr>
        <w:tc>
          <w:tcPr>
            <w:tcW w:w="53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Commercial Operations</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36.5</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14.0</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20"/>
                <w:szCs w:val="20"/>
                <w:color w:val="auto"/>
              </w:rPr>
              <w:t>22.5</w:t>
            </w:r>
          </w:p>
        </w:tc>
        <w:tc>
          <w:tcPr>
            <w:tcW w:w="1260" w:type="dxa"/>
            <w:vAlign w:val="bottom"/>
            <w:shd w:val="clear" w:color="auto" w:fill="CCEEFF"/>
          </w:tcPr>
          <w:p>
            <w:pPr>
              <w:jc w:val="center"/>
              <w:ind w:right="2"/>
              <w:spacing w:after="0"/>
              <w:rPr>
                <w:sz w:val="20"/>
                <w:szCs w:val="20"/>
                <w:color w:val="auto"/>
              </w:rPr>
            </w:pPr>
            <w:r>
              <w:rPr>
                <w:rFonts w:ascii="Arial" w:cs="Arial" w:eastAsia="Arial" w:hAnsi="Arial"/>
                <w:sz w:val="20"/>
                <w:szCs w:val="20"/>
                <w:color w:val="auto"/>
              </w:rPr>
              <w:t>162%</w:t>
            </w:r>
          </w:p>
        </w:tc>
      </w:tr>
      <w:tr>
        <w:trPr>
          <w:trHeight w:val="256"/>
        </w:trPr>
        <w:tc>
          <w:tcPr>
            <w:tcW w:w="5380" w:type="dxa"/>
            <w:vAlign w:val="bottom"/>
          </w:tcPr>
          <w:p>
            <w:pPr>
              <w:ind w:left="240"/>
              <w:spacing w:after="0"/>
              <w:rPr>
                <w:sz w:val="20"/>
                <w:szCs w:val="20"/>
                <w:color w:val="auto"/>
              </w:rPr>
            </w:pPr>
            <w:r>
              <w:rPr>
                <w:rFonts w:ascii="Arial" w:cs="Arial" w:eastAsia="Arial" w:hAnsi="Arial"/>
                <w:sz w:val="20"/>
                <w:szCs w:val="20"/>
                <w:color w:val="auto"/>
              </w:rPr>
              <w:t>Unallocated Corporate</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(6.2)</w:t>
            </w:r>
          </w:p>
        </w:tc>
        <w:tc>
          <w:tcPr>
            <w:tcW w:w="40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(1.1)</w:t>
            </w:r>
          </w:p>
        </w:tc>
        <w:tc>
          <w:tcPr>
            <w:tcW w:w="4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142"/>
              <w:spacing w:after="0"/>
              <w:rPr>
                <w:sz w:val="20"/>
                <w:szCs w:val="20"/>
                <w:color w:val="auto"/>
              </w:rPr>
            </w:pPr>
            <w:r>
              <w:rPr>
                <w:rFonts w:ascii="Arial" w:cs="Arial" w:eastAsia="Arial" w:hAnsi="Arial"/>
                <w:sz w:val="20"/>
                <w:szCs w:val="20"/>
                <w:color w:val="auto"/>
              </w:rPr>
              <w:t>(5.1)</w:t>
            </w:r>
          </w:p>
        </w:tc>
        <w:tc>
          <w:tcPr>
            <w:tcW w:w="1260" w:type="dxa"/>
            <w:vAlign w:val="bottom"/>
          </w:tcPr>
          <w:p>
            <w:pPr>
              <w:jc w:val="center"/>
              <w:ind w:right="2"/>
              <w:spacing w:after="0"/>
              <w:rPr>
                <w:sz w:val="20"/>
                <w:szCs w:val="20"/>
                <w:color w:val="auto"/>
              </w:rPr>
            </w:pPr>
            <w:r>
              <w:rPr>
                <w:rFonts w:ascii="Arial" w:cs="Arial" w:eastAsia="Arial" w:hAnsi="Arial"/>
                <w:sz w:val="20"/>
                <w:szCs w:val="20"/>
                <w:color w:val="auto"/>
              </w:rPr>
              <w:t>NM</w:t>
            </w:r>
          </w:p>
        </w:tc>
      </w:tr>
      <w:tr>
        <w:trPr>
          <w:trHeight w:val="257"/>
        </w:trPr>
        <w:tc>
          <w:tcPr>
            <w:tcW w:w="538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Consolidated</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148.0</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129.8</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20"/>
                <w:szCs w:val="20"/>
                <w:color w:val="auto"/>
              </w:rPr>
              <w:t>18.2</w:t>
            </w:r>
          </w:p>
        </w:tc>
        <w:tc>
          <w:tcPr>
            <w:tcW w:w="1260" w:type="dxa"/>
            <w:vAlign w:val="bottom"/>
            <w:shd w:val="clear" w:color="auto" w:fill="CCEEFF"/>
          </w:tcPr>
          <w:p>
            <w:pPr>
              <w:jc w:val="center"/>
              <w:ind w:right="2"/>
              <w:spacing w:after="0"/>
              <w:rPr>
                <w:sz w:val="20"/>
                <w:szCs w:val="20"/>
                <w:color w:val="auto"/>
              </w:rPr>
            </w:pPr>
            <w:r>
              <w:rPr>
                <w:rFonts w:ascii="Arial" w:cs="Arial" w:eastAsia="Arial" w:hAnsi="Arial"/>
                <w:sz w:val="20"/>
                <w:szCs w:val="20"/>
                <w:color w:val="auto"/>
                <w:w w:val="99"/>
              </w:rPr>
              <w:t>14%</w:t>
            </w:r>
          </w:p>
        </w:tc>
      </w:tr>
      <w:tr>
        <w:trPr>
          <w:trHeight w:val="256"/>
        </w:trPr>
        <w:tc>
          <w:tcPr>
            <w:tcW w:w="5380" w:type="dxa"/>
            <w:vAlign w:val="bottom"/>
          </w:tcPr>
          <w:p>
            <w:pPr>
              <w:ind w:left="20"/>
              <w:spacing w:after="0"/>
              <w:rPr>
                <w:sz w:val="20"/>
                <w:szCs w:val="20"/>
                <w:color w:val="auto"/>
              </w:rPr>
            </w:pPr>
            <w:r>
              <w:rPr>
                <w:rFonts w:ascii="Arial" w:cs="Arial" w:eastAsia="Arial" w:hAnsi="Arial"/>
                <w:sz w:val="20"/>
                <w:szCs w:val="20"/>
                <w:b w:val="1"/>
                <w:bCs w:val="1"/>
                <w:color w:val="auto"/>
              </w:rPr>
              <w:t>Cash Flows</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7"/>
        </w:trPr>
        <w:tc>
          <w:tcPr>
            <w:tcW w:w="5380" w:type="dxa"/>
            <w:vAlign w:val="bottom"/>
            <w:shd w:val="clear" w:color="auto" w:fill="CCEEFF"/>
          </w:tcPr>
          <w:p>
            <w:pPr>
              <w:ind w:left="240"/>
              <w:spacing w:after="0" w:line="257" w:lineRule="exact"/>
              <w:rPr>
                <w:sz w:val="20"/>
                <w:szCs w:val="20"/>
                <w:color w:val="auto"/>
              </w:rPr>
            </w:pPr>
            <w:r>
              <w:rPr>
                <w:rFonts w:ascii="Arial" w:cs="Arial" w:eastAsia="Arial" w:hAnsi="Arial"/>
                <w:sz w:val="20"/>
                <w:szCs w:val="20"/>
                <w:color w:val="auto"/>
              </w:rPr>
              <w:t>Operating Cash Flow</w:t>
            </w:r>
            <w:r>
              <w:rPr>
                <w:rFonts w:ascii="Arial" w:cs="Arial" w:eastAsia="Arial" w:hAnsi="Arial"/>
                <w:sz w:val="25"/>
                <w:szCs w:val="25"/>
                <w:color w:val="auto"/>
                <w:vertAlign w:val="superscript"/>
              </w:rPr>
              <w:t>(2)</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92.6</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50.7</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20"/>
                <w:szCs w:val="20"/>
                <w:color w:val="auto"/>
              </w:rPr>
              <w:t>42.0</w:t>
            </w:r>
          </w:p>
        </w:tc>
        <w:tc>
          <w:tcPr>
            <w:tcW w:w="1260" w:type="dxa"/>
            <w:vAlign w:val="bottom"/>
            <w:shd w:val="clear" w:color="auto" w:fill="CCEEFF"/>
          </w:tcPr>
          <w:p>
            <w:pPr>
              <w:jc w:val="center"/>
              <w:ind w:right="2"/>
              <w:spacing w:after="0"/>
              <w:rPr>
                <w:sz w:val="20"/>
                <w:szCs w:val="20"/>
                <w:color w:val="auto"/>
              </w:rPr>
            </w:pPr>
            <w:r>
              <w:rPr>
                <w:rFonts w:ascii="Arial" w:cs="Arial" w:eastAsia="Arial" w:hAnsi="Arial"/>
                <w:sz w:val="20"/>
                <w:szCs w:val="20"/>
                <w:color w:val="auto"/>
                <w:w w:val="99"/>
              </w:rPr>
              <w:t>83%</w:t>
            </w:r>
          </w:p>
        </w:tc>
      </w:tr>
      <w:tr>
        <w:trPr>
          <w:trHeight w:val="256"/>
        </w:trPr>
        <w:tc>
          <w:tcPr>
            <w:tcW w:w="5380" w:type="dxa"/>
            <w:vAlign w:val="bottom"/>
          </w:tcPr>
          <w:p>
            <w:pPr>
              <w:ind w:left="240"/>
              <w:spacing w:after="0" w:line="257" w:lineRule="exact"/>
              <w:rPr>
                <w:sz w:val="20"/>
                <w:szCs w:val="20"/>
                <w:color w:val="auto"/>
              </w:rPr>
            </w:pPr>
            <w:r>
              <w:rPr>
                <w:rFonts w:ascii="Arial" w:cs="Arial" w:eastAsia="Arial" w:hAnsi="Arial"/>
                <w:sz w:val="20"/>
                <w:szCs w:val="20"/>
                <w:color w:val="auto"/>
              </w:rPr>
              <w:t>Capital Expenditures</w:t>
            </w:r>
            <w:r>
              <w:rPr>
                <w:rFonts w:ascii="Arial" w:cs="Arial" w:eastAsia="Arial" w:hAnsi="Arial"/>
                <w:sz w:val="25"/>
                <w:szCs w:val="25"/>
                <w:color w:val="auto"/>
                <w:vertAlign w:val="superscript"/>
              </w:rPr>
              <w:t>(2)</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20"/>
                <w:szCs w:val="20"/>
                <w:color w:val="auto"/>
              </w:rPr>
              <w:t>42.5</w:t>
            </w:r>
          </w:p>
        </w:tc>
        <w:tc>
          <w:tcPr>
            <w:tcW w:w="40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3"/>
              <w:spacing w:after="0"/>
              <w:rPr>
                <w:sz w:val="20"/>
                <w:szCs w:val="20"/>
                <w:color w:val="auto"/>
              </w:rPr>
            </w:pPr>
            <w:r>
              <w:rPr>
                <w:rFonts w:ascii="Arial" w:cs="Arial" w:eastAsia="Arial" w:hAnsi="Arial"/>
                <w:sz w:val="20"/>
                <w:szCs w:val="20"/>
                <w:color w:val="auto"/>
              </w:rPr>
              <w:t>33.4</w:t>
            </w:r>
          </w:p>
        </w:tc>
        <w:tc>
          <w:tcPr>
            <w:tcW w:w="4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202"/>
              <w:spacing w:after="0"/>
              <w:rPr>
                <w:sz w:val="20"/>
                <w:szCs w:val="20"/>
                <w:color w:val="auto"/>
              </w:rPr>
            </w:pPr>
            <w:r>
              <w:rPr>
                <w:rFonts w:ascii="Arial" w:cs="Arial" w:eastAsia="Arial" w:hAnsi="Arial"/>
                <w:sz w:val="20"/>
                <w:szCs w:val="20"/>
                <w:color w:val="auto"/>
              </w:rPr>
              <w:t>9.1</w:t>
            </w:r>
          </w:p>
        </w:tc>
        <w:tc>
          <w:tcPr>
            <w:tcW w:w="1260" w:type="dxa"/>
            <w:vAlign w:val="bottom"/>
          </w:tcPr>
          <w:p>
            <w:pPr>
              <w:jc w:val="center"/>
              <w:ind w:right="2"/>
              <w:spacing w:after="0"/>
              <w:rPr>
                <w:sz w:val="20"/>
                <w:szCs w:val="20"/>
                <w:color w:val="auto"/>
              </w:rPr>
            </w:pPr>
            <w:r>
              <w:rPr>
                <w:rFonts w:ascii="Arial" w:cs="Arial" w:eastAsia="Arial" w:hAnsi="Arial"/>
                <w:sz w:val="20"/>
                <w:szCs w:val="20"/>
                <w:color w:val="auto"/>
                <w:w w:val="99"/>
              </w:rPr>
              <w:t>27%</w:t>
            </w:r>
          </w:p>
        </w:tc>
      </w:tr>
      <w:tr>
        <w:trPr>
          <w:trHeight w:val="257"/>
        </w:trPr>
        <w:tc>
          <w:tcPr>
            <w:tcW w:w="5380" w:type="dxa"/>
            <w:vAlign w:val="bottom"/>
            <w:shd w:val="clear" w:color="auto" w:fill="CCEEFF"/>
          </w:tcPr>
          <w:p>
            <w:pPr>
              <w:ind w:left="240"/>
              <w:spacing w:after="0" w:line="257" w:lineRule="exact"/>
              <w:rPr>
                <w:sz w:val="20"/>
                <w:szCs w:val="20"/>
                <w:color w:val="auto"/>
              </w:rPr>
            </w:pPr>
            <w:r>
              <w:rPr>
                <w:rFonts w:ascii="Arial" w:cs="Arial" w:eastAsia="Arial" w:hAnsi="Arial"/>
                <w:sz w:val="20"/>
                <w:szCs w:val="20"/>
                <w:color w:val="auto"/>
              </w:rPr>
              <w:t>Free Cash Flow</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50.1</w:t>
            </w: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20"/>
                <w:szCs w:val="20"/>
                <w:color w:val="auto"/>
              </w:rPr>
              <w:t>17.3</w:t>
            </w:r>
          </w:p>
        </w:tc>
        <w:tc>
          <w:tcPr>
            <w:tcW w:w="400" w:type="dxa"/>
            <w:vAlign w:val="bottom"/>
            <w:shd w:val="clear" w:color="auto" w:fill="CCEEFF"/>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20"/>
                <w:szCs w:val="20"/>
                <w:color w:val="auto"/>
              </w:rPr>
              <w:t>32.8</w:t>
            </w:r>
          </w:p>
        </w:tc>
        <w:tc>
          <w:tcPr>
            <w:tcW w:w="1260" w:type="dxa"/>
            <w:vAlign w:val="bottom"/>
            <w:shd w:val="clear" w:color="auto" w:fill="CCEEFF"/>
          </w:tcPr>
          <w:p>
            <w:pPr>
              <w:jc w:val="center"/>
              <w:ind w:right="2"/>
              <w:spacing w:after="0"/>
              <w:rPr>
                <w:sz w:val="20"/>
                <w:szCs w:val="20"/>
                <w:color w:val="auto"/>
              </w:rPr>
            </w:pPr>
            <w:r>
              <w:rPr>
                <w:rFonts w:ascii="Arial" w:cs="Arial" w:eastAsia="Arial" w:hAnsi="Arial"/>
                <w:sz w:val="20"/>
                <w:szCs w:val="20"/>
                <w:color w:val="auto"/>
              </w:rPr>
              <w:t>190%</w:t>
            </w:r>
          </w:p>
        </w:tc>
      </w:tr>
      <w:tr>
        <w:trPr>
          <w:trHeight w:val="339"/>
        </w:trPr>
        <w:tc>
          <w:tcPr>
            <w:tcW w:w="5380" w:type="dxa"/>
            <w:vAlign w:val="bottom"/>
          </w:tcPr>
          <w:p>
            <w:pPr>
              <w:ind w:left="240"/>
              <w:spacing w:after="0"/>
              <w:rPr>
                <w:sz w:val="20"/>
                <w:szCs w:val="20"/>
                <w:color w:val="auto"/>
              </w:rPr>
            </w:pPr>
            <w:r>
              <w:rPr>
                <w:rFonts w:ascii="Arial" w:cs="Arial" w:eastAsia="Arial" w:hAnsi="Arial"/>
                <w:sz w:val="20"/>
                <w:szCs w:val="20"/>
                <w:color w:val="auto"/>
              </w:rPr>
              <w:t>Dividends Paid</w:t>
            </w:r>
            <w:r>
              <w:rPr>
                <w:rFonts w:ascii="Arial" w:cs="Arial" w:eastAsia="Arial" w:hAnsi="Arial"/>
                <w:sz w:val="25"/>
                <w:szCs w:val="25"/>
                <w:color w:val="auto"/>
                <w:vertAlign w:val="superscript"/>
              </w:rPr>
              <w:t>(2)</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20"/>
                <w:szCs w:val="20"/>
                <w:color w:val="auto"/>
              </w:rPr>
              <w:t>25.8</w:t>
            </w:r>
          </w:p>
        </w:tc>
        <w:tc>
          <w:tcPr>
            <w:tcW w:w="40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43"/>
              <w:spacing w:after="0"/>
              <w:rPr>
                <w:sz w:val="20"/>
                <w:szCs w:val="20"/>
                <w:color w:val="auto"/>
              </w:rPr>
            </w:pPr>
            <w:r>
              <w:rPr>
                <w:rFonts w:ascii="Arial" w:cs="Arial" w:eastAsia="Arial" w:hAnsi="Arial"/>
                <w:sz w:val="20"/>
                <w:szCs w:val="20"/>
                <w:color w:val="auto"/>
              </w:rPr>
              <w:t>23.7</w:t>
            </w:r>
          </w:p>
        </w:tc>
        <w:tc>
          <w:tcPr>
            <w:tcW w:w="40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202"/>
              <w:spacing w:after="0"/>
              <w:rPr>
                <w:sz w:val="20"/>
                <w:szCs w:val="20"/>
                <w:color w:val="auto"/>
              </w:rPr>
            </w:pPr>
            <w:r>
              <w:rPr>
                <w:rFonts w:ascii="Arial" w:cs="Arial" w:eastAsia="Arial" w:hAnsi="Arial"/>
                <w:sz w:val="20"/>
                <w:szCs w:val="20"/>
                <w:color w:val="auto"/>
              </w:rPr>
              <w:t>2.1</w:t>
            </w:r>
          </w:p>
        </w:tc>
        <w:tc>
          <w:tcPr>
            <w:tcW w:w="1260" w:type="dxa"/>
            <w:vAlign w:val="bottom"/>
          </w:tcPr>
          <w:p>
            <w:pPr>
              <w:jc w:val="center"/>
              <w:ind w:right="2"/>
              <w:spacing w:after="0"/>
              <w:rPr>
                <w:sz w:val="20"/>
                <w:szCs w:val="20"/>
                <w:color w:val="auto"/>
              </w:rPr>
            </w:pPr>
            <w:r>
              <w:rPr>
                <w:rFonts w:ascii="Arial" w:cs="Arial" w:eastAsia="Arial" w:hAnsi="Arial"/>
                <w:sz w:val="20"/>
                <w:szCs w:val="20"/>
                <w:color w:val="auto"/>
                <w:w w:val="96"/>
              </w:rPr>
              <w:t>9%</w:t>
            </w:r>
          </w:p>
        </w:tc>
      </w:tr>
    </w:tbl>
    <w:p>
      <w:pPr>
        <w:spacing w:after="0"/>
        <w:rPr>
          <w:sz w:val="20"/>
          <w:szCs w:val="20"/>
          <w:color w:val="auto"/>
        </w:rPr>
      </w:pPr>
      <w:r>
        <w:rPr>
          <w:rFonts w:ascii="Arial" w:cs="Arial" w:eastAsia="Arial" w:hAnsi="Arial"/>
          <w:sz w:val="16"/>
          <w:szCs w:val="16"/>
          <w:color w:val="auto"/>
        </w:rPr>
        <w:t>NM = Not Meaningful</w:t>
      </w:r>
    </w:p>
    <w:p>
      <w:pPr>
        <w:spacing w:after="0" w:line="15" w:lineRule="exact"/>
        <w:rPr>
          <w:sz w:val="20"/>
          <w:szCs w:val="20"/>
          <w:color w:val="auto"/>
        </w:rPr>
      </w:pPr>
    </w:p>
    <w:p>
      <w:pPr>
        <w:ind w:firstLine="8"/>
        <w:spacing w:after="0" w:line="270"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Items named in the Financial Results Summary differ from names in BWXT Financial Statement. Operating Cash Flow = Net Cash Provided by Operating Activities; Capital Expenditures = Purchases of Property, Plant and Equipment; Dividends Paid = Dividends Paid to Common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31"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First quarter revenue increased in both operating segments. The Government Operations increase was driven by higher special materials processing revenue and naval reactors growth, partially offset by lower microreactor volumes. The Commercial Operations increase was driven by higher revenue associated with commercial nuclear components, field services, fuel and fuel handling as well as growth in medical sales and contribution from Kinectrics.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Income and Adjusted EBITDA</w:t>
      </w:r>
      <w:r>
        <w:rPr>
          <w:rFonts w:ascii="Arial" w:cs="Arial" w:eastAsia="Arial" w:hAnsi="Arial"/>
          <w:sz w:val="25"/>
          <w:szCs w:val="25"/>
          <w:b w:val="1"/>
          <w:bCs w:val="1"/>
          <w:i w:val="1"/>
          <w:iCs w:val="1"/>
          <w:color w:val="auto"/>
          <w:vertAlign w:val="superscript"/>
        </w:rPr>
        <w:t>(1)</w:t>
      </w:r>
    </w:p>
    <w:p>
      <w:pPr>
        <w:ind w:right="220"/>
        <w:spacing w:after="0" w:line="293" w:lineRule="auto"/>
        <w:rPr>
          <w:sz w:val="20"/>
          <w:szCs w:val="20"/>
          <w:color w:val="auto"/>
        </w:rPr>
      </w:pPr>
      <w:r>
        <w:rPr>
          <w:rFonts w:ascii="Arial" w:cs="Arial" w:eastAsia="Arial" w:hAnsi="Arial"/>
          <w:sz w:val="19"/>
          <w:szCs w:val="19"/>
          <w:color w:val="auto"/>
        </w:rPr>
        <w:t>First quarter GAAP operating income increased primarily due to an increase in both Government and Commercial Operations, partially offset by higher corporate expense as well as higher restructuring and transformation and acquisition related costs.</w:t>
      </w:r>
    </w:p>
    <w:p>
      <w:pPr>
        <w:spacing w:after="0" w:line="164" w:lineRule="exact"/>
        <w:rPr>
          <w:sz w:val="20"/>
          <w:szCs w:val="20"/>
          <w:color w:val="auto"/>
        </w:rPr>
      </w:pPr>
    </w:p>
    <w:p>
      <w:pPr>
        <w:ind w:right="220"/>
        <w:spacing w:after="0" w:line="233" w:lineRule="auto"/>
        <w:rPr>
          <w:sz w:val="20"/>
          <w:szCs w:val="20"/>
          <w:color w:val="auto"/>
        </w:rPr>
      </w:pPr>
      <w:r>
        <w:rPr>
          <w:rFonts w:ascii="Arial" w:cs="Arial" w:eastAsia="Arial" w:hAnsi="Arial"/>
          <w:sz w:val="20"/>
          <w:szCs w:val="20"/>
          <w:color w:val="auto"/>
        </w:rPr>
        <w:t>First quarter non-GAAP</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operating income increased driven by growth in Commercial Operations, partially offset by a modest decline in Government Operations and higher corporate expense. The Commercial</w:t>
      </w:r>
    </w:p>
    <w:p>
      <w:pPr>
        <w:spacing w:after="0" w:line="369" w:lineRule="exact"/>
        <w:rPr>
          <w:sz w:val="20"/>
          <w:szCs w:val="20"/>
          <w:color w:val="auto"/>
        </w:rPr>
      </w:pPr>
    </w:p>
    <w:p>
      <w:pPr>
        <w:ind w:firstLine="8"/>
        <w:spacing w:after="0" w:line="286" w:lineRule="auto"/>
        <w:tabs>
          <w:tab w:leader="none" w:pos="268" w:val="left"/>
        </w:tabs>
        <w:numPr>
          <w:ilvl w:val="0"/>
          <w:numId w:val="6"/>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p>
      <w:pPr>
        <w:sectPr>
          <w:pgSz w:w="11900" w:h="16838" w:orient="portrait"/>
          <w:cols w:equalWidth="0" w:num="1">
            <w:col w:w="11240"/>
          </w:cols>
          <w:pgMar w:left="320" w:top="1103" w:right="339" w:bottom="1440" w:gutter="0" w:footer="0" w:header="0"/>
        </w:sectPr>
      </w:pPr>
    </w:p>
    <w:bookmarkStart w:id="4" w:name="page5"/>
    <w:bookmarkEnd w:id="4"/>
    <w:p>
      <w:pPr>
        <w:ind w:right="60"/>
        <w:spacing w:after="0" w:line="262" w:lineRule="auto"/>
        <w:rPr>
          <w:sz w:val="20"/>
          <w:szCs w:val="20"/>
          <w:color w:val="auto"/>
        </w:rPr>
      </w:pPr>
      <w:r>
        <w:rPr>
          <w:rFonts w:ascii="Arial" w:cs="Arial" w:eastAsia="Arial" w:hAnsi="Arial"/>
          <w:sz w:val="20"/>
          <w:szCs w:val="20"/>
          <w:color w:val="auto"/>
        </w:rPr>
        <w:t>Operations increase was driven by higher revenue, good operational performance, and more favorable mix. The slight decrease in Government Operations was due to revenue mix associated with newer special materials projects, partially offset by higher technical services equity income.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First quarter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increased due to higher non-GAAP</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operating income as discussed above.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EPS</w:t>
      </w:r>
    </w:p>
    <w:p>
      <w:pPr>
        <w:spacing w:after="0" w:line="13" w:lineRule="exact"/>
        <w:rPr>
          <w:sz w:val="20"/>
          <w:szCs w:val="20"/>
          <w:color w:val="auto"/>
        </w:rPr>
      </w:pPr>
    </w:p>
    <w:p>
      <w:pPr>
        <w:ind w:right="200"/>
        <w:spacing w:after="0" w:line="227" w:lineRule="auto"/>
        <w:rPr>
          <w:sz w:val="20"/>
          <w:szCs w:val="20"/>
          <w:color w:val="auto"/>
        </w:rPr>
      </w:pPr>
      <w:r>
        <w:rPr>
          <w:rFonts w:ascii="Arial" w:cs="Arial" w:eastAsia="Arial" w:hAnsi="Arial"/>
          <w:sz w:val="20"/>
          <w:szCs w:val="20"/>
          <w:color w:val="auto"/>
        </w:rPr>
        <w:t>First quarter GAAP and non-GAAP</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EPS increased as higher operating income, lower interest expense, and a lower effective tax rate were partially offset by lower other income.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w:t>
      </w:r>
    </w:p>
    <w:p>
      <w:pPr>
        <w:spacing w:after="0" w:line="31" w:lineRule="exact"/>
        <w:rPr>
          <w:sz w:val="20"/>
          <w:szCs w:val="20"/>
          <w:color w:val="auto"/>
        </w:rPr>
      </w:pPr>
    </w:p>
    <w:p>
      <w:pPr>
        <w:jc w:val="both"/>
        <w:ind w:right="180"/>
        <w:spacing w:after="0" w:line="253" w:lineRule="auto"/>
        <w:rPr>
          <w:sz w:val="20"/>
          <w:szCs w:val="20"/>
          <w:color w:val="auto"/>
        </w:rPr>
      </w:pPr>
      <w:r>
        <w:rPr>
          <w:rFonts w:ascii="Arial" w:cs="Arial" w:eastAsia="Arial" w:hAnsi="Arial"/>
          <w:sz w:val="20"/>
          <w:szCs w:val="20"/>
          <w:color w:val="auto"/>
        </w:rPr>
        <w:t>First quarter operating cash flow growth was primarily driven by higher net income and improved working capital management. Capital expenditures increased mainly due to timing of various growth projects throughout in both Government Operations and Commercial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w:t>
      </w:r>
    </w:p>
    <w:p>
      <w:pPr>
        <w:spacing w:after="0" w:line="18" w:lineRule="exact"/>
        <w:rPr>
          <w:sz w:val="20"/>
          <w:szCs w:val="20"/>
          <w:color w:val="auto"/>
        </w:rPr>
      </w:pPr>
    </w:p>
    <w:p>
      <w:pPr>
        <w:jc w:val="both"/>
        <w:ind w:right="80"/>
        <w:spacing w:after="0" w:line="253" w:lineRule="auto"/>
        <w:rPr>
          <w:sz w:val="20"/>
          <w:szCs w:val="20"/>
          <w:color w:val="auto"/>
        </w:rPr>
      </w:pPr>
      <w:r>
        <w:rPr>
          <w:rFonts w:ascii="Arial" w:cs="Arial" w:eastAsia="Arial" w:hAnsi="Arial"/>
          <w:sz w:val="20"/>
          <w:szCs w:val="20"/>
          <w:color w:val="auto"/>
        </w:rPr>
        <w:t>BWXT paid $25.8 million, or $ 0.27 per common share, to shareholders in the first quarter of 2026. On April 29, 2026, the BWXT Board of Directors declared a quarterly cash dividend of $0.27 per common share payable on June 5, 2026, to shareholders of record on May 19, 2026.</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2026 Guidance</w:t>
      </w:r>
    </w:p>
    <w:p>
      <w:pPr>
        <w:spacing w:after="0" w:line="26"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BWXT raised its 2026 guidance for revenue, adjusted EBITDA, non-GAAP EPS</w:t>
      </w:r>
      <w:r>
        <w:rPr>
          <w:rFonts w:ascii="Arial" w:cs="Arial" w:eastAsia="Arial" w:hAnsi="Arial"/>
          <w:sz w:val="25"/>
          <w:szCs w:val="25"/>
          <w:color w:val="auto"/>
          <w:vertAlign w:val="superscript"/>
        </w:rPr>
        <w:t>(1)</w:t>
      </w:r>
      <w:r>
        <w:rPr>
          <w:rFonts w:ascii="Arial" w:cs="Arial" w:eastAsia="Arial" w:hAnsi="Arial"/>
          <w:sz w:val="20"/>
          <w:szCs w:val="20"/>
          <w:color w:val="auto"/>
        </w:rPr>
        <w:t>, and free cash flow</w:t>
      </w:r>
      <w:r>
        <w:rPr>
          <w:rFonts w:ascii="Arial" w:cs="Arial" w:eastAsia="Arial" w:hAnsi="Arial"/>
          <w:sz w:val="25"/>
          <w:szCs w:val="25"/>
          <w:color w:val="auto"/>
          <w:vertAlign w:val="superscript"/>
        </w:rPr>
        <w:t>(1)</w:t>
      </w:r>
      <w:r>
        <w:rPr>
          <w:rFonts w:ascii="Arial" w:cs="Arial" w:eastAsia="Arial" w:hAnsi="Arial"/>
          <w:sz w:val="20"/>
          <w:szCs w:val="20"/>
          <w:color w:val="auto"/>
        </w:rPr>
        <w:t>. 2026 guidance does not include contribution from the announced acquisition of Precision Components Group, LLC.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Year Ending</w:t>
            </w: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Ending</w:t>
            </w:r>
          </w:p>
        </w:tc>
      </w:tr>
      <w:tr>
        <w:trPr>
          <w:trHeight w:val="216"/>
        </w:trPr>
        <w:tc>
          <w:tcPr>
            <w:tcW w:w="514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 2025</w:t>
            </w: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 2026</w:t>
            </w: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 2026</w:t>
            </w:r>
          </w:p>
        </w:tc>
      </w:tr>
      <w:tr>
        <w:trPr>
          <w:trHeight w:val="225"/>
        </w:trPr>
        <w:tc>
          <w:tcPr>
            <w:tcW w:w="5140" w:type="dxa"/>
            <w:vAlign w:val="bottom"/>
          </w:tcPr>
          <w:p>
            <w:pPr>
              <w:spacing w:after="0"/>
              <w:rPr>
                <w:sz w:val="19"/>
                <w:szCs w:val="19"/>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Results</w:t>
            </w:r>
          </w:p>
        </w:tc>
        <w:tc>
          <w:tcPr>
            <w:tcW w:w="2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Current Guidance</w:t>
            </w: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Prior Guidance</w:t>
            </w:r>
          </w:p>
        </w:tc>
      </w:tr>
      <w:tr>
        <w:trPr>
          <w:trHeight w:val="27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$3,198</w:t>
            </w:r>
          </w:p>
        </w:tc>
        <w:tc>
          <w:tcPr>
            <w:tcW w:w="120" w:type="dxa"/>
            <w:vAlign w:val="bottom"/>
            <w:tcBorders>
              <w:top w:val="single" w:sz="8" w:color="CCEEFF"/>
            </w:tcBorders>
            <w:shd w:val="clear" w:color="auto" w:fill="CCEEFF"/>
          </w:tcPr>
          <w:p>
            <w:pPr>
              <w:spacing w:after="0"/>
              <w:rPr>
                <w:sz w:val="23"/>
                <w:szCs w:val="23"/>
                <w:color w:val="auto"/>
              </w:rPr>
            </w:pPr>
          </w:p>
        </w:tc>
        <w:tc>
          <w:tcPr>
            <w:tcW w:w="19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20"/>
                <w:szCs w:val="20"/>
                <w:color w:val="auto"/>
                <w:w w:val="98"/>
              </w:rPr>
              <w:t>&gt;$3,750</w:t>
            </w:r>
          </w:p>
        </w:tc>
        <w:tc>
          <w:tcPr>
            <w:tcW w:w="120" w:type="dxa"/>
            <w:vAlign w:val="bottom"/>
            <w:tcBorders>
              <w:top w:val="single" w:sz="8" w:color="CCEEFF"/>
            </w:tcBorders>
            <w:shd w:val="clear" w:color="auto" w:fill="CCEEFF"/>
          </w:tcPr>
          <w:p>
            <w:pPr>
              <w:spacing w:after="0"/>
              <w:rPr>
                <w:sz w:val="23"/>
                <w:szCs w:val="23"/>
                <w:color w:val="auto"/>
              </w:rPr>
            </w:pPr>
          </w:p>
        </w:tc>
        <w:tc>
          <w:tcPr>
            <w:tcW w:w="19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20"/>
                <w:szCs w:val="20"/>
                <w:color w:val="auto"/>
                <w:w w:val="98"/>
              </w:rPr>
              <w:t>~$3,750</w:t>
            </w:r>
          </w:p>
        </w:tc>
      </w:tr>
      <w:tr>
        <w:trPr>
          <w:trHeight w:val="270"/>
        </w:trPr>
        <w:tc>
          <w:tcPr>
            <w:tcW w:w="514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1920" w:type="dxa"/>
            <w:vAlign w:val="bottom"/>
          </w:tcPr>
          <w:p>
            <w:pPr>
              <w:jc w:val="center"/>
              <w:spacing w:after="0"/>
              <w:rPr>
                <w:sz w:val="20"/>
                <w:szCs w:val="20"/>
                <w:color w:val="auto"/>
              </w:rPr>
            </w:pPr>
            <w:r>
              <w:rPr>
                <w:rFonts w:ascii="Arial" w:cs="Arial" w:eastAsia="Arial" w:hAnsi="Arial"/>
                <w:sz w:val="20"/>
                <w:szCs w:val="20"/>
                <w:color w:val="auto"/>
                <w:w w:val="98"/>
              </w:rPr>
              <w:t>$574</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$650</w:t>
            </w:r>
          </w:p>
        </w:tc>
        <w:tc>
          <w:tcPr>
            <w:tcW w:w="1020" w:type="dxa"/>
            <w:vAlign w:val="bottom"/>
          </w:tcPr>
          <w:p>
            <w:pPr>
              <w:ind w:left="20"/>
              <w:spacing w:after="0"/>
              <w:rPr>
                <w:sz w:val="20"/>
                <w:szCs w:val="20"/>
                <w:color w:val="auto"/>
              </w:rPr>
            </w:pPr>
            <w:r>
              <w:rPr>
                <w:rFonts w:ascii="Arial" w:cs="Arial" w:eastAsia="Arial" w:hAnsi="Arial"/>
                <w:sz w:val="20"/>
                <w:szCs w:val="20"/>
                <w:color w:val="auto"/>
              </w:rPr>
              <w:t>- $665</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$645</w:t>
            </w:r>
          </w:p>
        </w:tc>
        <w:tc>
          <w:tcPr>
            <w:tcW w:w="1020" w:type="dxa"/>
            <w:vAlign w:val="bottom"/>
          </w:tcPr>
          <w:p>
            <w:pPr>
              <w:ind w:left="20"/>
              <w:spacing w:after="0"/>
              <w:rPr>
                <w:sz w:val="20"/>
                <w:szCs w:val="20"/>
                <w:color w:val="auto"/>
              </w:rPr>
            </w:pPr>
            <w:r>
              <w:rPr>
                <w:rFonts w:ascii="Arial" w:cs="Arial" w:eastAsia="Arial" w:hAnsi="Arial"/>
                <w:sz w:val="20"/>
                <w:szCs w:val="20"/>
                <w:color w:val="auto"/>
              </w:rPr>
              <w:t>- $660</w:t>
            </w: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Earnings Per Share</w:t>
            </w:r>
          </w:p>
        </w:tc>
        <w:tc>
          <w:tcPr>
            <w:tcW w:w="19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$4.01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$4.60</w:t>
            </w:r>
          </w:p>
        </w:tc>
        <w:tc>
          <w:tcPr>
            <w:tcW w:w="1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 $4.75</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$4.55</w:t>
            </w:r>
          </w:p>
        </w:tc>
        <w:tc>
          <w:tcPr>
            <w:tcW w:w="1020" w:type="dxa"/>
            <w:vAlign w:val="bottom"/>
            <w:shd w:val="clear" w:color="auto" w:fill="CCEEFF"/>
          </w:tcPr>
          <w:p>
            <w:pPr>
              <w:ind w:left="20"/>
              <w:spacing w:after="0"/>
              <w:rPr>
                <w:sz w:val="20"/>
                <w:szCs w:val="20"/>
                <w:color w:val="auto"/>
              </w:rPr>
            </w:pPr>
            <w:r>
              <w:rPr>
                <w:rFonts w:ascii="Arial" w:cs="Arial" w:eastAsia="Arial" w:hAnsi="Arial"/>
                <w:sz w:val="20"/>
                <w:szCs w:val="20"/>
                <w:color w:val="auto"/>
              </w:rPr>
              <w:t>- $4.70</w:t>
            </w:r>
          </w:p>
        </w:tc>
      </w:tr>
      <w:tr>
        <w:trPr>
          <w:trHeight w:val="316"/>
        </w:trPr>
        <w:tc>
          <w:tcPr>
            <w:tcW w:w="5140" w:type="dxa"/>
            <w:vAlign w:val="bottom"/>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1920" w:type="dxa"/>
            <w:vAlign w:val="bottom"/>
          </w:tcPr>
          <w:p>
            <w:pPr>
              <w:jc w:val="center"/>
              <w:spacing w:after="0"/>
              <w:rPr>
                <w:sz w:val="20"/>
                <w:szCs w:val="20"/>
                <w:color w:val="auto"/>
              </w:rPr>
            </w:pPr>
            <w:r>
              <w:rPr>
                <w:rFonts w:ascii="Arial" w:cs="Arial" w:eastAsia="Arial" w:hAnsi="Arial"/>
                <w:sz w:val="20"/>
                <w:szCs w:val="20"/>
                <w:color w:val="auto"/>
                <w:w w:val="98"/>
              </w:rPr>
              <w:t>$295</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$315</w:t>
            </w:r>
          </w:p>
        </w:tc>
        <w:tc>
          <w:tcPr>
            <w:tcW w:w="1020" w:type="dxa"/>
            <w:vAlign w:val="bottom"/>
          </w:tcPr>
          <w:p>
            <w:pPr>
              <w:ind w:left="20"/>
              <w:spacing w:after="0"/>
              <w:rPr>
                <w:sz w:val="20"/>
                <w:szCs w:val="20"/>
                <w:color w:val="auto"/>
              </w:rPr>
            </w:pPr>
            <w:r>
              <w:rPr>
                <w:rFonts w:ascii="Arial" w:cs="Arial" w:eastAsia="Arial" w:hAnsi="Arial"/>
                <w:sz w:val="20"/>
                <w:szCs w:val="20"/>
                <w:color w:val="auto"/>
              </w:rPr>
              <w:t>- $330</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$305</w:t>
            </w:r>
          </w:p>
        </w:tc>
        <w:tc>
          <w:tcPr>
            <w:tcW w:w="1020" w:type="dxa"/>
            <w:vAlign w:val="bottom"/>
          </w:tcPr>
          <w:p>
            <w:pPr>
              <w:ind w:left="20"/>
              <w:spacing w:after="0"/>
              <w:rPr>
                <w:sz w:val="20"/>
                <w:szCs w:val="20"/>
                <w:color w:val="auto"/>
              </w:rPr>
            </w:pPr>
            <w:r>
              <w:rPr>
                <w:rFonts w:ascii="Arial" w:cs="Arial" w:eastAsia="Arial" w:hAnsi="Arial"/>
                <w:sz w:val="20"/>
                <w:szCs w:val="20"/>
                <w:color w:val="auto"/>
              </w:rPr>
              <w:t>- $320</w:t>
            </w:r>
          </w:p>
        </w:tc>
      </w:tr>
    </w:tbl>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 xml:space="preserve">Additional information can be found in the first quarter 2026 earnings call presentation on the BWXT investor relations website at </w:t>
      </w:r>
      <w:r>
        <w:rPr>
          <w:rFonts w:ascii="Arial" w:cs="Arial" w:eastAsia="Arial" w:hAnsi="Arial"/>
          <w:sz w:val="20"/>
          <w:szCs w:val="20"/>
          <w:u w:val="single" w:color="auto"/>
          <w:color w:val="0563C1"/>
        </w:rPr>
        <w:t>www.bwxt.com/investors</w:t>
      </w:r>
      <w:r>
        <w:rPr>
          <w:rFonts w:ascii="Arial" w:cs="Arial" w:eastAsia="Arial" w:hAnsi="Arial"/>
          <w:sz w:val="20"/>
          <w:szCs w:val="20"/>
          <w:color w:val="000000"/>
        </w:rPr>
        <w:t>. The Company does not provide GAAP guidance because it is unable to reliably forecast most of the</w:t>
      </w:r>
      <w:r>
        <w:rPr>
          <w:rFonts w:ascii="Arial" w:cs="Arial" w:eastAsia="Arial" w:hAnsi="Arial"/>
          <w:sz w:val="20"/>
          <w:szCs w:val="20"/>
          <w:color w:val="0563C1"/>
        </w:rPr>
        <w:t xml:space="preserve"> </w:t>
      </w:r>
      <w:r>
        <w:rPr>
          <w:rFonts w:ascii="Arial" w:cs="Arial" w:eastAsia="Arial" w:hAnsi="Arial"/>
          <w:sz w:val="20"/>
          <w:szCs w:val="20"/>
          <w:color w:val="000000"/>
        </w:rPr>
        <w:t>items that are excluded from GAAP to calculate non-GAAP results. These items could cause GAAP results to differ materially from non-GAAP results.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Conference Call to Discuss First Quarter 2026 Results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Date: </w:t>
      </w:r>
      <w:r>
        <w:rPr>
          <w:rFonts w:ascii="Arial" w:cs="Arial" w:eastAsia="Arial" w:hAnsi="Arial"/>
          <w:sz w:val="20"/>
          <w:szCs w:val="20"/>
          <w:color w:val="auto"/>
        </w:rPr>
        <w:t>Monday, May 4, 2026, at 5:00 p.m. EDT</w:t>
      </w:r>
    </w:p>
    <w:p>
      <w:pPr>
        <w:spacing w:after="0"/>
        <w:rPr>
          <w:sz w:val="20"/>
          <w:szCs w:val="20"/>
          <w:color w:val="auto"/>
        </w:rPr>
      </w:pPr>
      <w:r>
        <w:rPr>
          <w:rFonts w:ascii="Arial" w:cs="Arial" w:eastAsia="Arial" w:hAnsi="Arial"/>
          <w:sz w:val="20"/>
          <w:szCs w:val="20"/>
          <w:b w:val="1"/>
          <w:bCs w:val="1"/>
          <w:color w:val="auto"/>
        </w:rPr>
        <w:t xml:space="preserve">Live Webcast: </w:t>
      </w:r>
      <w:r>
        <w:rPr>
          <w:rFonts w:ascii="Arial" w:cs="Arial" w:eastAsia="Arial" w:hAnsi="Arial"/>
          <w:sz w:val="20"/>
          <w:szCs w:val="20"/>
          <w:color w:val="auto"/>
        </w:rPr>
        <w:t>Investor Relations section of website at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www.bwxt.com</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Full Earnings Release Available on BWXT Website</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 full version of this earnings release is available on our Investor Relations website at </w:t>
      </w:r>
      <w:r>
        <w:rPr>
          <w:rFonts w:ascii="Arial" w:cs="Arial" w:eastAsia="Arial" w:hAnsi="Arial"/>
          <w:sz w:val="19"/>
          <w:szCs w:val="19"/>
          <w:u w:val="single" w:color="auto"/>
          <w:color w:val="0563C1"/>
        </w:rPr>
        <w:t>http://investors.bwxt.com/1Q2026-release</w:t>
      </w:r>
      <w:r>
        <w:rPr>
          <w:rFonts w:ascii="Arial" w:cs="Arial" w:eastAsia="Arial" w:hAnsi="Arial"/>
          <w:sz w:val="19"/>
          <w:szCs w:val="19"/>
          <w:color w:val="auto"/>
        </w:rPr>
        <w:t>.</w:t>
      </w:r>
    </w:p>
    <w:p>
      <w:pPr>
        <w:spacing w:after="0" w:line="196"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auto"/>
        </w:rPr>
        <w:t xml:space="preserve">BWXT may use its website (www.bwxt.com) as a channel of distribution of material Company information. Financial and other important information regarding BWXT is routinely accessible through and posted on our website. In addition, you may elect to automatically receive e-mail alerts and other information about BWXT by enrolling through the “Email Alerts” section of our website at </w:t>
      </w:r>
      <w:r>
        <w:rPr>
          <w:rFonts w:ascii="Arial" w:cs="Arial" w:eastAsia="Arial" w:hAnsi="Arial"/>
          <w:sz w:val="20"/>
          <w:szCs w:val="20"/>
          <w:u w:val="single" w:color="auto"/>
          <w:color w:val="0000FF"/>
        </w:rPr>
        <w:t>http://investors.bwxt.com.</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8"/>
        <w:spacing w:after="0" w:line="286" w:lineRule="auto"/>
        <w:tabs>
          <w:tab w:leader="none" w:pos="268" w:val="left"/>
        </w:tabs>
        <w:numPr>
          <w:ilvl w:val="0"/>
          <w:numId w:val="7"/>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p>
      <w:pPr>
        <w:sectPr>
          <w:pgSz w:w="11900" w:h="16838" w:orient="portrait"/>
          <w:cols w:equalWidth="0" w:num="1">
            <w:col w:w="11240"/>
          </w:cols>
          <w:pgMar w:left="320" w:top="88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i w:val="1"/>
          <w:iCs w:val="1"/>
          <w:color w:val="auto"/>
        </w:rPr>
        <w:t>Non-GAAP Measures</w:t>
      </w:r>
    </w:p>
    <w:p>
      <w:pPr>
        <w:spacing w:after="0" w:line="31"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BWXT uses and makes reference to adjusted EBITDA, non-GAAP EPS, free cash flow and free cash flow conversion, which are not recognized measures under GAAP. BWXT is providing these non-GAAP measures to supplement the results provided in accordance with GAAP and it should not be considered superior to, or as a substitute for, the comparable GAAP measures. BWXT believes the non-GAAP measures provide meaningful insight and transparency into the Company’s operational performance and provides these measures to investors to help facilitate comparisons of operating results with prior periods and to assist them in understanding BWXT's ongoing operations. Definitions for the non-GAAP measures are provided below and reconciliations are detailed in Exhibit 1, except that reconciliations of forward-looking GAAP measures are not provided because the company is unable to reliably forecast most of the items that are excluded from GAAP to calculate non-GAAP results. Other companies may define these measures differently or may utilize different non-GAAP measures, thus impacting comparability.</w:t>
      </w:r>
    </w:p>
    <w:p>
      <w:pPr>
        <w:spacing w:after="0" w:line="211"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Non-GAAP Earnings Per Share (EPS) is calculated using GAAP EPS less the non-operational tax effected per share impact of pension &amp; OPEB mark-to-market gains or losses and other one-time items, such as restructuring, transformation, acquisition-related costs, and acquisition-related amortization.</w:t>
      </w:r>
    </w:p>
    <w:p>
      <w:pPr>
        <w:spacing w:after="0" w:line="205" w:lineRule="exact"/>
        <w:rPr>
          <w:sz w:val="20"/>
          <w:szCs w:val="20"/>
          <w:color w:val="auto"/>
        </w:rPr>
      </w:pPr>
    </w:p>
    <w:p>
      <w:pPr>
        <w:ind w:right="40"/>
        <w:spacing w:after="0" w:line="298" w:lineRule="auto"/>
        <w:rPr>
          <w:sz w:val="20"/>
          <w:szCs w:val="20"/>
          <w:color w:val="auto"/>
        </w:rPr>
      </w:pPr>
      <w:r>
        <w:rPr>
          <w:rFonts w:ascii="Arial" w:cs="Arial" w:eastAsia="Arial" w:hAnsi="Arial"/>
          <w:sz w:val="19"/>
          <w:szCs w:val="19"/>
          <w:color w:val="auto"/>
        </w:rPr>
        <w:t>Adjusted Earnings Before Interest, Taxes, Depreciation and Amortization (EBITDA) is calculated using non-GAAP net income, plus provision for income taxes, less other – net, less interest income, plus interest expense, plus depreciation and amortization.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Adjusted pre-tax income is non-GAAP income before provision for income taxes.</w:t>
      </w:r>
    </w:p>
    <w:p>
      <w:pPr>
        <w:spacing w:after="0" w:line="229" w:lineRule="exact"/>
        <w:rPr>
          <w:sz w:val="20"/>
          <w:szCs w:val="20"/>
          <w:color w:val="auto"/>
        </w:rPr>
      </w:pPr>
    </w:p>
    <w:p>
      <w:pPr>
        <w:ind w:right="940"/>
        <w:spacing w:after="0" w:line="271" w:lineRule="auto"/>
        <w:rPr>
          <w:sz w:val="20"/>
          <w:szCs w:val="20"/>
          <w:color w:val="auto"/>
        </w:rPr>
      </w:pPr>
      <w:r>
        <w:rPr>
          <w:rFonts w:ascii="Arial" w:cs="Arial" w:eastAsia="Arial" w:hAnsi="Arial"/>
          <w:sz w:val="20"/>
          <w:szCs w:val="20"/>
          <w:color w:val="auto"/>
        </w:rPr>
        <w:t>Free Cash Flow (FCF) is calculated using net income to derive net cash provided by (used in) operating activities less purchases of property, plant and equipment.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conversion is free cash flow divided by net income.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Non-GAAP Adjustments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Our GAAP financial results detailed in Exhibit 1 have been adjusted for the following items:</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auto"/>
        </w:rPr>
        <w:t>Restructuring and Transformation Costs: Restructuring and transformation costs include restructuring charges as well as costs associated with our efforts to optimize underlying business processes through investments in information technology, process improvements and the implementation of strategic actions and initiatives which we deem to be incremental and non-recurring in nature.</w:t>
      </w:r>
    </w:p>
    <w:p>
      <w:pPr>
        <w:spacing w:after="0" w:line="182" w:lineRule="exact"/>
        <w:rPr>
          <w:sz w:val="20"/>
          <w:szCs w:val="20"/>
          <w:color w:val="auto"/>
        </w:rPr>
      </w:pPr>
    </w:p>
    <w:p>
      <w:pPr>
        <w:ind w:right="460"/>
        <w:spacing w:after="0" w:line="298" w:lineRule="auto"/>
        <w:rPr>
          <w:sz w:val="20"/>
          <w:szCs w:val="20"/>
          <w:color w:val="auto"/>
        </w:rPr>
      </w:pPr>
      <w:r>
        <w:rPr>
          <w:rFonts w:ascii="Arial" w:cs="Arial" w:eastAsia="Arial" w:hAnsi="Arial"/>
          <w:sz w:val="19"/>
          <w:szCs w:val="19"/>
          <w:color w:val="auto"/>
        </w:rPr>
        <w:t>Acquisition-related Costs: Acquisition-related costs relate to third-party professional service costs and one-time incremental costs associated with due diligence activities and efforts to integrate the acquired business with our legacy operations.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Forward-Looking Statements</w:t>
      </w:r>
    </w:p>
    <w:p>
      <w:pPr>
        <w:spacing w:after="0" w:line="31"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BWXT cautions that this release contains forward-looking statements, including, without limitation, statements relating to backlog, to the extent they may be viewed as an indicator of future revenues; our plans and expectations for each of our reportable segments, including growth opportunities and the expectations, timing and revenue of our strategic initiatives, such as medical radioisotopes, SMR components and recent acquisitions; disruptions to our supply chain and/or operations, changes in government regulations and other factors; and our expectations and guidance for 2026 and beyond. These forward-looking statements are based on management’s current expectations and involve a number of risks and uncertainties, including, among other things, our ability to execute contracts in backlog; federal budget uncertainty, the risk of future budget cuts, the impact of continuing resolution funding mechanisms and the debt ceiling, the potential for government shutdowns and changing funding and acquisition priorities; the demand for and competitiveness of nuclear products and services; capital priorities of power generating utilities and other customers; the timing of technology development, regulatory approvals and automation of production; the receipt and/or timing of government approvals; the potential recurrence of</w:t>
      </w:r>
    </w:p>
    <w:p>
      <w:pPr>
        <w:spacing w:after="0" w:line="348" w:lineRule="exact"/>
        <w:rPr>
          <w:sz w:val="20"/>
          <w:szCs w:val="20"/>
          <w:color w:val="auto"/>
        </w:rPr>
      </w:pPr>
    </w:p>
    <w:p>
      <w:pPr>
        <w:ind w:firstLine="8"/>
        <w:spacing w:after="0" w:line="304" w:lineRule="auto"/>
        <w:tabs>
          <w:tab w:leader="none" w:pos="268" w:val="left"/>
        </w:tabs>
        <w:numPr>
          <w:ilvl w:val="0"/>
          <w:numId w:val="8"/>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p>
      <w:pPr>
        <w:sectPr>
          <w:pgSz w:w="11900" w:h="16838" w:orient="portrait"/>
          <w:cols w:equalWidth="0" w:num="1">
            <w:col w:w="11240"/>
          </w:cols>
          <w:pgMar w:left="320" w:top="1103" w:right="339" w:bottom="1440" w:gutter="0" w:footer="0" w:header="0"/>
        </w:sectPr>
      </w:pPr>
    </w:p>
    <w:bookmarkStart w:id="6" w:name="page7"/>
    <w:bookmarkEnd w:id="6"/>
    <w:p>
      <w:pPr>
        <w:ind w:right="20"/>
        <w:spacing w:after="0" w:line="254" w:lineRule="auto"/>
        <w:rPr>
          <w:sz w:val="20"/>
          <w:szCs w:val="20"/>
          <w:color w:val="auto"/>
        </w:rPr>
      </w:pPr>
      <w:r>
        <w:rPr>
          <w:rFonts w:ascii="Arial" w:cs="Arial" w:eastAsia="Arial" w:hAnsi="Arial"/>
          <w:sz w:val="20"/>
          <w:szCs w:val="20"/>
          <w:color w:val="auto"/>
        </w:rPr>
        <w:t>subsequent waves or strains of COVID-19 or similar diseases; labor market challenges, including employee retention and recruitment; adverse changes in the industries in which we operate; and delays, changes or termination of contracts in backlog. If one or more of these risks or other risks materialize, actual results may vary materially from those expressed. For a more complete discussion of these and other risk factors, see BWXT’s filings with the Securities and Exchange Commission, including our annual report on Form 10-K for the year ended December 31, 2025 and subsequent Form 10-Q filings. BWXT cautions not to place undue reliance on these forward-looking statements, which speak only as of the date of this release, and undertakes no obligation to update or revise any forward-looking statement, except to the extent required by applicable law.</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About BWXT</w:t>
      </w:r>
    </w:p>
    <w:p>
      <w:pPr>
        <w:spacing w:after="0" w:line="3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At BWX Technologies, Inc. (NYSE: BWXT), we are People Strong, Innovation Driven. A U.S.-based company with approximately 10,000 employees, BWXT is a Fortune 1000 and Defense News Top 100 manufacturing and engineering innovator that provides safe and effective nuclear solutions for global security, clean energy, nuclear medicine, space exploration and environmental restoration. BWXT owns and operates 17 manufacturing facilities globally, and its 14 strategic partnerships support the U.S. and Canadian governments at more than two dozen additional locations.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visit </w:t>
      </w:r>
      <w:r>
        <w:rPr>
          <w:rFonts w:ascii="Arial" w:cs="Arial" w:eastAsia="Arial" w:hAnsi="Arial"/>
          <w:sz w:val="20"/>
          <w:szCs w:val="20"/>
          <w:u w:val="single" w:color="auto"/>
          <w:color w:val="0000FF"/>
        </w:rPr>
        <w:t>www.bwxt.com</w:t>
      </w:r>
      <w:r>
        <w:rPr>
          <w:rFonts w:ascii="Arial" w:cs="Arial" w:eastAsia="Arial" w:hAnsi="Arial"/>
          <w:sz w:val="20"/>
          <w:szCs w:val="20"/>
          <w:color w:val="auto"/>
        </w:rPr>
        <w:t xml:space="preserve">. Follow us on </w:t>
      </w:r>
      <w:r>
        <w:rPr>
          <w:rFonts w:ascii="Arial" w:cs="Arial" w:eastAsia="Arial" w:hAnsi="Arial"/>
          <w:sz w:val="20"/>
          <w:szCs w:val="20"/>
          <w:u w:val="single" w:color="auto"/>
          <w:color w:val="0000FF"/>
        </w:rPr>
        <w:t>LinkedIn</w:t>
      </w:r>
      <w:r>
        <w:rPr>
          <w:rFonts w:ascii="Arial" w:cs="Arial" w:eastAsia="Arial" w:hAnsi="Arial"/>
          <w:sz w:val="20"/>
          <w:szCs w:val="20"/>
          <w:color w:val="auto"/>
        </w:rPr>
        <w:t xml:space="preserve">, </w:t>
      </w:r>
      <w:r>
        <w:rPr>
          <w:rFonts w:ascii="Arial" w:cs="Arial" w:eastAsia="Arial" w:hAnsi="Arial"/>
          <w:sz w:val="20"/>
          <w:szCs w:val="20"/>
          <w:u w:val="single" w:color="auto"/>
          <w:color w:val="0000FF"/>
        </w:rPr>
        <w:t>X</w:t>
      </w:r>
      <w:r>
        <w:rPr>
          <w:rFonts w:ascii="Arial" w:cs="Arial" w:eastAsia="Arial" w:hAnsi="Arial"/>
          <w:sz w:val="20"/>
          <w:szCs w:val="20"/>
          <w:color w:val="auto"/>
        </w:rPr>
        <w:t xml:space="preserve">, </w:t>
      </w:r>
      <w:r>
        <w:rPr>
          <w:rFonts w:ascii="Arial" w:cs="Arial" w:eastAsia="Arial" w:hAnsi="Arial"/>
          <w:sz w:val="20"/>
          <w:szCs w:val="20"/>
          <w:u w:val="single" w:color="auto"/>
          <w:color w:val="0000FF"/>
        </w:rPr>
        <w:t>Facebook</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Instagram</w:t>
      </w:r>
      <w:r>
        <w:rPr>
          <w:rFonts w:ascii="Arial" w:cs="Arial" w:eastAsia="Arial" w:hAnsi="Arial"/>
          <w:sz w:val="20"/>
          <w:szCs w:val="20"/>
          <w:color w:val="auto"/>
        </w:rPr>
        <w:t>.</w:t>
      </w:r>
    </w:p>
    <w:p>
      <w:pPr>
        <w:spacing w:after="0" w:line="268" w:lineRule="exact"/>
        <w:rPr>
          <w:sz w:val="20"/>
          <w:szCs w:val="20"/>
          <w:color w:val="auto"/>
        </w:rPr>
      </w:pPr>
    </w:p>
    <w:tbl>
      <w:tblPr>
        <w:tblLayout w:type="fixed"/>
        <w:tblInd w:w="760" w:type="dxa"/>
        <w:tblCellMar>
          <w:top w:w="0" w:type="dxa"/>
          <w:left w:w="0" w:type="dxa"/>
          <w:bottom w:w="0" w:type="dxa"/>
          <w:right w:w="0" w:type="dxa"/>
        </w:tblCellMar>
      </w:tblPr>
      <w:tr>
        <w:trPr>
          <w:trHeight w:val="258"/>
        </w:trPr>
        <w:tc>
          <w:tcPr>
            <w:tcW w:w="3440" w:type="dxa"/>
            <w:vAlign w:val="bottom"/>
            <w:gridSpan w:val="2"/>
          </w:tcPr>
          <w:p>
            <w:pPr>
              <w:spacing w:after="0"/>
              <w:rPr>
                <w:sz w:val="20"/>
                <w:szCs w:val="20"/>
                <w:color w:val="auto"/>
              </w:rPr>
            </w:pPr>
            <w:r>
              <w:rPr>
                <w:rFonts w:ascii="Arial" w:cs="Arial" w:eastAsia="Arial" w:hAnsi="Arial"/>
                <w:sz w:val="20"/>
                <w:szCs w:val="20"/>
                <w:b w:val="1"/>
                <w:bCs w:val="1"/>
                <w:color w:val="auto"/>
              </w:rPr>
              <w:t>Investor Contact:</w:t>
            </w:r>
          </w:p>
        </w:tc>
        <w:tc>
          <w:tcPr>
            <w:tcW w:w="2740" w:type="dxa"/>
            <w:vAlign w:val="bottom"/>
          </w:tcPr>
          <w:p>
            <w:pPr>
              <w:ind w:left="1120"/>
              <w:spacing w:after="0"/>
              <w:rPr>
                <w:sz w:val="20"/>
                <w:szCs w:val="20"/>
                <w:color w:val="auto"/>
              </w:rPr>
            </w:pPr>
            <w:r>
              <w:rPr>
                <w:rFonts w:ascii="Arial" w:cs="Arial" w:eastAsia="Arial" w:hAnsi="Arial"/>
                <w:sz w:val="20"/>
                <w:szCs w:val="20"/>
                <w:b w:val="1"/>
                <w:bCs w:val="1"/>
                <w:color w:val="auto"/>
              </w:rPr>
              <w:t>Media Contact:</w:t>
            </w:r>
          </w:p>
        </w:tc>
        <w:tc>
          <w:tcPr>
            <w:tcW w:w="18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20"/>
                <w:szCs w:val="20"/>
                <w:color w:val="auto"/>
              </w:rPr>
              <w:t>Chase Jacobson</w:t>
            </w:r>
          </w:p>
        </w:tc>
        <w:tc>
          <w:tcPr>
            <w:tcW w:w="1840" w:type="dxa"/>
            <w:vAlign w:val="bottom"/>
          </w:tcPr>
          <w:p>
            <w:pPr>
              <w:spacing w:after="0"/>
              <w:rPr>
                <w:sz w:val="22"/>
                <w:szCs w:val="22"/>
                <w:color w:val="auto"/>
              </w:rPr>
            </w:pPr>
          </w:p>
        </w:tc>
        <w:tc>
          <w:tcPr>
            <w:tcW w:w="2740" w:type="dxa"/>
            <w:vAlign w:val="bottom"/>
          </w:tcPr>
          <w:p>
            <w:pPr>
              <w:ind w:left="1120"/>
              <w:spacing w:after="0"/>
              <w:rPr>
                <w:sz w:val="20"/>
                <w:szCs w:val="20"/>
                <w:color w:val="auto"/>
              </w:rPr>
            </w:pPr>
            <w:r>
              <w:rPr>
                <w:rFonts w:ascii="Arial" w:cs="Arial" w:eastAsia="Arial" w:hAnsi="Arial"/>
                <w:sz w:val="20"/>
                <w:szCs w:val="20"/>
                <w:color w:val="auto"/>
              </w:rPr>
              <w:t>John Dobken</w:t>
            </w:r>
          </w:p>
        </w:tc>
        <w:tc>
          <w:tcPr>
            <w:tcW w:w="182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6"/>
        </w:trPr>
        <w:tc>
          <w:tcPr>
            <w:tcW w:w="3440" w:type="dxa"/>
            <w:vAlign w:val="bottom"/>
            <w:gridSpan w:val="2"/>
          </w:tcPr>
          <w:p>
            <w:pPr>
              <w:spacing w:after="0"/>
              <w:rPr>
                <w:sz w:val="20"/>
                <w:szCs w:val="20"/>
                <w:color w:val="auto"/>
              </w:rPr>
            </w:pPr>
            <w:r>
              <w:rPr>
                <w:rFonts w:ascii="Arial" w:cs="Arial" w:eastAsia="Arial" w:hAnsi="Arial"/>
                <w:sz w:val="20"/>
                <w:szCs w:val="20"/>
                <w:color w:val="auto"/>
              </w:rPr>
              <w:t>Vice President, Investor Relations</w:t>
            </w:r>
          </w:p>
        </w:tc>
        <w:tc>
          <w:tcPr>
            <w:tcW w:w="4820" w:type="dxa"/>
            <w:vAlign w:val="bottom"/>
            <w:gridSpan w:val="3"/>
          </w:tcPr>
          <w:p>
            <w:pPr>
              <w:ind w:left="1120"/>
              <w:spacing w:after="0"/>
              <w:rPr>
                <w:sz w:val="20"/>
                <w:szCs w:val="20"/>
                <w:color w:val="auto"/>
              </w:rPr>
            </w:pPr>
            <w:r>
              <w:rPr>
                <w:rFonts w:ascii="Arial" w:cs="Arial" w:eastAsia="Arial" w:hAnsi="Arial"/>
                <w:sz w:val="20"/>
                <w:szCs w:val="20"/>
                <w:color w:val="auto"/>
                <w:w w:val="97"/>
              </w:rPr>
              <w:t>Senior Manager, Media &amp; Public Relations</w:t>
            </w:r>
          </w:p>
        </w:tc>
      </w:tr>
      <w:tr>
        <w:trPr>
          <w:trHeight w:val="211"/>
        </w:trPr>
        <w:tc>
          <w:tcPr>
            <w:tcW w:w="1600" w:type="dxa"/>
            <w:vAlign w:val="bottom"/>
          </w:tcPr>
          <w:p>
            <w:pPr>
              <w:spacing w:after="0" w:line="210" w:lineRule="exact"/>
              <w:rPr>
                <w:sz w:val="20"/>
                <w:szCs w:val="20"/>
                <w:color w:val="auto"/>
              </w:rPr>
            </w:pPr>
            <w:r>
              <w:rPr>
                <w:rFonts w:ascii="Arial" w:cs="Arial" w:eastAsia="Arial" w:hAnsi="Arial"/>
                <w:sz w:val="20"/>
                <w:szCs w:val="20"/>
                <w:color w:val="auto"/>
              </w:rPr>
              <w:t>980-365-4300</w:t>
            </w:r>
          </w:p>
        </w:tc>
        <w:tc>
          <w:tcPr>
            <w:tcW w:w="1840" w:type="dxa"/>
            <w:vAlign w:val="bottom"/>
            <w:tcBorders>
              <w:bottom w:val="single" w:sz="8" w:color="0000FF"/>
            </w:tcBorders>
          </w:tcPr>
          <w:p>
            <w:pPr>
              <w:spacing w:after="0" w:line="210" w:lineRule="exact"/>
              <w:rPr>
                <w:sz w:val="20"/>
                <w:szCs w:val="20"/>
                <w:color w:val="auto"/>
              </w:rPr>
            </w:pPr>
            <w:r>
              <w:rPr>
                <w:rFonts w:ascii="Arial" w:cs="Arial" w:eastAsia="Arial" w:hAnsi="Arial"/>
                <w:sz w:val="20"/>
                <w:szCs w:val="20"/>
                <w:color w:val="0000FF"/>
                <w:w w:val="97"/>
              </w:rPr>
              <w:t>Investors@bwxt.com</w:t>
            </w:r>
          </w:p>
        </w:tc>
        <w:tc>
          <w:tcPr>
            <w:tcW w:w="2740" w:type="dxa"/>
            <w:vAlign w:val="bottom"/>
          </w:tcPr>
          <w:p>
            <w:pPr>
              <w:ind w:left="1120"/>
              <w:spacing w:after="0" w:line="210" w:lineRule="exact"/>
              <w:rPr>
                <w:sz w:val="20"/>
                <w:szCs w:val="20"/>
                <w:color w:val="auto"/>
              </w:rPr>
            </w:pPr>
            <w:r>
              <w:rPr>
                <w:rFonts w:ascii="Arial" w:cs="Arial" w:eastAsia="Arial" w:hAnsi="Arial"/>
                <w:sz w:val="20"/>
                <w:szCs w:val="20"/>
                <w:color w:val="auto"/>
              </w:rPr>
              <w:t>202-428-6913</w:t>
            </w:r>
          </w:p>
        </w:tc>
        <w:tc>
          <w:tcPr>
            <w:tcW w:w="1820" w:type="dxa"/>
            <w:vAlign w:val="bottom"/>
            <w:tcBorders>
              <w:bottom w:val="single" w:sz="8" w:color="0000FF"/>
            </w:tcBorders>
          </w:tcPr>
          <w:p>
            <w:pPr>
              <w:spacing w:after="0" w:line="210" w:lineRule="exact"/>
              <w:rPr>
                <w:sz w:val="20"/>
                <w:szCs w:val="20"/>
                <w:color w:val="auto"/>
              </w:rPr>
            </w:pPr>
            <w:r>
              <w:rPr>
                <w:rFonts w:ascii="Arial" w:cs="Arial" w:eastAsia="Arial" w:hAnsi="Arial"/>
                <w:sz w:val="20"/>
                <w:szCs w:val="20"/>
                <w:color w:val="0000FF"/>
                <w:w w:val="97"/>
              </w:rPr>
              <w:t>jcdobken@bwxt.com</w:t>
            </w:r>
          </w:p>
        </w:tc>
        <w:tc>
          <w:tcPr>
            <w:tcW w:w="2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firstLine="8"/>
        <w:spacing w:after="0" w:line="304" w:lineRule="auto"/>
        <w:tabs>
          <w:tab w:leader="none" w:pos="268" w:val="left"/>
        </w:tabs>
        <w:numPr>
          <w:ilvl w:val="0"/>
          <w:numId w:val="9"/>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 1</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BWX TECHNOLOGIES, INC.</w:t>
      </w:r>
    </w:p>
    <w:p>
      <w:pPr>
        <w:jc w:val="center"/>
        <w:ind w:right="20"/>
        <w:spacing w:after="0" w:line="204" w:lineRule="auto"/>
        <w:rPr>
          <w:sz w:val="20"/>
          <w:szCs w:val="20"/>
          <w:color w:val="auto"/>
        </w:rPr>
      </w:pPr>
      <w:r>
        <w:rPr>
          <w:rFonts w:ascii="Arial" w:cs="Arial" w:eastAsia="Arial" w:hAnsi="Arial"/>
          <w:sz w:val="18"/>
          <w:szCs w:val="18"/>
          <w:b w:val="1"/>
          <w:bCs w:val="1"/>
          <w:color w:val="auto"/>
        </w:rPr>
        <w:t>RECONCILIATION OF NON-GAAP OPERATING INCOME AND EARNINGS PER SHARE</w:t>
      </w:r>
      <w:r>
        <w:rPr>
          <w:rFonts w:ascii="Arial" w:cs="Arial" w:eastAsia="Arial" w:hAnsi="Arial"/>
          <w:sz w:val="23"/>
          <w:szCs w:val="23"/>
          <w:b w:val="1"/>
          <w:bCs w:val="1"/>
          <w:color w:val="auto"/>
          <w:vertAlign w:val="superscript"/>
        </w:rPr>
        <w:t>(1)(2)(3)</w:t>
      </w:r>
    </w:p>
    <w:p>
      <w:pPr>
        <w:jc w:val="center"/>
        <w:ind w:right="2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40" w:type="dxa"/>
            <w:vAlign w:val="bottom"/>
          </w:tcPr>
          <w:p>
            <w:pPr>
              <w:spacing w:after="0"/>
              <w:rPr>
                <w:sz w:val="17"/>
                <w:szCs w:val="17"/>
                <w:color w:val="auto"/>
              </w:rPr>
            </w:pPr>
          </w:p>
        </w:tc>
        <w:tc>
          <w:tcPr>
            <w:tcW w:w="310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March 31, 2026</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Restructuring &amp;</w:t>
            </w:r>
          </w:p>
        </w:tc>
        <w:tc>
          <w:tcPr>
            <w:tcW w:w="16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Acquisition-</w:t>
            </w:r>
          </w:p>
        </w:tc>
        <w:tc>
          <w:tcPr>
            <w:tcW w:w="180" w:type="dxa"/>
            <w:vAlign w:val="bottom"/>
          </w:tcPr>
          <w:p>
            <w:pPr>
              <w:spacing w:after="0"/>
              <w:rPr>
                <w:sz w:val="11"/>
                <w:szCs w:val="11"/>
                <w:color w:val="auto"/>
              </w:rPr>
            </w:pPr>
          </w:p>
        </w:tc>
        <w:tc>
          <w:tcPr>
            <w:tcW w:w="1320" w:type="dxa"/>
            <w:vAlign w:val="bottom"/>
            <w:tcBorders>
              <w:right w:val="single" w:sz="8" w:color="auto"/>
            </w:tcBorders>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Acquisition-</w:t>
            </w:r>
          </w:p>
        </w:tc>
        <w:tc>
          <w:tcPr>
            <w:tcW w:w="20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GAAP</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Related</w:t>
            </w:r>
          </w:p>
        </w:tc>
        <w:tc>
          <w:tcPr>
            <w:tcW w:w="200" w:type="dxa"/>
            <w:vAlign w:val="bottom"/>
          </w:tcPr>
          <w:p>
            <w:pPr>
              <w:spacing w:after="0"/>
              <w:rPr>
                <w:sz w:val="12"/>
                <w:szCs w:val="12"/>
                <w:color w:val="auto"/>
              </w:rPr>
            </w:pPr>
          </w:p>
        </w:tc>
        <w:tc>
          <w:tcPr>
            <w:tcW w:w="1160" w:type="dxa"/>
            <w:vAlign w:val="bottom"/>
            <w:tcBorders>
              <w:right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Transformation Costs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Related Costs</w:t>
            </w:r>
          </w:p>
        </w:tc>
        <w:tc>
          <w:tcPr>
            <w:tcW w:w="18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1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384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6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 Operations Operating Income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198"/>
        </w:trPr>
        <w:tc>
          <w:tcPr>
            <w:tcW w:w="3840" w:type="dxa"/>
            <w:vAlign w:val="bottom"/>
          </w:tcPr>
          <w:p>
            <w:pPr>
              <w:ind w:left="20"/>
              <w:spacing w:after="0"/>
              <w:rPr>
                <w:sz w:val="20"/>
                <w:szCs w:val="20"/>
                <w:color w:val="auto"/>
              </w:rPr>
            </w:pPr>
            <w:r>
              <w:rPr>
                <w:rFonts w:ascii="Arial" w:cs="Arial" w:eastAsia="Arial" w:hAnsi="Arial"/>
                <w:sz w:val="14"/>
                <w:szCs w:val="14"/>
                <w:color w:val="auto"/>
              </w:rPr>
              <w:t>Commercial Operations Operating Income</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right w:val="single" w:sz="8" w:color="auto"/>
            </w:tcBorders>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 Operating Income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2"/>
        </w:trPr>
        <w:tc>
          <w:tcPr>
            <w:tcW w:w="38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90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106.7</w:t>
            </w:r>
          </w:p>
        </w:tc>
        <w:tc>
          <w:tcPr>
            <w:tcW w:w="10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40" w:type="dxa"/>
            <w:vAlign w:val="bottom"/>
            <w:tcBorders>
              <w:right w:val="single" w:sz="8" w:color="auto"/>
            </w:tcBorders>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 net</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2"/>
        </w:trPr>
        <w:tc>
          <w:tcPr>
            <w:tcW w:w="3840" w:type="dxa"/>
            <w:vAlign w:val="bottom"/>
          </w:tcPr>
          <w:p>
            <w:pPr>
              <w:ind w:left="20"/>
              <w:spacing w:after="0"/>
              <w:rPr>
                <w:sz w:val="20"/>
                <w:szCs w:val="20"/>
                <w:color w:val="auto"/>
              </w:rPr>
            </w:pPr>
            <w:r>
              <w:rPr>
                <w:rFonts w:ascii="Arial" w:cs="Arial" w:eastAsia="Arial" w:hAnsi="Arial"/>
                <w:sz w:val="14"/>
                <w:szCs w:val="14"/>
                <w:color w:val="auto"/>
              </w:rPr>
              <w:t>Income Before Provision for Income Taxes</w:t>
            </w:r>
          </w:p>
        </w:tc>
        <w:tc>
          <w:tcPr>
            <w:tcW w:w="9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40" w:type="dxa"/>
            <w:vAlign w:val="bottom"/>
            <w:tcBorders>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9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CCEEFF"/>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Attributable to Noncontrolling Interest</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0"/>
        </w:trPr>
        <w:tc>
          <w:tcPr>
            <w:tcW w:w="3840" w:type="dxa"/>
            <w:vAlign w:val="bottom"/>
          </w:tcPr>
          <w:p>
            <w:pPr>
              <w:ind w:left="260"/>
              <w:spacing w:after="0"/>
              <w:rPr>
                <w:sz w:val="20"/>
                <w:szCs w:val="20"/>
                <w:color w:val="auto"/>
              </w:rPr>
            </w:pPr>
            <w:r>
              <w:rPr>
                <w:rFonts w:ascii="Arial" w:cs="Arial" w:eastAsia="Arial" w:hAnsi="Arial"/>
                <w:sz w:val="14"/>
                <w:szCs w:val="14"/>
                <w:color w:val="auto"/>
              </w:rPr>
              <w:t>Net Income Attributable to BWXT</w:t>
            </w: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right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40" w:type="dxa"/>
            <w:vAlign w:val="bottom"/>
          </w:tcPr>
          <w:p>
            <w:pPr>
              <w:ind w:left="20"/>
              <w:spacing w:after="0"/>
              <w:rPr>
                <w:sz w:val="20"/>
                <w:szCs w:val="20"/>
                <w:color w:val="auto"/>
              </w:rPr>
            </w:pPr>
            <w:r>
              <w:rPr>
                <w:rFonts w:ascii="Arial" w:cs="Arial" w:eastAsia="Arial" w:hAnsi="Arial"/>
                <w:sz w:val="14"/>
                <w:szCs w:val="14"/>
                <w:color w:val="auto"/>
              </w:rPr>
              <w:t>Diluted Shares Outstanding</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 Earnings per Common Share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96"/>
        </w:trPr>
        <w:tc>
          <w:tcPr>
            <w:tcW w:w="3840" w:type="dxa"/>
            <w:vAlign w:val="bottom"/>
          </w:tcPr>
          <w:p>
            <w:pPr>
              <w:ind w:left="20"/>
              <w:spacing w:after="0"/>
              <w:rPr>
                <w:sz w:val="20"/>
                <w:szCs w:val="20"/>
                <w:color w:val="auto"/>
              </w:rPr>
            </w:pPr>
            <w:r>
              <w:rPr>
                <w:rFonts w:ascii="Arial" w:cs="Arial" w:eastAsia="Arial" w:hAnsi="Arial"/>
                <w:sz w:val="14"/>
                <w:szCs w:val="14"/>
                <w:color w:val="auto"/>
              </w:rPr>
              <w:t>Effective Tax Rate</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538"/>
        </w:trPr>
        <w:tc>
          <w:tcPr>
            <w:tcW w:w="3840" w:type="dxa"/>
            <w:vAlign w:val="bottom"/>
          </w:tcPr>
          <w:p>
            <w:pPr>
              <w:spacing w:after="0"/>
              <w:rPr>
                <w:sz w:val="24"/>
                <w:szCs w:val="24"/>
                <w:color w:val="auto"/>
              </w:rPr>
            </w:pPr>
          </w:p>
        </w:tc>
        <w:tc>
          <w:tcPr>
            <w:tcW w:w="310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March 31, 2025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Restructuring &amp;</w:t>
            </w:r>
          </w:p>
        </w:tc>
        <w:tc>
          <w:tcPr>
            <w:tcW w:w="160" w:type="dxa"/>
            <w:vAlign w:val="bottom"/>
          </w:tcPr>
          <w:p>
            <w:pPr>
              <w:spacing w:after="0"/>
              <w:rPr>
                <w:sz w:val="11"/>
                <w:szCs w:val="11"/>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Acquisition-</w:t>
            </w:r>
          </w:p>
        </w:tc>
        <w:tc>
          <w:tcPr>
            <w:tcW w:w="180" w:type="dxa"/>
            <w:vAlign w:val="bottom"/>
          </w:tcPr>
          <w:p>
            <w:pPr>
              <w:spacing w:after="0"/>
              <w:rPr>
                <w:sz w:val="11"/>
                <w:szCs w:val="11"/>
                <w:color w:val="auto"/>
              </w:rPr>
            </w:pPr>
          </w:p>
        </w:tc>
        <w:tc>
          <w:tcPr>
            <w:tcW w:w="1320" w:type="dxa"/>
            <w:vAlign w:val="bottom"/>
            <w:tcBorders>
              <w:right w:val="single" w:sz="8" w:color="auto"/>
            </w:tcBorders>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Acquisition-</w:t>
            </w:r>
          </w:p>
        </w:tc>
        <w:tc>
          <w:tcPr>
            <w:tcW w:w="20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GAAP</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Borders>
              <w:right w:val="single" w:sz="8" w:color="auto"/>
            </w:tcBorders>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Related</w:t>
            </w:r>
          </w:p>
        </w:tc>
        <w:tc>
          <w:tcPr>
            <w:tcW w:w="200" w:type="dxa"/>
            <w:vAlign w:val="bottom"/>
          </w:tcPr>
          <w:p>
            <w:pPr>
              <w:spacing w:after="0"/>
              <w:rPr>
                <w:sz w:val="12"/>
                <w:szCs w:val="12"/>
                <w:color w:val="auto"/>
              </w:rPr>
            </w:pPr>
          </w:p>
        </w:tc>
        <w:tc>
          <w:tcPr>
            <w:tcW w:w="1160" w:type="dxa"/>
            <w:vAlign w:val="bottom"/>
            <w:tcBorders>
              <w:right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Transformation Costs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Related Costs</w:t>
            </w:r>
          </w:p>
        </w:tc>
        <w:tc>
          <w:tcPr>
            <w:tcW w:w="180" w:type="dxa"/>
            <w:vAlign w:val="bottom"/>
          </w:tcPr>
          <w:p>
            <w:pPr>
              <w:spacing w:after="0"/>
              <w:rPr>
                <w:sz w:val="16"/>
                <w:szCs w:val="16"/>
                <w:color w:val="auto"/>
              </w:rPr>
            </w:pPr>
          </w:p>
        </w:tc>
        <w:tc>
          <w:tcPr>
            <w:tcW w:w="13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1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3840" w:type="dxa"/>
            <w:vAlign w:val="bottom"/>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16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 Operations Operating Income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98"/>
        </w:trPr>
        <w:tc>
          <w:tcPr>
            <w:tcW w:w="3840" w:type="dxa"/>
            <w:vAlign w:val="bottom"/>
          </w:tcPr>
          <w:p>
            <w:pPr>
              <w:ind w:left="20"/>
              <w:spacing w:after="0"/>
              <w:rPr>
                <w:sz w:val="20"/>
                <w:szCs w:val="20"/>
                <w:color w:val="auto"/>
              </w:rPr>
            </w:pPr>
            <w:r>
              <w:rPr>
                <w:rFonts w:ascii="Arial" w:cs="Arial" w:eastAsia="Arial" w:hAnsi="Arial"/>
                <w:sz w:val="14"/>
                <w:szCs w:val="14"/>
                <w:color w:val="auto"/>
              </w:rPr>
              <w:t>Commercial Operations Operating Income</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 Corporate Operating Income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2"/>
        </w:trPr>
        <w:tc>
          <w:tcPr>
            <w:tcW w:w="38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900" w:type="dxa"/>
            <w:vAlign w:val="bottom"/>
            <w:tcBorders>
              <w:top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right w:val="single" w:sz="8" w:color="auto"/>
            </w:tcBorders>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206"/>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2"/>
        </w:trPr>
        <w:tc>
          <w:tcPr>
            <w:tcW w:w="3840" w:type="dxa"/>
            <w:vAlign w:val="bottom"/>
          </w:tcPr>
          <w:p>
            <w:pPr>
              <w:ind w:left="20"/>
              <w:spacing w:after="0"/>
              <w:rPr>
                <w:sz w:val="20"/>
                <w:szCs w:val="20"/>
                <w:color w:val="auto"/>
              </w:rPr>
            </w:pPr>
            <w:r>
              <w:rPr>
                <w:rFonts w:ascii="Arial" w:cs="Arial" w:eastAsia="Arial" w:hAnsi="Arial"/>
                <w:sz w:val="14"/>
                <w:szCs w:val="14"/>
                <w:color w:val="auto"/>
              </w:rPr>
              <w:t>Income Before Provision for Income Taxes</w:t>
            </w:r>
          </w:p>
        </w:tc>
        <w:tc>
          <w:tcPr>
            <w:tcW w:w="9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right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9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CCEEFF"/>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Attributable to Noncontrolling Interest</w:t>
            </w: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0"/>
        </w:trPr>
        <w:tc>
          <w:tcPr>
            <w:tcW w:w="3840" w:type="dxa"/>
            <w:vAlign w:val="bottom"/>
          </w:tcPr>
          <w:p>
            <w:pPr>
              <w:ind w:left="260"/>
              <w:spacing w:after="0"/>
              <w:rPr>
                <w:sz w:val="20"/>
                <w:szCs w:val="20"/>
                <w:color w:val="auto"/>
              </w:rPr>
            </w:pPr>
            <w:r>
              <w:rPr>
                <w:rFonts w:ascii="Arial" w:cs="Arial" w:eastAsia="Arial" w:hAnsi="Arial"/>
                <w:sz w:val="14"/>
                <w:szCs w:val="14"/>
                <w:color w:val="auto"/>
              </w:rPr>
              <w:t>Net Income Attributable to BWXT</w:t>
            </w: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right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color w:val="auto"/>
              </w:rPr>
              <w:t>84.0</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40" w:type="dxa"/>
            <w:vAlign w:val="bottom"/>
          </w:tcPr>
          <w:p>
            <w:pPr>
              <w:ind w:left="20"/>
              <w:spacing w:after="0"/>
              <w:rPr>
                <w:sz w:val="20"/>
                <w:szCs w:val="20"/>
                <w:color w:val="auto"/>
              </w:rPr>
            </w:pPr>
            <w:r>
              <w:rPr>
                <w:rFonts w:ascii="Arial" w:cs="Arial" w:eastAsia="Arial" w:hAnsi="Arial"/>
                <w:sz w:val="14"/>
                <w:szCs w:val="14"/>
                <w:color w:val="auto"/>
              </w:rPr>
              <w:t>Diluted Shares Outstanding</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Diluted Earnings per Common Share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98"/>
        </w:trPr>
        <w:tc>
          <w:tcPr>
            <w:tcW w:w="3840" w:type="dxa"/>
            <w:vAlign w:val="bottom"/>
          </w:tcPr>
          <w:p>
            <w:pPr>
              <w:ind w:left="20"/>
              <w:spacing w:after="0"/>
              <w:rPr>
                <w:sz w:val="20"/>
                <w:szCs w:val="20"/>
                <w:color w:val="auto"/>
              </w:rPr>
            </w:pPr>
            <w:r>
              <w:rPr>
                <w:rFonts w:ascii="Arial" w:cs="Arial" w:eastAsia="Arial" w:hAnsi="Arial"/>
                <w:sz w:val="14"/>
                <w:szCs w:val="14"/>
                <w:color w:val="auto"/>
              </w:rPr>
              <w:t>Effective Tax Rate</w:t>
            </w: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0" w:firstLine="8"/>
        <w:spacing w:after="0" w:line="286" w:lineRule="auto"/>
        <w:tabs>
          <w:tab w:leader="none" w:pos="268"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p>
      <w:pPr>
        <w:sectPr>
          <w:pgSz w:w="11900" w:h="16838" w:orient="portrait"/>
          <w:cols w:equalWidth="0" w:num="1">
            <w:col w:w="11260"/>
          </w:cols>
          <w:pgMar w:left="320" w:top="114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 1 (continued)</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CONSOLIDATED ADJUSTED EBITDA</w:t>
      </w:r>
      <w:r>
        <w:rPr>
          <w:rFonts w:ascii="Arial" w:cs="Arial" w:eastAsia="Arial" w:hAnsi="Arial"/>
          <w:sz w:val="23"/>
          <w:szCs w:val="23"/>
          <w:b w:val="1"/>
          <w:bCs w:val="1"/>
          <w:color w:val="auto"/>
          <w:vertAlign w:val="superscript"/>
        </w:rPr>
        <w:t>(1)(2)(3)</w:t>
      </w: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6"/>
          </w:tcPr>
          <w:p>
            <w:pPr>
              <w:jc w:val="center"/>
              <w:ind w:left="115"/>
              <w:spacing w:after="0"/>
              <w:rPr>
                <w:sz w:val="20"/>
                <w:szCs w:val="20"/>
                <w:color w:val="auto"/>
              </w:rPr>
            </w:pPr>
            <w:r>
              <w:rPr>
                <w:rFonts w:ascii="Arial" w:cs="Arial" w:eastAsia="Arial" w:hAnsi="Arial"/>
                <w:sz w:val="14"/>
                <w:szCs w:val="14"/>
                <w:b w:val="1"/>
                <w:bCs w:val="1"/>
                <w:color w:val="auto"/>
              </w:rPr>
              <w:t>Three Months Ended March 31, 2026</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1"/>
                <w:szCs w:val="11"/>
                <w:color w:val="auto"/>
              </w:rPr>
            </w:pPr>
          </w:p>
        </w:tc>
        <w:tc>
          <w:tcPr>
            <w:tcW w:w="14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Restructuring &amp;</w:t>
            </w:r>
          </w:p>
        </w:tc>
        <w:tc>
          <w:tcPr>
            <w:tcW w:w="150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Acquisition-related</w:t>
            </w:r>
          </w:p>
        </w:tc>
        <w:tc>
          <w:tcPr>
            <w:tcW w:w="150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Acquisition-related</w:t>
            </w:r>
          </w:p>
        </w:tc>
        <w:tc>
          <w:tcPr>
            <w:tcW w:w="240" w:type="dxa"/>
            <w:vAlign w:val="bottom"/>
          </w:tcPr>
          <w:p>
            <w:pPr>
              <w:spacing w:after="0"/>
              <w:rPr>
                <w:sz w:val="11"/>
                <w:szCs w:val="11"/>
                <w:color w:val="auto"/>
              </w:rPr>
            </w:pPr>
          </w:p>
        </w:tc>
        <w:tc>
          <w:tcPr>
            <w:tcW w:w="108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Transformation Costs</w:t>
            </w:r>
          </w:p>
        </w:tc>
        <w:tc>
          <w:tcPr>
            <w:tcW w:w="18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6"/>
                <w:szCs w:val="16"/>
                <w:color w:val="auto"/>
              </w:rPr>
            </w:pPr>
          </w:p>
        </w:tc>
        <w:tc>
          <w:tcPr>
            <w:tcW w:w="13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right w:val="single" w:sz="8" w:color="auto"/>
            </w:tcBorders>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jc w:val="right"/>
              <w:ind w:right="106"/>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 net</w:t>
            </w:r>
          </w:p>
        </w:tc>
        <w:tc>
          <w:tcPr>
            <w:tcW w:w="14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Depreciation &amp; Amortization</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68"/>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4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right w:val="single" w:sz="8" w:color="auto"/>
            </w:tcBorders>
            <w:shd w:val="clear" w:color="auto" w:fill="CCEEFF"/>
          </w:tcPr>
          <w:p>
            <w:pPr>
              <w:spacing w:after="0"/>
              <w:rPr>
                <w:sz w:val="22"/>
                <w:szCs w:val="22"/>
                <w:color w:val="auto"/>
              </w:rPr>
            </w:pPr>
          </w:p>
        </w:tc>
        <w:tc>
          <w:tcPr>
            <w:tcW w:w="240" w:type="dxa"/>
            <w:vAlign w:val="bottom"/>
            <w:tcBorders>
              <w:top w:val="single" w:sz="8" w:color="auto"/>
              <w:left w:val="single" w:sz="8" w:color="CCEEFF"/>
              <w:bottom w:val="single" w:sz="8" w:color="CCEEFF"/>
            </w:tcBorders>
            <w:shd w:val="clear" w:color="auto" w:fill="CCEEFF"/>
          </w:tcPr>
          <w:p>
            <w:pPr>
              <w:jc w:val="right"/>
              <w:ind w:right="106"/>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right w:val="single" w:sz="8" w:color="auto"/>
            </w:tcBorders>
          </w:tcPr>
          <w:p>
            <w:pPr>
              <w:spacing w:after="0" w:line="20" w:lineRule="exact"/>
              <w:rPr>
                <w:sz w:val="1"/>
                <w:szCs w:val="1"/>
                <w:color w:val="auto"/>
              </w:rPr>
            </w:pPr>
          </w:p>
        </w:tc>
        <w:tc>
          <w:tcPr>
            <w:tcW w:w="28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500" w:type="dxa"/>
            <w:vAlign w:val="bottom"/>
            <w:tcBorders>
              <w:top w:val="single" w:sz="8" w:color="CCEEFF"/>
            </w:tcBorders>
            <w:gridSpan w:val="2"/>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11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jc w:val="center"/>
              <w:ind w:left="115"/>
              <w:spacing w:after="0"/>
              <w:rPr>
                <w:sz w:val="20"/>
                <w:szCs w:val="20"/>
                <w:color w:val="auto"/>
              </w:rPr>
            </w:pPr>
            <w:r>
              <w:rPr>
                <w:rFonts w:ascii="Arial" w:cs="Arial" w:eastAsia="Arial" w:hAnsi="Arial"/>
                <w:sz w:val="14"/>
                <w:szCs w:val="14"/>
                <w:b w:val="1"/>
                <w:bCs w:val="1"/>
                <w:color w:val="auto"/>
              </w:rPr>
              <w:t>Three Months Ended March 31, 2025</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1"/>
                <w:szCs w:val="11"/>
                <w:color w:val="auto"/>
              </w:rPr>
            </w:pPr>
          </w:p>
        </w:tc>
        <w:tc>
          <w:tcPr>
            <w:tcW w:w="14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Restructuring &amp;</w:t>
            </w:r>
          </w:p>
        </w:tc>
        <w:tc>
          <w:tcPr>
            <w:tcW w:w="150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Acquisition-related</w:t>
            </w:r>
          </w:p>
        </w:tc>
        <w:tc>
          <w:tcPr>
            <w:tcW w:w="150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rPr>
              <w:t>Acquisition-related</w:t>
            </w:r>
          </w:p>
        </w:tc>
        <w:tc>
          <w:tcPr>
            <w:tcW w:w="240" w:type="dxa"/>
            <w:vAlign w:val="bottom"/>
          </w:tcPr>
          <w:p>
            <w:pPr>
              <w:spacing w:after="0"/>
              <w:rPr>
                <w:sz w:val="11"/>
                <w:szCs w:val="11"/>
                <w:color w:val="auto"/>
              </w:rPr>
            </w:pPr>
          </w:p>
        </w:tc>
        <w:tc>
          <w:tcPr>
            <w:tcW w:w="1080" w:type="dxa"/>
            <w:vAlign w:val="bottom"/>
            <w:tcBorders>
              <w:right w:val="single" w:sz="8" w:color="auto"/>
            </w:tcBorders>
            <w:vMerge w:val="restart"/>
          </w:tcPr>
          <w:p>
            <w:pPr>
              <w:jc w:val="right"/>
              <w:ind w:right="234"/>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85"/>
        </w:trPr>
        <w:tc>
          <w:tcPr>
            <w:tcW w:w="2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Transformation Costs</w:t>
            </w:r>
          </w:p>
        </w:tc>
        <w:tc>
          <w:tcPr>
            <w:tcW w:w="18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6"/>
                <w:szCs w:val="16"/>
                <w:color w:val="auto"/>
              </w:rPr>
            </w:pPr>
          </w:p>
        </w:tc>
        <w:tc>
          <w:tcPr>
            <w:tcW w:w="13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auto"/>
            </w:tcBorders>
            <w:shd w:val="clear" w:color="auto" w:fill="CCEEFF"/>
          </w:tcPr>
          <w:p>
            <w:pPr>
              <w:spacing w:after="0"/>
              <w:rPr>
                <w:sz w:val="19"/>
                <w:szCs w:val="19"/>
                <w:color w:val="auto"/>
              </w:rPr>
            </w:pPr>
          </w:p>
        </w:tc>
        <w:tc>
          <w:tcPr>
            <w:tcW w:w="240" w:type="dxa"/>
            <w:vAlign w:val="bottom"/>
            <w:tcBorders>
              <w:left w:val="single" w:sz="8" w:color="CCEEFF"/>
            </w:tcBorders>
            <w:shd w:val="clear" w:color="auto" w:fill="CCEEFF"/>
          </w:tcPr>
          <w:p>
            <w:pPr>
              <w:jc w:val="right"/>
              <w:ind w:right="106"/>
              <w:spacing w:after="0"/>
              <w:rPr>
                <w:sz w:val="20"/>
                <w:szCs w:val="20"/>
                <w:color w:val="auto"/>
              </w:rPr>
            </w:pPr>
            <w:r>
              <w:rPr>
                <w:rFonts w:ascii="Arial" w:cs="Arial" w:eastAsia="Arial" w:hAnsi="Arial"/>
                <w:sz w:val="10"/>
                <w:szCs w:val="10"/>
                <w:color w:val="auto"/>
                <w:w w:val="71"/>
              </w:rPr>
              <w:t>$</w:t>
            </w:r>
          </w:p>
        </w:tc>
        <w:tc>
          <w:tcPr>
            <w:tcW w:w="108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 net</w:t>
            </w:r>
          </w:p>
        </w:tc>
        <w:tc>
          <w:tcPr>
            <w:tcW w:w="14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9"/>
                <w:szCs w:val="19"/>
                <w:color w:val="auto"/>
              </w:rPr>
            </w:pPr>
          </w:p>
        </w:tc>
        <w:tc>
          <w:tcPr>
            <w:tcW w:w="10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Depreciation &amp; Amortization</w:t>
            </w: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68"/>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44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right w:val="single" w:sz="8" w:color="auto"/>
            </w:tcBorders>
            <w:shd w:val="clear" w:color="auto" w:fill="CCEEFF"/>
          </w:tcPr>
          <w:p>
            <w:pPr>
              <w:spacing w:after="0"/>
              <w:rPr>
                <w:sz w:val="22"/>
                <w:szCs w:val="22"/>
                <w:color w:val="auto"/>
              </w:rPr>
            </w:pPr>
          </w:p>
        </w:tc>
        <w:tc>
          <w:tcPr>
            <w:tcW w:w="240" w:type="dxa"/>
            <w:vAlign w:val="bottom"/>
            <w:tcBorders>
              <w:top w:val="single" w:sz="8" w:color="auto"/>
              <w:left w:val="single" w:sz="8" w:color="CCEEFF"/>
              <w:bottom w:val="single" w:sz="8" w:color="CCEEFF"/>
            </w:tcBorders>
            <w:shd w:val="clear" w:color="auto" w:fill="CCEEFF"/>
          </w:tcPr>
          <w:p>
            <w:pPr>
              <w:jc w:val="right"/>
              <w:ind w:right="106"/>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right w:val="single" w:sz="8" w:color="auto"/>
            </w:tcBorders>
          </w:tcPr>
          <w:p>
            <w:pPr>
              <w:spacing w:after="0" w:line="20" w:lineRule="exact"/>
              <w:rPr>
                <w:sz w:val="1"/>
                <w:szCs w:val="1"/>
                <w:color w:val="auto"/>
              </w:rPr>
            </w:pPr>
          </w:p>
        </w:tc>
        <w:tc>
          <w:tcPr>
            <w:tcW w:w="1340" w:type="dxa"/>
            <w:vAlign w:val="bottom"/>
            <w:tcBorders>
              <w:top w:val="single" w:sz="8" w:color="CCEEFF"/>
            </w:tcBorders>
            <w:gridSpan w:val="2"/>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500" w:type="dxa"/>
            <w:vAlign w:val="bottom"/>
            <w:tcBorders>
              <w:top w:val="single" w:sz="8" w:color="CCEEFF"/>
            </w:tcBorders>
            <w:gridSpan w:val="2"/>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320" w:type="dxa"/>
            <w:vAlign w:val="bottom"/>
            <w:tcBorders>
              <w:top w:val="single" w:sz="8" w:color="CCEEFF"/>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2380" w:type="dxa"/>
            <w:vAlign w:val="bottom"/>
          </w:tcPr>
          <w:p>
            <w:pPr>
              <w:spacing w:after="0"/>
              <w:rPr>
                <w:sz w:val="24"/>
                <w:szCs w:val="24"/>
                <w:color w:val="auto"/>
              </w:rPr>
            </w:pPr>
          </w:p>
        </w:tc>
        <w:tc>
          <w:tcPr>
            <w:tcW w:w="7560" w:type="dxa"/>
            <w:vAlign w:val="bottom"/>
            <w:gridSpan w:val="15"/>
          </w:tcPr>
          <w:p>
            <w:pPr>
              <w:jc w:val="center"/>
              <w:ind w:right="1080"/>
              <w:spacing w:after="0"/>
              <w:rPr>
                <w:sz w:val="20"/>
                <w:szCs w:val="20"/>
                <w:color w:val="auto"/>
              </w:rPr>
            </w:pPr>
            <w:r>
              <w:rPr>
                <w:rFonts w:ascii="Arial" w:cs="Arial" w:eastAsia="Arial" w:hAnsi="Arial"/>
                <w:sz w:val="18"/>
                <w:szCs w:val="18"/>
                <w:b w:val="1"/>
                <w:bCs w:val="1"/>
                <w:color w:val="auto"/>
                <w:w w:val="96"/>
              </w:rPr>
              <w:t>RECONCILIATION OF REPORTING SEGMENT ADJUSTED EBITDA</w:t>
            </w:r>
            <w:r>
              <w:rPr>
                <w:rFonts w:ascii="Arial" w:cs="Arial" w:eastAsia="Arial" w:hAnsi="Arial"/>
                <w:sz w:val="23"/>
                <w:szCs w:val="23"/>
                <w:b w:val="1"/>
                <w:bCs w:val="1"/>
                <w:color w:val="auto"/>
                <w:w w:val="96"/>
                <w:vertAlign w:val="superscript"/>
              </w:rPr>
              <w:t>(1)(2)(3)(4)</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40" w:type="dxa"/>
            <w:vAlign w:val="bottom"/>
            <w:gridSpan w:val="6"/>
          </w:tcPr>
          <w:p>
            <w:pPr>
              <w:jc w:val="center"/>
              <w:ind w:left="115"/>
              <w:spacing w:after="0"/>
              <w:rPr>
                <w:sz w:val="20"/>
                <w:szCs w:val="20"/>
                <w:color w:val="auto"/>
              </w:rPr>
            </w:pPr>
            <w:r>
              <w:rPr>
                <w:rFonts w:ascii="Arial" w:cs="Arial" w:eastAsia="Arial" w:hAnsi="Arial"/>
                <w:sz w:val="18"/>
                <w:szCs w:val="18"/>
                <w:b w:val="1"/>
                <w:bCs w:val="1"/>
                <w:color w:val="auto"/>
                <w:w w:val="98"/>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6"/>
          </w:tcPr>
          <w:p>
            <w:pPr>
              <w:jc w:val="center"/>
              <w:ind w:left="115"/>
              <w:spacing w:after="0"/>
              <w:rPr>
                <w:sz w:val="20"/>
                <w:szCs w:val="20"/>
                <w:color w:val="auto"/>
              </w:rPr>
            </w:pPr>
            <w:r>
              <w:rPr>
                <w:rFonts w:ascii="Arial" w:cs="Arial" w:eastAsia="Arial" w:hAnsi="Arial"/>
                <w:sz w:val="14"/>
                <w:szCs w:val="14"/>
                <w:b w:val="1"/>
                <w:bCs w:val="1"/>
                <w:color w:val="auto"/>
              </w:rPr>
              <w:t>Three Months Ended March 31, 2026</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gridSpan w:val="4"/>
          </w:tcPr>
          <w:p>
            <w:pPr>
              <w:ind w:left="80"/>
              <w:spacing w:after="0" w:line="144" w:lineRule="exact"/>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rPr>
              <w:t>Non-GAAP</w:t>
            </w:r>
          </w:p>
        </w:tc>
        <w:tc>
          <w:tcPr>
            <w:tcW w:w="1500" w:type="dxa"/>
            <w:vAlign w:val="bottom"/>
            <w:gridSpan w:val="4"/>
          </w:tcPr>
          <w:p>
            <w:pPr>
              <w:ind w:left="40"/>
              <w:spacing w:after="0" w:line="144" w:lineRule="exact"/>
              <w:rPr>
                <w:sz w:val="20"/>
                <w:szCs w:val="20"/>
                <w:color w:val="auto"/>
              </w:rPr>
            </w:pPr>
            <w:r>
              <w:rPr>
                <w:rFonts w:ascii="Arial" w:cs="Arial" w:eastAsia="Arial" w:hAnsi="Arial"/>
                <w:sz w:val="14"/>
                <w:szCs w:val="14"/>
                <w:b w:val="1"/>
                <w:bCs w:val="1"/>
                <w:color w:val="auto"/>
              </w:rPr>
              <w:t>Acquisition-related</w:t>
            </w: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rPr>
              <w:t>Depreciation &amp;</w:t>
            </w:r>
          </w:p>
        </w:tc>
        <w:tc>
          <w:tcPr>
            <w:tcW w:w="240" w:type="dxa"/>
            <w:vAlign w:val="bottom"/>
            <w:tcBorders>
              <w:left w:val="single" w:sz="8" w:color="auto"/>
            </w:tcBorders>
          </w:tcPr>
          <w:p>
            <w:pPr>
              <w:spacing w:after="0"/>
              <w:rPr>
                <w:sz w:val="12"/>
                <w:szCs w:val="12"/>
                <w:color w:val="auto"/>
              </w:rPr>
            </w:pPr>
          </w:p>
        </w:tc>
        <w:tc>
          <w:tcPr>
            <w:tcW w:w="1080" w:type="dxa"/>
            <w:vAlign w:val="bottom"/>
            <w:tcBorders>
              <w:right w:val="single" w:sz="8" w:color="auto"/>
            </w:tcBorders>
          </w:tcPr>
          <w:p>
            <w:pPr>
              <w:jc w:val="center"/>
              <w:ind w:right="74"/>
              <w:spacing w:after="0" w:line="144"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6"/>
                <w:szCs w:val="16"/>
                <w:color w:val="auto"/>
              </w:rPr>
            </w:pPr>
          </w:p>
        </w:tc>
        <w:tc>
          <w:tcPr>
            <w:tcW w:w="148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96"/>
              </w:rPr>
              <w:t>Adjustments</w:t>
            </w:r>
            <w:r>
              <w:rPr>
                <w:rFonts w:ascii="Arial" w:cs="Arial" w:eastAsia="Arial" w:hAnsi="Arial"/>
                <w:sz w:val="18"/>
                <w:szCs w:val="18"/>
                <w:b w:val="1"/>
                <w:bCs w:val="1"/>
                <w:color w:val="auto"/>
                <w:w w:val="96"/>
                <w:vertAlign w:val="superscript"/>
              </w:rPr>
              <w:t>(3,4)</w:t>
            </w:r>
          </w:p>
        </w:tc>
        <w:tc>
          <w:tcPr>
            <w:tcW w:w="18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left w:val="single" w:sz="8" w:color="auto"/>
            </w:tcBorders>
          </w:tcPr>
          <w:p>
            <w:pPr>
              <w:spacing w:after="0"/>
              <w:rPr>
                <w:sz w:val="16"/>
                <w:szCs w:val="16"/>
                <w:color w:val="auto"/>
              </w:rPr>
            </w:pPr>
          </w:p>
        </w:tc>
        <w:tc>
          <w:tcPr>
            <w:tcW w:w="1080" w:type="dxa"/>
            <w:vAlign w:val="bottom"/>
            <w:tcBorders>
              <w:right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EBITDA</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lef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Operations</w:t>
            </w:r>
          </w:p>
        </w:tc>
        <w:tc>
          <w:tcPr>
            <w:tcW w:w="172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lef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Commercial Operations</w:t>
            </w:r>
          </w:p>
        </w:tc>
        <w:tc>
          <w:tcPr>
            <w:tcW w:w="17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2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Corporate</w:t>
            </w:r>
          </w:p>
        </w:tc>
        <w:tc>
          <w:tcPr>
            <w:tcW w:w="172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left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518"/>
        </w:trPr>
        <w:tc>
          <w:tcPr>
            <w:tcW w:w="2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jc w:val="center"/>
              <w:ind w:left="115"/>
              <w:spacing w:after="0"/>
              <w:rPr>
                <w:sz w:val="20"/>
                <w:szCs w:val="20"/>
                <w:color w:val="auto"/>
              </w:rPr>
            </w:pPr>
            <w:r>
              <w:rPr>
                <w:rFonts w:ascii="Arial" w:cs="Arial" w:eastAsia="Arial" w:hAnsi="Arial"/>
                <w:sz w:val="14"/>
                <w:szCs w:val="14"/>
                <w:b w:val="1"/>
                <w:bCs w:val="1"/>
                <w:color w:val="auto"/>
              </w:rPr>
              <w:t>Three Months Ended March 31, 2025</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gridSpan w:val="4"/>
          </w:tcPr>
          <w:p>
            <w:pPr>
              <w:ind w:left="80"/>
              <w:spacing w:after="0" w:line="144" w:lineRule="exact"/>
              <w:rPr>
                <w:sz w:val="20"/>
                <w:szCs w:val="20"/>
                <w:color w:val="auto"/>
              </w:rPr>
            </w:pPr>
            <w:r>
              <w:rPr>
                <w:rFonts w:ascii="Arial" w:cs="Arial" w:eastAsia="Arial" w:hAnsi="Arial"/>
                <w:sz w:val="14"/>
                <w:szCs w:val="14"/>
                <w:b w:val="1"/>
                <w:bCs w:val="1"/>
                <w:color w:val="auto"/>
              </w:rPr>
              <w:t>Operating Income</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rPr>
              <w:t>Non-GAAP</w:t>
            </w:r>
          </w:p>
        </w:tc>
        <w:tc>
          <w:tcPr>
            <w:tcW w:w="1500" w:type="dxa"/>
            <w:vAlign w:val="bottom"/>
            <w:gridSpan w:val="4"/>
          </w:tcPr>
          <w:p>
            <w:pPr>
              <w:ind w:left="40"/>
              <w:spacing w:after="0" w:line="144" w:lineRule="exact"/>
              <w:rPr>
                <w:sz w:val="20"/>
                <w:szCs w:val="20"/>
                <w:color w:val="auto"/>
              </w:rPr>
            </w:pPr>
            <w:r>
              <w:rPr>
                <w:rFonts w:ascii="Arial" w:cs="Arial" w:eastAsia="Arial" w:hAnsi="Arial"/>
                <w:sz w:val="14"/>
                <w:szCs w:val="14"/>
                <w:b w:val="1"/>
                <w:bCs w:val="1"/>
                <w:color w:val="auto"/>
              </w:rPr>
              <w:t>Acquisition-related</w:t>
            </w: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rPr>
              <w:t>Depreciation &amp;</w:t>
            </w:r>
          </w:p>
        </w:tc>
        <w:tc>
          <w:tcPr>
            <w:tcW w:w="240" w:type="dxa"/>
            <w:vAlign w:val="bottom"/>
            <w:tcBorders>
              <w:left w:val="single" w:sz="8" w:color="auto"/>
            </w:tcBorders>
          </w:tcPr>
          <w:p>
            <w:pPr>
              <w:spacing w:after="0"/>
              <w:rPr>
                <w:sz w:val="12"/>
                <w:szCs w:val="12"/>
                <w:color w:val="auto"/>
              </w:rPr>
            </w:pPr>
          </w:p>
        </w:tc>
        <w:tc>
          <w:tcPr>
            <w:tcW w:w="1080" w:type="dxa"/>
            <w:vAlign w:val="bottom"/>
            <w:tcBorders>
              <w:right w:val="single" w:sz="8" w:color="auto"/>
            </w:tcBorders>
          </w:tcPr>
          <w:p>
            <w:pPr>
              <w:jc w:val="center"/>
              <w:ind w:right="74"/>
              <w:spacing w:after="0" w:line="144"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6"/>
                <w:szCs w:val="16"/>
                <w:color w:val="auto"/>
              </w:rPr>
            </w:pPr>
          </w:p>
        </w:tc>
        <w:tc>
          <w:tcPr>
            <w:tcW w:w="148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96"/>
              </w:rPr>
              <w:t>Adjustments</w:t>
            </w:r>
            <w:r>
              <w:rPr>
                <w:rFonts w:ascii="Arial" w:cs="Arial" w:eastAsia="Arial" w:hAnsi="Arial"/>
                <w:sz w:val="18"/>
                <w:szCs w:val="18"/>
                <w:b w:val="1"/>
                <w:bCs w:val="1"/>
                <w:color w:val="auto"/>
                <w:w w:val="96"/>
                <w:vertAlign w:val="superscript"/>
              </w:rPr>
              <w:t>(3,4)</w:t>
            </w:r>
          </w:p>
        </w:tc>
        <w:tc>
          <w:tcPr>
            <w:tcW w:w="180" w:type="dxa"/>
            <w:vAlign w:val="bottom"/>
          </w:tcPr>
          <w:p>
            <w:pPr>
              <w:spacing w:after="0"/>
              <w:rPr>
                <w:sz w:val="16"/>
                <w:szCs w:val="16"/>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left w:val="single" w:sz="8" w:color="auto"/>
            </w:tcBorders>
          </w:tcPr>
          <w:p>
            <w:pPr>
              <w:spacing w:after="0"/>
              <w:rPr>
                <w:sz w:val="16"/>
                <w:szCs w:val="16"/>
                <w:color w:val="auto"/>
              </w:rPr>
            </w:pPr>
          </w:p>
        </w:tc>
        <w:tc>
          <w:tcPr>
            <w:tcW w:w="1080" w:type="dxa"/>
            <w:vAlign w:val="bottom"/>
            <w:tcBorders>
              <w:right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EBITDA</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left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Operations</w:t>
            </w:r>
          </w:p>
        </w:tc>
        <w:tc>
          <w:tcPr>
            <w:tcW w:w="172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lef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Arial" w:cs="Arial" w:eastAsia="Arial" w:hAnsi="Arial"/>
                <w:sz w:val="18"/>
                <w:szCs w:val="18"/>
                <w:color w:val="auto"/>
              </w:rPr>
              <w:t>Commercial Operations</w:t>
            </w:r>
          </w:p>
        </w:tc>
        <w:tc>
          <w:tcPr>
            <w:tcW w:w="17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2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Corporate</w:t>
            </w:r>
          </w:p>
        </w:tc>
        <w:tc>
          <w:tcPr>
            <w:tcW w:w="172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left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20" w:firstLine="8"/>
        <w:spacing w:after="0" w:line="286" w:lineRule="auto"/>
        <w:tabs>
          <w:tab w:leader="none" w:pos="2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p>
      <w:pPr>
        <w:sectPr>
          <w:pgSz w:w="11900" w:h="16838" w:orient="portrait"/>
          <w:cols w:equalWidth="0" w:num="1">
            <w:col w:w="11260"/>
          </w:cols>
          <w:pgMar w:left="320" w:top="114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u w:val="single" w:color="auto"/>
          <w:color w:val="auto"/>
        </w:rPr>
        <w:t>EXHIBIT 1 (continued)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CONSOLIDATED FREE CASH FLOW</w:t>
      </w:r>
      <w:r>
        <w:rPr>
          <w:rFonts w:ascii="Arial" w:cs="Arial" w:eastAsia="Arial" w:hAnsi="Arial"/>
          <w:sz w:val="23"/>
          <w:szCs w:val="23"/>
          <w:b w:val="1"/>
          <w:bCs w:val="1"/>
          <w:color w:val="auto"/>
          <w:vertAlign w:val="superscript"/>
        </w:rPr>
        <w:t>(1)(2)(3)</w:t>
      </w: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 March 31, 2026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63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rPr>
              <w:t>92.6</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58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7"/>
              </w:rPr>
              <w:t>(42.5)</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5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rPr>
              <w:t>50.1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512"/>
        </w:trPr>
        <w:tc>
          <w:tcPr>
            <w:tcW w:w="3960" w:type="dxa"/>
            <w:vAlign w:val="bottom"/>
          </w:tcPr>
          <w:p>
            <w:pPr>
              <w:spacing w:after="0"/>
              <w:rPr>
                <w:sz w:val="24"/>
                <w:szCs w:val="24"/>
                <w:color w:val="auto"/>
              </w:rPr>
            </w:pPr>
          </w:p>
        </w:tc>
        <w:tc>
          <w:tcPr>
            <w:tcW w:w="6380" w:type="dxa"/>
            <w:vAlign w:val="bottom"/>
            <w:gridSpan w:val="2"/>
          </w:tcPr>
          <w:p>
            <w:pPr>
              <w:jc w:val="right"/>
              <w:ind w:right="3390"/>
              <w:spacing w:after="0"/>
              <w:rPr>
                <w:sz w:val="20"/>
                <w:szCs w:val="20"/>
                <w:color w:val="auto"/>
              </w:rPr>
            </w:pPr>
            <w:r>
              <w:rPr>
                <w:rFonts w:ascii="Arial" w:cs="Arial" w:eastAsia="Arial" w:hAnsi="Arial"/>
                <w:sz w:val="14"/>
                <w:szCs w:val="14"/>
                <w:b w:val="1"/>
                <w:bCs w:val="1"/>
                <w:color w:val="auto"/>
              </w:rPr>
              <w:t>Three Months Ended March 31, 2025</w:t>
            </w:r>
          </w:p>
        </w:tc>
        <w:tc>
          <w:tcPr>
            <w:tcW w:w="880" w:type="dxa"/>
            <w:vAlign w:val="bottom"/>
          </w:tcPr>
          <w:p>
            <w:pPr>
              <w:spacing w:after="0"/>
              <w:rPr>
                <w:sz w:val="24"/>
                <w:szCs w:val="24"/>
                <w:color w:val="auto"/>
              </w:rPr>
            </w:pPr>
          </w:p>
        </w:tc>
      </w:tr>
      <w:tr>
        <w:trPr>
          <w:trHeight w:val="232"/>
        </w:trPr>
        <w:tc>
          <w:tcPr>
            <w:tcW w:w="3960" w:type="dxa"/>
            <w:vAlign w:val="bottom"/>
          </w:tcPr>
          <w:p>
            <w:pPr>
              <w:spacing w:after="0"/>
              <w:rPr>
                <w:sz w:val="20"/>
                <w:szCs w:val="20"/>
                <w:color w:val="auto"/>
              </w:rPr>
            </w:pPr>
          </w:p>
        </w:tc>
        <w:tc>
          <w:tcPr>
            <w:tcW w:w="638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63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rPr>
              <w:t>50.7</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58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7"/>
              </w:rPr>
              <w:t>(33.4)</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5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rPr>
              <w:t>17.3</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40575" cy="1080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10801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hanging="321"/>
        <w:spacing w:after="0"/>
        <w:tabs>
          <w:tab w:leader="none" w:pos="360" w:val="left"/>
        </w:tabs>
        <w:numPr>
          <w:ilvl w:val="0"/>
          <w:numId w:val="12"/>
        </w:numPr>
        <w:rPr>
          <w:rFonts w:ascii="Times New Roman" w:cs="Times New Roman" w:eastAsia="Times New Roman" w:hAnsi="Times New Roman"/>
          <w:sz w:val="13"/>
          <w:szCs w:val="13"/>
          <w:color w:val="auto"/>
        </w:rPr>
      </w:pPr>
      <w:r>
        <w:rPr>
          <w:rFonts w:ascii="Arial" w:cs="Arial" w:eastAsia="Arial" w:hAnsi="Arial"/>
          <w:sz w:val="13"/>
          <w:szCs w:val="13"/>
          <w:color w:val="auto"/>
        </w:rPr>
        <w:t>Tables may not foot due to rounding.</w:t>
      </w:r>
    </w:p>
    <w:p>
      <w:pPr>
        <w:spacing w:after="0" w:line="133" w:lineRule="exact"/>
        <w:rPr>
          <w:rFonts w:ascii="Times New Roman" w:cs="Times New Roman" w:eastAsia="Times New Roman" w:hAnsi="Times New Roman"/>
          <w:sz w:val="13"/>
          <w:szCs w:val="13"/>
          <w:color w:val="auto"/>
        </w:rPr>
      </w:pPr>
    </w:p>
    <w:p>
      <w:pPr>
        <w:ind w:left="360" w:right="160" w:hanging="321"/>
        <w:spacing w:after="0" w:line="276" w:lineRule="auto"/>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BWXT is providing non-GAAP information regarding certain of its historical results and guidance on future earnings per share to supplement the results provided in accordance with GAAP and it should not be considered superior to, or as a substitute for, the comparable GAAP measures. BWXT believes the non-GAAP measures provide meaningful insight and transparency into the Company’s operational performance and provides these measures to investors to help facilitate comparisons of operating results with prior periods and to assist them in understanding BWXT's ongoing operations.</w:t>
      </w:r>
    </w:p>
    <w:p>
      <w:pPr>
        <w:spacing w:after="0" w:line="41" w:lineRule="exact"/>
        <w:rPr>
          <w:rFonts w:ascii="Arial" w:cs="Arial" w:eastAsia="Arial" w:hAnsi="Arial"/>
          <w:sz w:val="13"/>
          <w:szCs w:val="13"/>
          <w:color w:val="auto"/>
        </w:rPr>
      </w:pPr>
    </w:p>
    <w:p>
      <w:pPr>
        <w:ind w:left="360" w:hanging="321"/>
        <w:spacing w:after="0"/>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For Non-GAAP adjustment details, see reconciliation of non-GAAP operating income and earnings per share.</w:t>
      </w:r>
    </w:p>
    <w:p>
      <w:pPr>
        <w:spacing w:after="0" w:line="80" w:lineRule="exact"/>
        <w:rPr>
          <w:rFonts w:ascii="Arial" w:cs="Arial" w:eastAsia="Arial" w:hAnsi="Arial"/>
          <w:sz w:val="13"/>
          <w:szCs w:val="13"/>
          <w:color w:val="auto"/>
        </w:rPr>
      </w:pPr>
    </w:p>
    <w:p>
      <w:pPr>
        <w:ind w:left="360" w:hanging="321"/>
        <w:spacing w:after="0"/>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Excludes acquisition-related amortization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8"/>
        <w:spacing w:after="0" w:line="304" w:lineRule="auto"/>
        <w:tabs>
          <w:tab w:leader="none" w:pos="2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p>
      <w:pPr>
        <w:sectPr>
          <w:pgSz w:w="11900" w:h="16838" w:orient="portrait"/>
          <w:cols w:equalWidth="0" w:num="1">
            <w:col w:w="11240"/>
          </w:cols>
          <w:pgMar w:left="320" w:top="114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4"/>
        </w:trPr>
        <w:tc>
          <w:tcPr>
            <w:tcW w:w="8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47"/>
        </w:trPr>
        <w:tc>
          <w:tcPr>
            <w:tcW w:w="8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tcPr>
          <w:p>
            <w:pPr>
              <w:jc w:val="center"/>
              <w:ind w:left="721"/>
              <w:spacing w:after="0" w:line="147" w:lineRule="exact"/>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60" w:type="dxa"/>
            <w:vAlign w:val="bottom"/>
            <w:gridSpan w:val="4"/>
          </w:tcPr>
          <w:p>
            <w:pPr>
              <w:jc w:val="center"/>
              <w:ind w:right="79"/>
              <w:spacing w:after="0" w:line="145" w:lineRule="exact"/>
              <w:rPr>
                <w:sz w:val="20"/>
                <w:szCs w:val="20"/>
                <w:color w:val="auto"/>
              </w:rPr>
            </w:pPr>
            <w:r>
              <w:rPr>
                <w:rFonts w:ascii="Arial" w:cs="Arial" w:eastAsia="Arial" w:hAnsi="Arial"/>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rPr>
              <w:t>share amounts)</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682,258</w:t>
            </w:r>
          </w:p>
        </w:tc>
        <w:tc>
          <w:tcPr>
            <w:tcW w:w="0" w:type="dxa"/>
            <w:vAlign w:val="bottom"/>
          </w:tcPr>
          <w:p>
            <w:pPr>
              <w:spacing w:after="0"/>
              <w:rPr>
                <w:sz w:val="1"/>
                <w:szCs w:val="1"/>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operations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662,849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517,065</w:t>
            </w:r>
          </w:p>
        </w:tc>
        <w:tc>
          <w:tcPr>
            <w:tcW w:w="0" w:type="dxa"/>
            <w:vAlign w:val="bottom"/>
          </w:tcPr>
          <w:p>
            <w:pPr>
              <w:spacing w:after="0"/>
              <w:rPr>
                <w:sz w:val="1"/>
                <w:szCs w:val="1"/>
                <w:color w:val="auto"/>
              </w:rPr>
            </w:pPr>
          </w:p>
        </w:tc>
      </w:tr>
      <w:tr>
        <w:trPr>
          <w:trHeight w:val="215"/>
        </w:trPr>
        <w:tc>
          <w:tcPr>
            <w:tcW w:w="8440" w:type="dxa"/>
            <w:vAlign w:val="bottom"/>
          </w:tcPr>
          <w:p>
            <w:pPr>
              <w:ind w:left="220"/>
              <w:spacing w:after="0"/>
              <w:rPr>
                <w:sz w:val="20"/>
                <w:szCs w:val="20"/>
                <w:color w:val="auto"/>
              </w:rPr>
            </w:pPr>
            <w:r>
              <w:rPr>
                <w:rFonts w:ascii="Arial" w:cs="Arial" w:eastAsia="Arial" w:hAnsi="Arial"/>
                <w:sz w:val="16"/>
                <w:szCs w:val="16"/>
                <w:color w:val="auto"/>
              </w:rPr>
              <w:t>Research and development costs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asset disposals and impairments, net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w:t>
            </w:r>
          </w:p>
        </w:tc>
        <w:tc>
          <w:tcPr>
            <w:tcW w:w="0" w:type="dxa"/>
            <w:vAlign w:val="bottom"/>
          </w:tcPr>
          <w:p>
            <w:pPr>
              <w:spacing w:after="0"/>
              <w:rPr>
                <w:sz w:val="1"/>
                <w:szCs w:val="1"/>
                <w:color w:val="auto"/>
              </w:rPr>
            </w:pPr>
          </w:p>
        </w:tc>
      </w:tr>
      <w:tr>
        <w:trPr>
          <w:trHeight w:val="215"/>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108,017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87,569</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775,091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602,216</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Income of Investees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16,588</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106,691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96,630</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5"/>
        </w:trPr>
        <w:tc>
          <w:tcPr>
            <w:tcW w:w="84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(7,994)</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 net</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2,459</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Income (Expense)</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91,817</w:t>
            </w:r>
          </w:p>
        </w:tc>
        <w:tc>
          <w:tcPr>
            <w:tcW w:w="0" w:type="dxa"/>
            <w:vAlign w:val="bottom"/>
          </w:tcPr>
          <w:p>
            <w:pPr>
              <w:spacing w:after="0"/>
              <w:rPr>
                <w:sz w:val="1"/>
                <w:szCs w:val="1"/>
                <w:color w:val="auto"/>
              </w:rPr>
            </w:pPr>
          </w:p>
        </w:tc>
      </w:tr>
      <w:tr>
        <w:trPr>
          <w:trHeight w:val="21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16,291</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91,189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75,526</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Income Attributable to Noncontrolling Interest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BWX Technologies,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91,068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75,462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Common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40" w:type="dxa"/>
            <w:vAlign w:val="bottom"/>
          </w:tcPr>
          <w:p>
            <w:pPr>
              <w:ind w:left="500"/>
              <w:spacing w:after="0"/>
              <w:rPr>
                <w:sz w:val="20"/>
                <w:szCs w:val="20"/>
                <w:color w:val="auto"/>
              </w:rPr>
            </w:pPr>
            <w:r>
              <w:rPr>
                <w:rFonts w:ascii="Arial" w:cs="Arial" w:eastAsia="Arial" w:hAnsi="Arial"/>
                <w:sz w:val="16"/>
                <w:szCs w:val="16"/>
                <w:color w:val="auto"/>
              </w:rPr>
              <w:t>Net Income Attributable to BWX Technologies,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440" w:type="dxa"/>
            <w:vAlign w:val="bottom"/>
          </w:tcPr>
          <w:p>
            <w:pPr>
              <w:ind w:left="500"/>
              <w:spacing w:after="0"/>
              <w:rPr>
                <w:sz w:val="20"/>
                <w:szCs w:val="20"/>
                <w:color w:val="auto"/>
              </w:rPr>
            </w:pPr>
            <w:r>
              <w:rPr>
                <w:rFonts w:ascii="Arial" w:cs="Arial" w:eastAsia="Arial" w:hAnsi="Arial"/>
                <w:sz w:val="16"/>
                <w:szCs w:val="16"/>
                <w:color w:val="auto"/>
              </w:rPr>
              <w:t>Net Income Attributable to BWX Technologies,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0.82</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the computation of earnings per share:</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91,663,975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91,594,084</w:t>
            </w: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91,908,600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91,873,702</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firstLine="8"/>
        <w:spacing w:after="0" w:line="286" w:lineRule="auto"/>
        <w:tabs>
          <w:tab w:leader="none" w:pos="26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p>
      <w:pPr>
        <w:sectPr>
          <w:pgSz w:w="11900" w:h="16838" w:orient="portrait"/>
          <w:cols w:equalWidth="0" w:num="1">
            <w:col w:w="11240"/>
          </w:cols>
          <w:pgMar w:left="320" w:top="93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4"/>
        </w:trPr>
        <w:tc>
          <w:tcPr>
            <w:tcW w:w="8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(Unaudited) (In thousands)</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91,189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75,526</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4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29,013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23,912</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Income of investees, net of dividends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0" w:type="dxa"/>
            <w:vAlign w:val="bottom"/>
          </w:tcPr>
          <w:p>
            <w:pPr>
              <w:spacing w:after="0"/>
              <w:rPr>
                <w:sz w:val="1"/>
                <w:szCs w:val="1"/>
                <w:color w:val="auto"/>
              </w:rPr>
            </w:pPr>
          </w:p>
        </w:tc>
      </w:tr>
      <w:tr>
        <w:trPr>
          <w:trHeight w:val="215"/>
        </w:trPr>
        <w:tc>
          <w:tcPr>
            <w:tcW w:w="8440" w:type="dxa"/>
            <w:vAlign w:val="bottom"/>
          </w:tcPr>
          <w:p>
            <w:pPr>
              <w:ind w:left="480"/>
              <w:spacing w:after="0"/>
              <w:rPr>
                <w:sz w:val="20"/>
                <w:szCs w:val="20"/>
                <w:color w:val="auto"/>
              </w:rPr>
            </w:pPr>
            <w:r>
              <w:rPr>
                <w:rFonts w:ascii="Arial" w:cs="Arial" w:eastAsia="Arial" w:hAnsi="Arial"/>
                <w:sz w:val="16"/>
                <w:szCs w:val="16"/>
                <w:color w:val="auto"/>
              </w:rPr>
              <w:t>(Gain) loss on asset disposals and impairments - net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(4,431)</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Recognition of losses for pension and postretirement plans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5"/>
        </w:trPr>
        <w:tc>
          <w:tcPr>
            <w:tcW w:w="8440" w:type="dxa"/>
            <w:vAlign w:val="bottom"/>
          </w:tcPr>
          <w:p>
            <w:pPr>
              <w:ind w:left="48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5,047</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215"/>
        </w:trPr>
        <w:tc>
          <w:tcPr>
            <w:tcW w:w="8440" w:type="dxa"/>
            <w:vAlign w:val="bottom"/>
          </w:tcPr>
          <w:p>
            <w:pPr>
              <w:ind w:left="480"/>
              <w:spacing w:after="0"/>
              <w:rPr>
                <w:sz w:val="20"/>
                <w:szCs w:val="20"/>
                <w:color w:val="auto"/>
              </w:rPr>
            </w:pPr>
            <w:r>
              <w:rPr>
                <w:rFonts w:ascii="Arial" w:cs="Arial" w:eastAsia="Arial" w:hAnsi="Arial"/>
                <w:sz w:val="16"/>
                <w:szCs w:val="16"/>
                <w:color w:val="auto"/>
              </w:rPr>
              <w:t>Changes in assets and liabilities, net of effects from acquisitions: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19,440</w:t>
            </w:r>
          </w:p>
        </w:tc>
        <w:tc>
          <w:tcPr>
            <w:tcW w:w="0" w:type="dxa"/>
            <w:vAlign w:val="bottom"/>
          </w:tcPr>
          <w:p>
            <w:pPr>
              <w:spacing w:after="0"/>
              <w:rPr>
                <w:sz w:val="1"/>
                <w:szCs w:val="1"/>
                <w:color w:val="auto"/>
              </w:rPr>
            </w:pPr>
          </w:p>
        </w:tc>
      </w:tr>
      <w:tr>
        <w:trPr>
          <w:trHeight w:val="215"/>
        </w:trPr>
        <w:tc>
          <w:tcPr>
            <w:tcW w:w="844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79,502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5,340</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Retainages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(11,743)</w:t>
            </w:r>
          </w:p>
        </w:tc>
        <w:tc>
          <w:tcPr>
            <w:tcW w:w="0" w:type="dxa"/>
            <w:vAlign w:val="bottom"/>
          </w:tcPr>
          <w:p>
            <w:pPr>
              <w:spacing w:after="0"/>
              <w:rPr>
                <w:sz w:val="1"/>
                <w:szCs w:val="1"/>
                <w:color w:val="auto"/>
              </w:rPr>
            </w:pPr>
          </w:p>
        </w:tc>
      </w:tr>
      <w:tr>
        <w:trPr>
          <w:trHeight w:val="215"/>
        </w:trPr>
        <w:tc>
          <w:tcPr>
            <w:tcW w:w="8440" w:type="dxa"/>
            <w:vAlign w:val="bottom"/>
          </w:tcPr>
          <w:p>
            <w:pPr>
              <w:ind w:left="680"/>
              <w:spacing w:after="0"/>
              <w:rPr>
                <w:sz w:val="20"/>
                <w:szCs w:val="20"/>
                <w:color w:val="auto"/>
              </w:rPr>
            </w:pPr>
            <w:r>
              <w:rPr>
                <w:rFonts w:ascii="Arial" w:cs="Arial" w:eastAsia="Arial" w:hAnsi="Arial"/>
                <w:sz w:val="16"/>
                <w:szCs w:val="16"/>
                <w:color w:val="auto"/>
              </w:rPr>
              <w:t>Contracts in progress and advance billings on contracts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(93,045)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(26,236)</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6,427</w:t>
            </w:r>
          </w:p>
        </w:tc>
        <w:tc>
          <w:tcPr>
            <w:tcW w:w="0" w:type="dxa"/>
            <w:vAlign w:val="bottom"/>
          </w:tcPr>
          <w:p>
            <w:pPr>
              <w:spacing w:after="0"/>
              <w:rPr>
                <w:sz w:val="1"/>
                <w:szCs w:val="1"/>
                <w:color w:val="auto"/>
              </w:rPr>
            </w:pPr>
          </w:p>
        </w:tc>
      </w:tr>
      <w:tr>
        <w:trPr>
          <w:trHeight w:val="215"/>
        </w:trPr>
        <w:tc>
          <w:tcPr>
            <w:tcW w:w="8440" w:type="dxa"/>
            <w:vAlign w:val="bottom"/>
          </w:tcPr>
          <w:p>
            <w:pPr>
              <w:ind w:left="68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9,387</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Pension liabilities, accrued postretirement benefit obligations and employee benefits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(38,808)</w:t>
            </w:r>
          </w:p>
        </w:tc>
        <w:tc>
          <w:tcPr>
            <w:tcW w:w="0" w:type="dxa"/>
            <w:vAlign w:val="bottom"/>
          </w:tcPr>
          <w:p>
            <w:pPr>
              <w:spacing w:after="0"/>
              <w:rPr>
                <w:sz w:val="1"/>
                <w:szCs w:val="1"/>
                <w:color w:val="auto"/>
              </w:rPr>
            </w:pPr>
          </w:p>
        </w:tc>
      </w:tr>
      <w:tr>
        <w:trPr>
          <w:trHeight w:val="215"/>
        </w:trPr>
        <w:tc>
          <w:tcPr>
            <w:tcW w:w="8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(14,714)</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50,650</w:t>
            </w:r>
          </w:p>
        </w:tc>
        <w:tc>
          <w:tcPr>
            <w:tcW w:w="0" w:type="dxa"/>
            <w:vAlign w:val="bottom"/>
          </w:tcPr>
          <w:p>
            <w:pPr>
              <w:spacing w:after="0"/>
              <w:rPr>
                <w:sz w:val="1"/>
                <w:szCs w:val="1"/>
                <w:color w:val="auto"/>
              </w:rPr>
            </w:pPr>
          </w:p>
        </w:tc>
      </w:tr>
      <w:tr>
        <w:trPr>
          <w:trHeight w:val="195"/>
        </w:trPr>
        <w:tc>
          <w:tcPr>
            <w:tcW w:w="84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(33,369)</w:t>
            </w:r>
          </w:p>
        </w:tc>
        <w:tc>
          <w:tcPr>
            <w:tcW w:w="0" w:type="dxa"/>
            <w:vAlign w:val="bottom"/>
          </w:tcPr>
          <w:p>
            <w:pPr>
              <w:spacing w:after="0"/>
              <w:rPr>
                <w:sz w:val="1"/>
                <w:szCs w:val="1"/>
                <w:color w:val="auto"/>
              </w:rPr>
            </w:pPr>
          </w:p>
        </w:tc>
      </w:tr>
      <w:tr>
        <w:trPr>
          <w:trHeight w:val="215"/>
        </w:trPr>
        <w:tc>
          <w:tcPr>
            <w:tcW w:w="8440" w:type="dxa"/>
            <w:vAlign w:val="bottom"/>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(103,345)</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maturities of securities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w:t>
            </w:r>
          </w:p>
        </w:tc>
        <w:tc>
          <w:tcPr>
            <w:tcW w:w="0" w:type="dxa"/>
            <w:vAlign w:val="bottom"/>
          </w:tcPr>
          <w:p>
            <w:pPr>
              <w:spacing w:after="0"/>
              <w:rPr>
                <w:sz w:val="1"/>
                <w:szCs w:val="1"/>
                <w:color w:val="auto"/>
              </w:rPr>
            </w:pPr>
          </w:p>
        </w:tc>
      </w:tr>
      <w:tr>
        <w:trPr>
          <w:trHeight w:val="215"/>
        </w:trPr>
        <w:tc>
          <w:tcPr>
            <w:tcW w:w="8440" w:type="dxa"/>
            <w:vAlign w:val="bottom"/>
          </w:tcPr>
          <w:p>
            <w:pPr>
              <w:ind w:left="220"/>
              <w:spacing w:after="0"/>
              <w:rPr>
                <w:sz w:val="20"/>
                <w:szCs w:val="20"/>
                <w:color w:val="auto"/>
              </w:rPr>
            </w:pPr>
            <w:r>
              <w:rPr>
                <w:rFonts w:ascii="Arial" w:cs="Arial" w:eastAsia="Arial" w:hAnsi="Arial"/>
                <w:sz w:val="16"/>
                <w:szCs w:val="16"/>
                <w:color w:val="auto"/>
              </w:rPr>
              <w:t>Investments, net of return of capital, in equity method investees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(26,400)</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4,905</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(156,350)</w:t>
            </w: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40" w:type="dxa"/>
            <w:vAlign w:val="bottom"/>
          </w:tcPr>
          <w:p>
            <w:pPr>
              <w:ind w:left="220"/>
              <w:spacing w:after="0"/>
              <w:rPr>
                <w:sz w:val="20"/>
                <w:szCs w:val="20"/>
                <w:color w:val="auto"/>
              </w:rPr>
            </w:pPr>
            <w:r>
              <w:rPr>
                <w:rFonts w:ascii="Arial" w:cs="Arial" w:eastAsia="Arial" w:hAnsi="Arial"/>
                <w:sz w:val="16"/>
                <w:szCs w:val="16"/>
                <w:color w:val="auto"/>
              </w:rPr>
              <w:t>Borrowings of long-term debt</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204,500</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long-term debt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(62,625)</w:t>
            </w:r>
          </w:p>
        </w:tc>
        <w:tc>
          <w:tcPr>
            <w:tcW w:w="0" w:type="dxa"/>
            <w:vAlign w:val="bottom"/>
          </w:tcPr>
          <w:p>
            <w:pPr>
              <w:spacing w:after="0"/>
              <w:rPr>
                <w:sz w:val="1"/>
                <w:szCs w:val="1"/>
                <w:color w:val="auto"/>
              </w:rPr>
            </w:pPr>
          </w:p>
        </w:tc>
      </w:tr>
      <w:tr>
        <w:trPr>
          <w:trHeight w:val="215"/>
        </w:trPr>
        <w:tc>
          <w:tcPr>
            <w:tcW w:w="8440" w:type="dxa"/>
            <w:vAlign w:val="bottom"/>
          </w:tcPr>
          <w:p>
            <w:pPr>
              <w:ind w:left="220"/>
              <w:spacing w:after="0"/>
              <w:rPr>
                <w:sz w:val="20"/>
                <w:szCs w:val="20"/>
                <w:color w:val="auto"/>
              </w:rPr>
            </w:pPr>
            <w:r>
              <w:rPr>
                <w:rFonts w:ascii="Arial" w:cs="Arial" w:eastAsia="Arial" w:hAnsi="Arial"/>
                <w:sz w:val="16"/>
                <w:szCs w:val="16"/>
                <w:color w:val="auto"/>
              </w:rPr>
              <w:t>Repurchases of common stock</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(30,000)</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paid to common shareholders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(23,660)</w:t>
            </w:r>
          </w:p>
        </w:tc>
        <w:tc>
          <w:tcPr>
            <w:tcW w:w="0" w:type="dxa"/>
            <w:vAlign w:val="bottom"/>
          </w:tcPr>
          <w:p>
            <w:pPr>
              <w:spacing w:after="0"/>
              <w:rPr>
                <w:sz w:val="1"/>
                <w:szCs w:val="1"/>
                <w:color w:val="auto"/>
              </w:rPr>
            </w:pPr>
          </w:p>
        </w:tc>
      </w:tr>
      <w:tr>
        <w:trPr>
          <w:trHeight w:val="215"/>
        </w:trPr>
        <w:tc>
          <w:tcPr>
            <w:tcW w:w="8440" w:type="dxa"/>
            <w:vAlign w:val="bottom"/>
          </w:tcPr>
          <w:p>
            <w:pPr>
              <w:ind w:left="220"/>
              <w:spacing w:after="0"/>
              <w:rPr>
                <w:sz w:val="20"/>
                <w:szCs w:val="20"/>
                <w:color w:val="auto"/>
              </w:rPr>
            </w:pPr>
            <w:r>
              <w:rPr>
                <w:rFonts w:ascii="Arial" w:cs="Arial" w:eastAsia="Arial" w:hAnsi="Arial"/>
                <w:sz w:val="16"/>
                <w:szCs w:val="16"/>
                <w:color w:val="auto"/>
              </w:rPr>
              <w:t>Cash paid for shares withheld to satisfy employee taxes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(12,883)</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Settlements of forward contracts,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8,438</w:t>
            </w:r>
          </w:p>
        </w:tc>
        <w:tc>
          <w:tcPr>
            <w:tcW w:w="0" w:type="dxa"/>
            <w:vAlign w:val="bottom"/>
          </w:tcPr>
          <w:p>
            <w:pPr>
              <w:spacing w:after="0"/>
              <w:rPr>
                <w:sz w:val="1"/>
                <w:szCs w:val="1"/>
                <w:color w:val="auto"/>
              </w:rPr>
            </w:pPr>
          </w:p>
        </w:tc>
      </w:tr>
      <w:tr>
        <w:trPr>
          <w:trHeight w:val="215"/>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(34,205)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84,791</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EFFECTS OF EXCHANGE RATE CHANGES ON CASH</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2,294</w:t>
            </w:r>
          </w:p>
        </w:tc>
        <w:tc>
          <w:tcPr>
            <w:tcW w:w="0" w:type="dxa"/>
            <w:vAlign w:val="bottom"/>
          </w:tcPr>
          <w:p>
            <w:pPr>
              <w:spacing w:after="0"/>
              <w:rPr>
                <w:sz w:val="1"/>
                <w:szCs w:val="1"/>
                <w:color w:val="auto"/>
              </w:rPr>
            </w:pPr>
          </w:p>
        </w:tc>
      </w:tr>
      <w:tr>
        <w:trPr>
          <w:trHeight w:val="143"/>
        </w:trPr>
        <w:tc>
          <w:tcPr>
            <w:tcW w:w="844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TOTAL INCREASE (DECREASE) IN CASH AND CASH EQUIVALENTS AND RESTRICTED CASH AND CASH</w:t>
            </w: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13,123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(18,615)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EQUIVALENTS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440" w:type="dxa"/>
            <w:vAlign w:val="bottom"/>
          </w:tcPr>
          <w:p>
            <w:pPr>
              <w:ind w:left="20"/>
              <w:spacing w:after="0" w:line="142" w:lineRule="exact"/>
              <w:rPr>
                <w:sz w:val="20"/>
                <w:szCs w:val="20"/>
                <w:color w:val="auto"/>
              </w:rPr>
            </w:pPr>
            <w:r>
              <w:rPr>
                <w:rFonts w:ascii="Arial" w:cs="Arial" w:eastAsia="Arial" w:hAnsi="Arial"/>
                <w:sz w:val="16"/>
                <w:szCs w:val="16"/>
                <w:color w:val="auto"/>
              </w:rPr>
              <w:t>CASH AND CASH EQUIVALENTS AND RESTRICTED CASH AND CASH EQUIVALENTS AT BEGINNING OF</w:t>
            </w:r>
          </w:p>
        </w:tc>
        <w:tc>
          <w:tcPr>
            <w:tcW w:w="2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507,204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80,571</w:t>
            </w:r>
          </w:p>
        </w:tc>
        <w:tc>
          <w:tcPr>
            <w:tcW w:w="0" w:type="dxa"/>
            <w:vAlign w:val="bottom"/>
          </w:tcPr>
          <w:p>
            <w:pPr>
              <w:spacing w:after="0"/>
              <w:rPr>
                <w:sz w:val="1"/>
                <w:szCs w:val="1"/>
                <w:color w:val="auto"/>
              </w:rPr>
            </w:pPr>
          </w:p>
        </w:tc>
      </w:tr>
      <w:tr>
        <w:trPr>
          <w:trHeight w:val="215"/>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PERIOD</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AND CASH EQUIVALENTS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520,327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61,956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during the period for:</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40" w:type="dxa"/>
            <w:vAlign w:val="bottom"/>
          </w:tcPr>
          <w:p>
            <w:pPr>
              <w:ind w:left="480"/>
              <w:spacing w:after="0"/>
              <w:rPr>
                <w:sz w:val="20"/>
                <w:szCs w:val="20"/>
                <w:color w:val="auto"/>
              </w:rPr>
            </w:pPr>
            <w:r>
              <w:rPr>
                <w:rFonts w:ascii="Arial" w:cs="Arial" w:eastAsia="Arial" w:hAnsi="Arial"/>
                <w:sz w:val="16"/>
                <w:szCs w:val="16"/>
                <w:color w:val="auto"/>
              </w:rPr>
              <w:t>Interest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5,331</w:t>
            </w: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Income taxes (net of refunds)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10,049</w:t>
            </w:r>
          </w:p>
        </w:tc>
        <w:tc>
          <w:tcPr>
            <w:tcW w:w="0" w:type="dxa"/>
            <w:vAlign w:val="bottom"/>
          </w:tcPr>
          <w:p>
            <w:pPr>
              <w:spacing w:after="0"/>
              <w:rPr>
                <w:sz w:val="1"/>
                <w:szCs w:val="1"/>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SCHEDULE OF NON-CASH INVESTING ACTIVITY:</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capital expenditures included in 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firstLine="8"/>
        <w:spacing w:after="0" w:line="286" w:lineRule="auto"/>
        <w:tabs>
          <w:tab w:leader="none" w:pos="268"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p>
      <w:pPr>
        <w:sectPr>
          <w:pgSz w:w="11900" w:h="16838" w:orient="portrait"/>
          <w:cols w:equalWidth="0" w:num="1">
            <w:col w:w="11240"/>
          </w:cols>
          <w:pgMar w:left="320" w:top="89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r>
      <w:tr>
        <w:trPr>
          <w:trHeight w:val="146"/>
        </w:trPr>
        <w:tc>
          <w:tcPr>
            <w:tcW w:w="8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tcPr>
          <w:p>
            <w:pPr>
              <w:jc w:val="right"/>
              <w:ind w:right="912"/>
              <w:spacing w:after="0" w:line="147" w:lineRule="exact"/>
              <w:rPr>
                <w:sz w:val="20"/>
                <w:szCs w:val="20"/>
                <w:color w:val="auto"/>
              </w:rPr>
            </w:pPr>
            <w:r>
              <w:rPr>
                <w:rFonts w:ascii="Arial" w:cs="Arial" w:eastAsia="Arial" w:hAnsi="Arial"/>
                <w:sz w:val="14"/>
                <w:szCs w:val="14"/>
                <w:b w:val="1"/>
                <w:bCs w:val="1"/>
                <w:color w:val="auto"/>
              </w:rPr>
              <w:t>(Unaudited)</w:t>
            </w:r>
          </w:p>
        </w:tc>
      </w:tr>
      <w:tr>
        <w:trPr>
          <w:trHeight w:val="185"/>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512,357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499,779</w:t>
            </w: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and cash equivalents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r>
      <w:tr>
        <w:trPr>
          <w:trHeight w:val="230"/>
        </w:trPr>
        <w:tc>
          <w:tcPr>
            <w:tcW w:w="8440" w:type="dxa"/>
            <w:vAlign w:val="bottom"/>
          </w:tcPr>
          <w:p>
            <w:pPr>
              <w:ind w:left="220"/>
              <w:spacing w:after="0"/>
              <w:rPr>
                <w:sz w:val="20"/>
                <w:szCs w:val="20"/>
                <w:color w:val="auto"/>
              </w:rPr>
            </w:pPr>
            <w:r>
              <w:rPr>
                <w:rFonts w:ascii="Arial" w:cs="Arial" w:eastAsia="Arial" w:hAnsi="Arial"/>
                <w:sz w:val="18"/>
                <w:szCs w:val="18"/>
                <w:color w:val="auto"/>
              </w:rPr>
              <w:t>Accounts receivable – trade, net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185,223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220,391</w:t>
            </w: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 other</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67,858</w:t>
            </w:r>
          </w:p>
        </w:tc>
      </w:tr>
      <w:tr>
        <w:trPr>
          <w:trHeight w:val="229"/>
        </w:trPr>
        <w:tc>
          <w:tcPr>
            <w:tcW w:w="8440" w:type="dxa"/>
            <w:vAlign w:val="bottom"/>
          </w:tcPr>
          <w:p>
            <w:pPr>
              <w:ind w:left="220"/>
              <w:spacing w:after="0"/>
              <w:rPr>
                <w:sz w:val="20"/>
                <w:szCs w:val="20"/>
                <w:color w:val="auto"/>
              </w:rPr>
            </w:pPr>
            <w:r>
              <w:rPr>
                <w:rFonts w:ascii="Arial" w:cs="Arial" w:eastAsia="Arial" w:hAnsi="Arial"/>
                <w:sz w:val="18"/>
                <w:szCs w:val="18"/>
                <w:color w:val="auto"/>
              </w:rPr>
              <w:t>Retainages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77,542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46,311</w:t>
            </w:r>
          </w:p>
        </w:tc>
      </w:tr>
      <w:tr>
        <w:trPr>
          <w:trHeight w:val="230"/>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Contracts in progress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610,315</w:t>
            </w:r>
          </w:p>
        </w:tc>
      </w:tr>
      <w:tr>
        <w:trPr>
          <w:trHeight w:val="229"/>
        </w:trPr>
        <w:tc>
          <w:tcPr>
            <w:tcW w:w="844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46,537</w:t>
            </w:r>
          </w:p>
        </w:tc>
      </w:tr>
      <w:tr>
        <w:trPr>
          <w:trHeight w:val="229"/>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66,078</w:t>
            </w:r>
          </w:p>
        </w:tc>
      </w:tr>
      <w:tr>
        <w:trPr>
          <w:trHeight w:val="223"/>
        </w:trPr>
        <w:tc>
          <w:tcPr>
            <w:tcW w:w="84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1,616,376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1,560,354</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1,596,110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1,585,136</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8,243</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500,860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12,275</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150,143</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321,438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329,859</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124,625</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4,324,910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4,271,495</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8"/>
        <w:spacing w:after="0" w:line="286" w:lineRule="auto"/>
        <w:tabs>
          <w:tab w:leader="none" w:pos="268"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p>
      <w:pPr>
        <w:sectPr>
          <w:pgSz w:w="11900" w:h="16838" w:orient="portrait"/>
          <w:cols w:equalWidth="0" w:num="1">
            <w:col w:w="11240"/>
          </w:cols>
          <w:pgMar w:left="320" w:top="890"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STOCKHOLDERS' EQUITY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46"/>
        </w:trPr>
        <w:tc>
          <w:tcPr>
            <w:tcW w:w="8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tcPr>
          <w:p>
            <w:pPr>
              <w:jc w:val="center"/>
              <w:ind w:right="132"/>
              <w:spacing w:after="0" w:line="147"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4"/>
        </w:trPr>
        <w:tc>
          <w:tcPr>
            <w:tcW w:w="8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tcPr>
          <w:p>
            <w:pPr>
              <w:jc w:val="center"/>
              <w:ind w:right="152"/>
              <w:spacing w:after="0" w:line="145" w:lineRule="exact"/>
              <w:rPr>
                <w:sz w:val="20"/>
                <w:szCs w:val="20"/>
                <w:color w:val="auto"/>
              </w:rPr>
            </w:pPr>
            <w:r>
              <w:rPr>
                <w:rFonts w:ascii="Arial" w:cs="Arial" w:eastAsia="Arial" w:hAnsi="Arial"/>
                <w:sz w:val="14"/>
                <w:szCs w:val="14"/>
                <w:b w:val="1"/>
                <w:bCs w:val="1"/>
                <w:color w:val="auto"/>
              </w:rPr>
              <w:t>(In thousands, except share</w:t>
            </w: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rPr>
              <w:t>and per share amounts)</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141,289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employee benefits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117,641</w:t>
            </w:r>
          </w:p>
        </w:tc>
        <w:tc>
          <w:tcPr>
            <w:tcW w:w="0" w:type="dxa"/>
            <w:vAlign w:val="bottom"/>
          </w:tcPr>
          <w:p>
            <w:pPr>
              <w:spacing w:after="0"/>
              <w:rPr>
                <w:sz w:val="1"/>
                <w:szCs w:val="1"/>
                <w:color w:val="auto"/>
              </w:rPr>
            </w:pPr>
          </w:p>
        </w:tc>
      </w:tr>
      <w:tr>
        <w:trPr>
          <w:trHeight w:val="229"/>
        </w:trPr>
        <w:tc>
          <w:tcPr>
            <w:tcW w:w="8440" w:type="dxa"/>
            <w:vAlign w:val="bottom"/>
          </w:tcPr>
          <w:p>
            <w:pPr>
              <w:ind w:left="240"/>
              <w:spacing w:after="0"/>
              <w:rPr>
                <w:sz w:val="20"/>
                <w:szCs w:val="20"/>
                <w:color w:val="auto"/>
              </w:rPr>
            </w:pPr>
            <w:r>
              <w:rPr>
                <w:rFonts w:ascii="Arial" w:cs="Arial" w:eastAsia="Arial" w:hAnsi="Arial"/>
                <w:sz w:val="18"/>
                <w:szCs w:val="18"/>
                <w:color w:val="auto"/>
              </w:rPr>
              <w:t>Accrued liabilities – other</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113,908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107,802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Advance billings on contracts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305,285</w:t>
            </w:r>
          </w:p>
        </w:tc>
        <w:tc>
          <w:tcPr>
            <w:tcW w:w="0" w:type="dxa"/>
            <w:vAlign w:val="bottom"/>
          </w:tcPr>
          <w:p>
            <w:pPr>
              <w:spacing w:after="0"/>
              <w:rPr>
                <w:sz w:val="1"/>
                <w:szCs w:val="1"/>
                <w:color w:val="auto"/>
              </w:rPr>
            </w:pPr>
          </w:p>
        </w:tc>
      </w:tr>
      <w:tr>
        <w:trPr>
          <w:trHeight w:val="223"/>
        </w:trPr>
        <w:tc>
          <w:tcPr>
            <w:tcW w:w="844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672,017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2,017,946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2,015,983</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Accumulated Postretirement Benefit Obligation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78,460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Liabilities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100,278</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Pension Liability</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74,403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78,167</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93,578</w:t>
            </w:r>
          </w:p>
        </w:tc>
        <w:tc>
          <w:tcPr>
            <w:tcW w:w="0" w:type="dxa"/>
            <w:vAlign w:val="bottom"/>
          </w:tcPr>
          <w:p>
            <w:pPr>
              <w:spacing w:after="0"/>
              <w:rPr>
                <w:sz w:val="1"/>
                <w:szCs w:val="1"/>
                <w:color w:val="auto"/>
              </w:rPr>
            </w:pPr>
          </w:p>
        </w:tc>
      </w:tr>
      <w:tr>
        <w:trPr>
          <w:trHeight w:val="223"/>
        </w:trPr>
        <w:tc>
          <w:tcPr>
            <w:tcW w:w="844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3,044,678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3,038,483</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44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Common stock, par value $0.01 per share, authorized 325,000,000 shares; issued 128,997,724 and</w:t>
            </w:r>
          </w:p>
        </w:tc>
        <w:tc>
          <w:tcPr>
            <w:tcW w:w="2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128,720,819 shares at March 31, 2026 and December 31, 2025, respectively</w:t>
            </w:r>
          </w:p>
        </w:tc>
        <w:tc>
          <w:tcPr>
            <w:tcW w:w="2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40"/>
              <w:spacing w:after="0"/>
              <w:rPr>
                <w:sz w:val="20"/>
                <w:szCs w:val="20"/>
                <w:color w:val="auto"/>
              </w:rPr>
            </w:pPr>
            <w:r>
              <w:rPr>
                <w:rFonts w:ascii="Arial" w:cs="Arial" w:eastAsia="Arial" w:hAnsi="Arial"/>
                <w:sz w:val="16"/>
                <w:szCs w:val="16"/>
                <w:color w:val="auto"/>
              </w:rPr>
              <w:t>Preferred stock, par value $0.01 per share, authorized 75,000,000 shares; No shares issued</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in excess of par value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159,884</w:t>
            </w:r>
          </w:p>
        </w:tc>
        <w:tc>
          <w:tcPr>
            <w:tcW w:w="0" w:type="dxa"/>
            <w:vAlign w:val="bottom"/>
          </w:tcPr>
          <w:p>
            <w:pPr>
              <w:spacing w:after="0"/>
              <w:rPr>
                <w:sz w:val="1"/>
                <w:szCs w:val="1"/>
                <w:color w:val="auto"/>
              </w:rPr>
            </w:pPr>
          </w:p>
        </w:tc>
      </w:tr>
      <w:tr>
        <w:trPr>
          <w:trHeight w:val="229"/>
        </w:trPr>
        <w:tc>
          <w:tcPr>
            <w:tcW w:w="844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2,589,824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2,523,631</w:t>
            </w: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Treasury stock at cost, 37,383,169 and 37,289,582 shares at March 31, 2026 and December 31,</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(1,452,330)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(1,432,943)</w:t>
            </w: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2025, respectively</w:t>
            </w:r>
          </w:p>
        </w:tc>
        <w:tc>
          <w:tcPr>
            <w:tcW w:w="22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Stockholders' Equity – BWX Technologies, Inc.</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1,232,487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1,280,232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1,233,012</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4,324,910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4,271,495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firstLine="8"/>
        <w:spacing w:after="0" w:line="286" w:lineRule="auto"/>
        <w:tabs>
          <w:tab w:leader="none" w:pos="2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p>
      <w:pPr>
        <w:sectPr>
          <w:pgSz w:w="11900" w:h="16838" w:orient="portrait"/>
          <w:cols w:equalWidth="0" w:num="1">
            <w:col w:w="11240"/>
          </w:cols>
          <w:pgMar w:left="320" w:top="89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BWX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 INFORMATION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rPr>
              <w:t>Three Months Ended March 31,</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r>
      <w:tr>
        <w:trPr>
          <w:trHeight w:val="147"/>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left="593"/>
              <w:spacing w:after="0" w:line="147" w:lineRule="exact"/>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2"/>
                <w:szCs w:val="12"/>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REVENUES:</w:t>
            </w:r>
          </w:p>
        </w:tc>
        <w:tc>
          <w:tcPr>
            <w:tcW w:w="7360" w:type="dxa"/>
            <w:vAlign w:val="bottom"/>
            <w:tcBorders>
              <w:bottom w:val="single" w:sz="8" w:color="CCEEFF"/>
            </w:tcBorders>
            <w:gridSpan w:val="4"/>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20" w:type="dxa"/>
            <w:vAlign w:val="bottom"/>
            <w:gridSpan w:val="7"/>
          </w:tcPr>
          <w:p>
            <w:pPr>
              <w:spacing w:after="0"/>
              <w:rPr>
                <w:sz w:val="20"/>
                <w:szCs w:val="20"/>
                <w:color w:val="auto"/>
              </w:rPr>
            </w:pPr>
            <w:r>
              <w:rPr>
                <w:rFonts w:ascii="Arial" w:cs="Arial" w:eastAsia="Arial" w:hAnsi="Arial"/>
                <w:sz w:val="18"/>
                <w:szCs w:val="18"/>
                <w:color w:val="auto"/>
              </w:rPr>
              <w:t>Government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577,901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555,286</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Commercial Operations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128,310</w:t>
            </w: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7"/>
          </w:tcPr>
          <w:p>
            <w:pPr>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7"/>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682,258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20" w:type="dxa"/>
            <w:vAlign w:val="bottom"/>
            <w:shd w:val="clear" w:color="auto" w:fill="CCEEFF"/>
          </w:tcPr>
          <w:p>
            <w:pPr>
              <w:spacing w:after="0"/>
              <w:rPr>
                <w:sz w:val="16"/>
                <w:szCs w:val="16"/>
                <w:color w:val="auto"/>
              </w:rPr>
            </w:pPr>
          </w:p>
        </w:tc>
        <w:tc>
          <w:tcPr>
            <w:tcW w:w="842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SEGMENT INCOME:</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gridSpan w:val="7"/>
          </w:tcPr>
          <w:p>
            <w:pPr>
              <w:spacing w:after="0"/>
              <w:rPr>
                <w:sz w:val="20"/>
                <w:szCs w:val="20"/>
                <w:color w:val="auto"/>
              </w:rPr>
            </w:pPr>
            <w:r>
              <w:rPr>
                <w:rFonts w:ascii="Arial" w:cs="Arial" w:eastAsia="Arial" w:hAnsi="Arial"/>
                <w:sz w:val="18"/>
                <w:szCs w:val="18"/>
                <w:color w:val="auto"/>
              </w:rPr>
              <w:t>Government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99,141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97,746</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Commercial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r>
      <w:tr>
        <w:trPr>
          <w:trHeight w:val="223"/>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7"/>
          </w:tcPr>
          <w:p>
            <w:pPr>
              <w:ind w:left="200"/>
              <w:spacing w:after="0"/>
              <w:rPr>
                <w:sz w:val="20"/>
                <w:szCs w:val="20"/>
                <w:color w:val="auto"/>
              </w:rPr>
            </w:pPr>
            <w:r>
              <w:rPr>
                <w:rFonts w:ascii="Arial" w:cs="Arial" w:eastAsia="Arial" w:hAnsi="Arial"/>
                <w:sz w:val="18"/>
                <w:szCs w:val="18"/>
                <w:b w:val="1"/>
                <w:bCs w:val="1"/>
                <w:color w:val="auto"/>
              </w:rPr>
              <w:t>SUBTOTAL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104,212</w:t>
            </w:r>
          </w:p>
        </w:tc>
      </w:tr>
      <w:tr>
        <w:trPr>
          <w:trHeight w:val="223"/>
        </w:trPr>
        <w:tc>
          <w:tcPr>
            <w:tcW w:w="20" w:type="dxa"/>
            <w:vAlign w:val="bottom"/>
            <w:shd w:val="clear" w:color="auto" w:fill="CCEEFF"/>
          </w:tcPr>
          <w:p>
            <w:pPr>
              <w:spacing w:after="0"/>
              <w:rPr>
                <w:sz w:val="19"/>
                <w:szCs w:val="19"/>
                <w:color w:val="auto"/>
              </w:rPr>
            </w:pPr>
          </w:p>
        </w:tc>
        <w:tc>
          <w:tcPr>
            <w:tcW w:w="8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Unallocated Corporate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r>
      <w:tr>
        <w:trPr>
          <w:trHeight w:val="223"/>
        </w:trPr>
        <w:tc>
          <w:tcPr>
            <w:tcW w:w="20" w:type="dxa"/>
            <w:vAlign w:val="bottom"/>
          </w:tcPr>
          <w:p>
            <w:pPr>
              <w:spacing w:after="0"/>
              <w:rPr>
                <w:sz w:val="19"/>
                <w:szCs w:val="19"/>
                <w:color w:val="auto"/>
              </w:rPr>
            </w:pPr>
          </w:p>
        </w:tc>
        <w:tc>
          <w:tcPr>
            <w:tcW w:w="8420" w:type="dxa"/>
            <w:vAlign w:val="bottom"/>
            <w:gridSpan w:val="7"/>
          </w:tcPr>
          <w:p>
            <w:pPr>
              <w:ind w:left="20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106,691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96,630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420" w:type="dxa"/>
            <w:vAlign w:val="bottom"/>
            <w:gridSpan w:val="7"/>
          </w:tcPr>
          <w:p>
            <w:pPr>
              <w:spacing w:after="0" w:line="189" w:lineRule="exact"/>
              <w:rPr>
                <w:sz w:val="20"/>
                <w:szCs w:val="20"/>
                <w:color w:val="auto"/>
              </w:rPr>
            </w:pPr>
            <w:r>
              <w:rPr>
                <w:rFonts w:ascii="Arial" w:cs="Arial" w:eastAsia="Arial" w:hAnsi="Arial"/>
                <w:sz w:val="18"/>
                <w:szCs w:val="18"/>
                <w:b w:val="1"/>
                <w:bCs w:val="1"/>
                <w:color w:val="auto"/>
              </w:rPr>
              <w:t>DEPRECIATION AND AMORTIZATION:</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Government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18,096</w:t>
            </w:r>
          </w:p>
        </w:tc>
      </w:tr>
      <w:tr>
        <w:trPr>
          <w:trHeight w:val="229"/>
        </w:trPr>
        <w:tc>
          <w:tcPr>
            <w:tcW w:w="20" w:type="dxa"/>
            <w:vAlign w:val="bottom"/>
          </w:tcPr>
          <w:p>
            <w:pPr>
              <w:spacing w:after="0"/>
              <w:rPr>
                <w:sz w:val="19"/>
                <w:szCs w:val="19"/>
                <w:color w:val="auto"/>
              </w:rPr>
            </w:pPr>
          </w:p>
        </w:tc>
        <w:tc>
          <w:tcPr>
            <w:tcW w:w="8420" w:type="dxa"/>
            <w:vAlign w:val="bottom"/>
            <w:gridSpan w:val="7"/>
          </w:tcPr>
          <w:p>
            <w:pPr>
              <w:spacing w:after="0"/>
              <w:rPr>
                <w:sz w:val="20"/>
                <w:szCs w:val="20"/>
                <w:color w:val="auto"/>
              </w:rPr>
            </w:pPr>
            <w:r>
              <w:rPr>
                <w:rFonts w:ascii="Arial" w:cs="Arial" w:eastAsia="Arial" w:hAnsi="Arial"/>
                <w:sz w:val="18"/>
                <w:szCs w:val="18"/>
                <w:color w:val="auto"/>
              </w:rPr>
              <w:t>Commercial Operations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4,019</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r>
      <w:tr>
        <w:trPr>
          <w:trHeight w:val="223"/>
        </w:trPr>
        <w:tc>
          <w:tcPr>
            <w:tcW w:w="20" w:type="dxa"/>
            <w:vAlign w:val="bottom"/>
          </w:tcPr>
          <w:p>
            <w:pPr>
              <w:spacing w:after="0"/>
              <w:rPr>
                <w:sz w:val="19"/>
                <w:szCs w:val="19"/>
                <w:color w:val="auto"/>
              </w:rPr>
            </w:pPr>
          </w:p>
        </w:tc>
        <w:tc>
          <w:tcPr>
            <w:tcW w:w="8420" w:type="dxa"/>
            <w:vAlign w:val="bottom"/>
            <w:gridSpan w:val="7"/>
          </w:tcPr>
          <w:p>
            <w:pPr>
              <w:ind w:left="20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8420" w:type="dxa"/>
            <w:vAlign w:val="bottom"/>
            <w:gridSpan w:val="7"/>
          </w:tcPr>
          <w:p>
            <w:pPr>
              <w:spacing w:after="0" w:line="189" w:lineRule="exact"/>
              <w:rPr>
                <w:sz w:val="20"/>
                <w:szCs w:val="20"/>
                <w:color w:val="auto"/>
              </w:rPr>
            </w:pPr>
            <w:r>
              <w:rPr>
                <w:rFonts w:ascii="Arial" w:cs="Arial" w:eastAsia="Arial" w:hAnsi="Arial"/>
                <w:sz w:val="18"/>
                <w:szCs w:val="18"/>
                <w:b w:val="1"/>
                <w:bCs w:val="1"/>
                <w:color w:val="auto"/>
              </w:rPr>
              <w:t>CAPITAL EXPENDITURES: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Government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w:t>
            </w:r>
          </w:p>
        </w:tc>
      </w:tr>
      <w:tr>
        <w:trPr>
          <w:trHeight w:val="230"/>
        </w:trPr>
        <w:tc>
          <w:tcPr>
            <w:tcW w:w="20" w:type="dxa"/>
            <w:vAlign w:val="bottom"/>
          </w:tcPr>
          <w:p>
            <w:pPr>
              <w:spacing w:after="0"/>
              <w:rPr>
                <w:sz w:val="19"/>
                <w:szCs w:val="19"/>
                <w:color w:val="auto"/>
              </w:rPr>
            </w:pPr>
          </w:p>
        </w:tc>
        <w:tc>
          <w:tcPr>
            <w:tcW w:w="8420" w:type="dxa"/>
            <w:vAlign w:val="bottom"/>
            <w:gridSpan w:val="7"/>
          </w:tcPr>
          <w:p>
            <w:pPr>
              <w:spacing w:after="0"/>
              <w:rPr>
                <w:sz w:val="20"/>
                <w:szCs w:val="20"/>
                <w:color w:val="auto"/>
              </w:rPr>
            </w:pPr>
            <w:r>
              <w:rPr>
                <w:rFonts w:ascii="Arial" w:cs="Arial" w:eastAsia="Arial" w:hAnsi="Arial"/>
                <w:sz w:val="18"/>
                <w:szCs w:val="18"/>
                <w:color w:val="auto"/>
              </w:rPr>
              <w:t>Commercial Operations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13,209</w:t>
            </w:r>
          </w:p>
        </w:tc>
      </w:tr>
      <w:tr>
        <w:trPr>
          <w:trHeight w:val="229"/>
        </w:trPr>
        <w:tc>
          <w:tcPr>
            <w:tcW w:w="20" w:type="dxa"/>
            <w:vAlign w:val="bottom"/>
            <w:shd w:val="clear" w:color="auto" w:fill="CCEEFF"/>
          </w:tcPr>
          <w:p>
            <w:pPr>
              <w:spacing w:after="0"/>
              <w:rPr>
                <w:sz w:val="19"/>
                <w:szCs w:val="19"/>
                <w:color w:val="auto"/>
              </w:rPr>
            </w:pPr>
          </w:p>
        </w:tc>
        <w:tc>
          <w:tcPr>
            <w:tcW w:w="8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r>
      <w:tr>
        <w:trPr>
          <w:trHeight w:val="223"/>
        </w:trPr>
        <w:tc>
          <w:tcPr>
            <w:tcW w:w="20" w:type="dxa"/>
            <w:vAlign w:val="bottom"/>
          </w:tcPr>
          <w:p>
            <w:pPr>
              <w:spacing w:after="0"/>
              <w:rPr>
                <w:sz w:val="19"/>
                <w:szCs w:val="19"/>
                <w:color w:val="auto"/>
              </w:rPr>
            </w:pPr>
          </w:p>
        </w:tc>
        <w:tc>
          <w:tcPr>
            <w:tcW w:w="8420" w:type="dxa"/>
            <w:vAlign w:val="bottom"/>
            <w:gridSpan w:val="7"/>
          </w:tcPr>
          <w:p>
            <w:pPr>
              <w:ind w:left="20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8420" w:type="dxa"/>
            <w:vAlign w:val="bottom"/>
            <w:gridSpan w:val="7"/>
          </w:tcPr>
          <w:p>
            <w:pPr>
              <w:spacing w:after="0" w:line="189" w:lineRule="exact"/>
              <w:rPr>
                <w:sz w:val="20"/>
                <w:szCs w:val="20"/>
                <w:color w:val="auto"/>
              </w:rPr>
            </w:pPr>
            <w:r>
              <w:rPr>
                <w:rFonts w:ascii="Arial" w:cs="Arial" w:eastAsia="Arial" w:hAnsi="Arial"/>
                <w:sz w:val="18"/>
                <w:szCs w:val="18"/>
                <w:b w:val="1"/>
                <w:bCs w:val="1"/>
                <w:color w:val="auto"/>
              </w:rPr>
              <w:t>BACKLOG:</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Government Operations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6,931,111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3,583,690</w:t>
            </w:r>
          </w:p>
        </w:tc>
      </w:tr>
      <w:tr>
        <w:trPr>
          <w:trHeight w:val="230"/>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7"/>
          </w:tcPr>
          <w:p>
            <w:pPr>
              <w:spacing w:after="0"/>
              <w:rPr>
                <w:sz w:val="20"/>
                <w:szCs w:val="20"/>
                <w:color w:val="auto"/>
              </w:rPr>
            </w:pPr>
            <w:r>
              <w:rPr>
                <w:rFonts w:ascii="Arial" w:cs="Arial" w:eastAsia="Arial" w:hAnsi="Arial"/>
                <w:sz w:val="18"/>
                <w:szCs w:val="18"/>
                <w:color w:val="auto"/>
              </w:rPr>
              <w:t>Commercial Operations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1,719,725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1,294,990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7"/>
            <w:shd w:val="clear" w:color="auto" w:fill="CCEEFF"/>
          </w:tcPr>
          <w:p>
            <w:pPr>
              <w:ind w:left="20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8,650,836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4,878,680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842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BOOKINGS: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gridSpan w:val="7"/>
          </w:tcPr>
          <w:p>
            <w:pPr>
              <w:spacing w:after="0"/>
              <w:rPr>
                <w:sz w:val="20"/>
                <w:szCs w:val="20"/>
                <w:color w:val="auto"/>
              </w:rPr>
            </w:pPr>
            <w:r>
              <w:rPr>
                <w:rFonts w:ascii="Arial" w:cs="Arial" w:eastAsia="Arial" w:hAnsi="Arial"/>
                <w:sz w:val="18"/>
                <w:szCs w:val="18"/>
                <w:color w:val="auto"/>
              </w:rPr>
              <w:t>Government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1,967,644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226,397</w:t>
            </w:r>
          </w:p>
        </w:tc>
      </w:tr>
      <w:tr>
        <w:trPr>
          <w:trHeight w:val="230"/>
        </w:trPr>
        <w:tc>
          <w:tcPr>
            <w:tcW w:w="20" w:type="dxa"/>
            <w:vAlign w:val="bottom"/>
            <w:shd w:val="clear" w:color="auto" w:fill="CCEEFF"/>
          </w:tcPr>
          <w:p>
            <w:pPr>
              <w:spacing w:after="0"/>
              <w:rPr>
                <w:sz w:val="19"/>
                <w:szCs w:val="19"/>
                <w:color w:val="auto"/>
              </w:rPr>
            </w:pPr>
          </w:p>
        </w:tc>
        <w:tc>
          <w:tcPr>
            <w:tcW w:w="8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Commercial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493,420</w:t>
            </w:r>
          </w:p>
        </w:tc>
      </w:tr>
      <w:tr>
        <w:trPr>
          <w:trHeight w:val="223"/>
        </w:trPr>
        <w:tc>
          <w:tcPr>
            <w:tcW w:w="20" w:type="dxa"/>
            <w:vAlign w:val="bottom"/>
          </w:tcPr>
          <w:p>
            <w:pPr>
              <w:spacing w:after="0"/>
              <w:rPr>
                <w:sz w:val="19"/>
                <w:szCs w:val="19"/>
                <w:color w:val="auto"/>
              </w:rPr>
            </w:pPr>
          </w:p>
        </w:tc>
        <w:tc>
          <w:tcPr>
            <w:tcW w:w="8420" w:type="dxa"/>
            <w:vAlign w:val="bottom"/>
            <w:gridSpan w:val="7"/>
          </w:tcPr>
          <w:p>
            <w:pPr>
              <w:ind w:left="20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2,250,360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719,817</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firstLine="8"/>
        <w:spacing w:after="0" w:line="286" w:lineRule="auto"/>
        <w:tabs>
          <w:tab w:leader="none" w:pos="268"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reconciliation of non-GAAP results are detailed in Exhibit 1. Additional information can be found in the materials on the BWXT investor relations website at www.bwxt.com/investors.</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2026-05-04T15:44:27Z</dcterms:created>
  <dcterms:modified xsi:type="dcterms:W3CDTF">2026-05-04T15:44:27Z</dcterms:modified>
</cp:coreProperties>
</file>