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Bertsch Jan</w:t>
              </w:r>
            </w:hyperlink>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BWX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BWXT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800 MAIN STREET</w:t>
            </w:r>
          </w:p>
        </w:tc>
        <w:tc>
          <w:tcPr>
            <w:tcW w:w="162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4TH FLOOR</w:t>
            </w:r>
          </w:p>
        </w:tc>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LYNCHBURG</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24504</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35.47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35.47</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2,242.48</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nine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Jan A. Bertsch,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18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Alexander D. Cobey, attorney-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80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03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65" w:lineRule="exact"/>
        <w:rPr>
          <w:sz w:val="20"/>
          <w:szCs w:val="20"/>
          <w:color w:val="auto"/>
        </w:rPr>
      </w:pPr>
    </w:p>
    <w:p>
      <w:pPr>
        <w:jc w:val="both"/>
        <w:ind w:left="60" w:firstLine="561"/>
        <w:spacing w:after="0" w:line="274" w:lineRule="auto"/>
        <w:rPr>
          <w:sz w:val="20"/>
          <w:szCs w:val="20"/>
          <w:color w:val="auto"/>
        </w:rPr>
      </w:pPr>
      <w:r>
        <w:rPr>
          <w:rFonts w:ascii="Times New Roman" w:cs="Times New Roman" w:eastAsia="Times New Roman" w:hAnsi="Times New Roman"/>
          <w:sz w:val="19"/>
          <w:szCs w:val="19"/>
          <w:color w:val="auto"/>
        </w:rPr>
        <w:t>The undersigned hereby constitutes and appoints Theresa B. Taylor, Alexander D. Cobey and Toby W. Smith of BWX Technologies,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Leyla Gungor and Irina Abbas of Hogan Lovells US LLP each of them, the undersigned's true and lawful attorney-in-fact and agent, and with full power of substitution, re-substitution and delegation, to:</w:t>
      </w:r>
    </w:p>
    <w:p>
      <w:pPr>
        <w:spacing w:after="0" w:line="200" w:lineRule="exact"/>
        <w:rPr>
          <w:sz w:val="20"/>
          <w:szCs w:val="20"/>
          <w:color w:val="auto"/>
        </w:rPr>
      </w:pPr>
    </w:p>
    <w:p>
      <w:pPr>
        <w:spacing w:after="0" w:line="209" w:lineRule="exact"/>
        <w:rPr>
          <w:sz w:val="20"/>
          <w:szCs w:val="20"/>
          <w:color w:val="auto"/>
        </w:rPr>
      </w:pPr>
    </w:p>
    <w:p>
      <w:pPr>
        <w:jc w:val="both"/>
        <w:ind w:left="620" w:hanging="554"/>
        <w:spacing w:after="0" w:line="281"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and execute in the undersigned's name and on the undersigned's behalf, and submit to the U.S. Securities and Exchange Commission (the "</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a Form ID, including amendments thereto, and any other documents necessary or appropriate to obtain codes and passwords enabling the undersigned to make electronic filings with the SEC;</w:t>
      </w:r>
    </w:p>
    <w:p>
      <w:pPr>
        <w:spacing w:after="0" w:line="200" w:lineRule="exact"/>
        <w:rPr>
          <w:rFonts w:ascii="Times New Roman" w:cs="Times New Roman" w:eastAsia="Times New Roman" w:hAnsi="Times New Roman"/>
          <w:sz w:val="19"/>
          <w:szCs w:val="19"/>
          <w:color w:val="auto"/>
        </w:rPr>
      </w:pPr>
    </w:p>
    <w:p>
      <w:pPr>
        <w:spacing w:after="0" w:line="202" w:lineRule="exact"/>
        <w:rPr>
          <w:rFonts w:ascii="Times New Roman" w:cs="Times New Roman" w:eastAsia="Times New Roman" w:hAnsi="Times New Roman"/>
          <w:sz w:val="19"/>
          <w:szCs w:val="19"/>
          <w:color w:val="auto"/>
        </w:rPr>
      </w:pPr>
    </w:p>
    <w:p>
      <w:pPr>
        <w:ind w:left="620" w:hanging="554"/>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enroll the undersigned in EDGAR Next or any successor filing system;</w:t>
      </w:r>
    </w:p>
    <w:p>
      <w:pPr>
        <w:spacing w:after="0" w:line="200" w:lineRule="exact"/>
        <w:rPr>
          <w:rFonts w:ascii="Times New Roman" w:cs="Times New Roman" w:eastAsia="Times New Roman" w:hAnsi="Times New Roman"/>
          <w:sz w:val="19"/>
          <w:szCs w:val="19"/>
          <w:color w:val="auto"/>
        </w:rPr>
      </w:pPr>
    </w:p>
    <w:p>
      <w:pPr>
        <w:spacing w:after="0" w:line="270" w:lineRule="exact"/>
        <w:rPr>
          <w:rFonts w:ascii="Times New Roman" w:cs="Times New Roman" w:eastAsia="Times New Roman" w:hAnsi="Times New Roman"/>
          <w:sz w:val="19"/>
          <w:szCs w:val="19"/>
          <w:color w:val="auto"/>
        </w:rPr>
      </w:pPr>
    </w:p>
    <w:p>
      <w:pPr>
        <w:jc w:val="both"/>
        <w:ind w:left="620" w:hanging="554"/>
        <w:spacing w:after="0" w:line="269"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serve as account administrator in EDGAR Next on the undersigned's behalf, including the power to: (a) appoint, remove and replace account administrators, account users, and technical administrators; (b) delegate authority to entities, including filing agents, law firms, broker-dealers and related corporate entities, to file on the undersigned's behalf; (c) maintain the security of the undersigned's EDGAR account, including modification of access codes; (d) maintain, modify and certify the accuracy of information on the undersigned's EDGAR account dashboard; (e) act as the EDGAR point of contact with respect to the undersigned's EDGAR account; and (f) take any other actions contemplated by Rule 10 of Regulation S-T with respect to account administrators;</w:t>
      </w:r>
    </w:p>
    <w:p>
      <w:pPr>
        <w:spacing w:after="0" w:line="200" w:lineRule="exact"/>
        <w:rPr>
          <w:rFonts w:ascii="Times New Roman" w:cs="Times New Roman" w:eastAsia="Times New Roman" w:hAnsi="Times New Roman"/>
          <w:sz w:val="19"/>
          <w:szCs w:val="19"/>
          <w:color w:val="auto"/>
        </w:rPr>
      </w:pPr>
    </w:p>
    <w:p>
      <w:pPr>
        <w:spacing w:after="0" w:line="215" w:lineRule="exact"/>
        <w:rPr>
          <w:rFonts w:ascii="Times New Roman" w:cs="Times New Roman" w:eastAsia="Times New Roman" w:hAnsi="Times New Roman"/>
          <w:sz w:val="19"/>
          <w:szCs w:val="19"/>
          <w:color w:val="auto"/>
        </w:rPr>
      </w:pPr>
    </w:p>
    <w:p>
      <w:pPr>
        <w:ind w:left="620" w:right="20" w:hanging="554"/>
        <w:spacing w:after="0" w:line="305"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the Company, Forms 3, 4, and 5 in accordance with Section 16(a) of the Securities Exchange Act of 1934 and the rules thereunder (the "</w:t>
      </w:r>
      <w:r>
        <w:rPr>
          <w:rFonts w:ascii="Times New Roman" w:cs="Times New Roman" w:eastAsia="Times New Roman" w:hAnsi="Times New Roman"/>
          <w:sz w:val="19"/>
          <w:szCs w:val="19"/>
          <w:u w:val="single" w:color="auto"/>
          <w:color w:val="auto"/>
        </w:rPr>
        <w:t>Exchange Ac</w:t>
      </w:r>
      <w:r>
        <w:rPr>
          <w:rFonts w:ascii="Times New Roman" w:cs="Times New Roman" w:eastAsia="Times New Roman" w:hAnsi="Times New Roman"/>
          <w:sz w:val="19"/>
          <w:szCs w:val="19"/>
          <w:color w:val="auto"/>
        </w:rPr>
        <w:t>t");</w:t>
      </w:r>
    </w:p>
    <w:p>
      <w:pPr>
        <w:spacing w:after="0" w:line="367" w:lineRule="exact"/>
        <w:rPr>
          <w:rFonts w:ascii="Times New Roman" w:cs="Times New Roman" w:eastAsia="Times New Roman" w:hAnsi="Times New Roman"/>
          <w:sz w:val="19"/>
          <w:szCs w:val="19"/>
          <w:color w:val="auto"/>
        </w:rPr>
      </w:pPr>
    </w:p>
    <w:p>
      <w:pPr>
        <w:jc w:val="both"/>
        <w:ind w:left="620" w:hanging="554"/>
        <w:spacing w:after="0" w:line="274"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0" w:lineRule="exact"/>
        <w:rPr>
          <w:rFonts w:ascii="Times New Roman" w:cs="Times New Roman" w:eastAsia="Times New Roman" w:hAnsi="Times New Roman"/>
          <w:sz w:val="19"/>
          <w:szCs w:val="19"/>
          <w:color w:val="auto"/>
        </w:rPr>
      </w:pPr>
    </w:p>
    <w:p>
      <w:pPr>
        <w:spacing w:after="0" w:line="208" w:lineRule="exact"/>
        <w:rPr>
          <w:rFonts w:ascii="Times New Roman" w:cs="Times New Roman" w:eastAsia="Times New Roman" w:hAnsi="Times New Roman"/>
          <w:sz w:val="19"/>
          <w:szCs w:val="19"/>
          <w:color w:val="auto"/>
        </w:rPr>
      </w:pPr>
    </w:p>
    <w:p>
      <w:pPr>
        <w:jc w:val="both"/>
        <w:ind w:left="620" w:hanging="554"/>
        <w:spacing w:after="0" w:line="278"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60" w:firstLine="561"/>
        <w:spacing w:after="0" w:line="272"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w:t>
      </w:r>
    </w:p>
    <w:p>
      <w:pPr>
        <w:spacing w:after="0" w:line="192" w:lineRule="exact"/>
        <w:rPr>
          <w:sz w:val="20"/>
          <w:szCs w:val="20"/>
          <w:color w:val="auto"/>
        </w:rPr>
      </w:pPr>
    </w:p>
    <w:p>
      <w:pPr>
        <w:jc w:val="both"/>
        <w:ind w:firstLine="624"/>
        <w:spacing w:after="0" w:line="269" w:lineRule="auto"/>
        <w:rPr>
          <w:sz w:val="20"/>
          <w:szCs w:val="20"/>
          <w:color w:val="auto"/>
        </w:rPr>
      </w:pPr>
      <w:r>
        <w:rPr>
          <w:rFonts w:ascii="Times New Roman" w:cs="Times New Roman" w:eastAsia="Times New Roman" w:hAnsi="Times New Roman"/>
          <w:sz w:val="19"/>
          <w:szCs w:val="19"/>
          <w:color w:val="auto"/>
        </w:rPr>
        <w:t>The undersigned acknowledges that (a) each such attorney-in-fact is serving in such capacity at the request of the undersigned and neither the Company nor any of such attorneys-in-fact assumes any liability for the responsibilities of the undersigned to comply with the requirements of Section 16 of the Exchange Act, any liability of the undersigned for any failure to comply with such requirements, or any liability of the undersigned for disgorgement of profits under Section 16(b) of the Exchange Act, and (b) this Power of Attorney does not relieve the undersigned from responsibility for compliance with the obligations of the undersigned under Section 16 of the Exchange Act, including, without limitation, the reporting requirements under Section 16 of the Exchange Act.</w:t>
      </w:r>
    </w:p>
    <w:p>
      <w:pPr>
        <w:spacing w:after="0" w:line="169" w:lineRule="exact"/>
        <w:rPr>
          <w:sz w:val="20"/>
          <w:szCs w:val="20"/>
          <w:color w:val="auto"/>
        </w:rPr>
      </w:pPr>
    </w:p>
    <w:p>
      <w:pPr>
        <w:jc w:val="both"/>
        <w:ind w:right="20" w:firstLine="624"/>
        <w:spacing w:after="0" w:line="259"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or transactions in securities issued by the Company, unless earlier revoked by delivering a signed, original "Revocation of Power of Attorney" to the attorney-in-fact.</w:t>
      </w:r>
    </w:p>
    <w:p>
      <w:pPr>
        <w:spacing w:after="0" w:line="37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29</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April, 2026.</w:t>
      </w:r>
    </w:p>
    <w:p>
      <w:pPr>
        <w:spacing w:after="0" w:line="79"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9"/>
          <w:szCs w:val="19"/>
          <w:color w:val="auto"/>
        </w:rPr>
        <w:t>/s/ Jan A. Bertsch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-8255</wp:posOffset>
            </wp:positionV>
            <wp:extent cx="974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5"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9"/>
          <w:szCs w:val="19"/>
          <w:color w:val="auto"/>
        </w:rPr>
        <w:t>Jan A. Bertsch</w:t>
      </w:r>
    </w:p>
    <w:sectPr>
      <w:pgSz w:w="11900" w:h="16838" w:orient="portrait"/>
      <w:cols w:equalWidth="0" w:num="1">
        <w:col w:w="10980"/>
      </w:cols>
      <w:pgMar w:left="460" w:top="36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77291" TargetMode="External"/><Relationship Id="rId14" Type="http://schemas.openxmlformats.org/officeDocument/2006/relationships/hyperlink" Target="http://www.sec.gov/cgi-bin/browse-edgar?action=getcompany&amp;CIK=00014869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2026-06-09T15:22:50Z</dcterms:created>
  <dcterms:modified xsi:type="dcterms:W3CDTF">2026-06-09T15:22:50Z</dcterms:modified>
</cp:coreProperties>
</file>