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140970</wp:posOffset>
            </wp:positionH>
            <wp:positionV relativeFrom="page">
              <wp:posOffset>140970</wp:posOffset>
            </wp:positionV>
            <wp:extent cx="727964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640" cy="6350"/>
                    </a:xfrm>
                    <a:prstGeom prst="rect">
                      <a:avLst/>
                    </a:prstGeom>
                    <a:noFill/>
                  </pic:spPr>
                </pic:pic>
              </a:graphicData>
            </a:graphic>
          </wp:anchor>
        </w:drawing>
        <w:drawing>
          <wp:anchor simplePos="0" relativeHeight="251657728" behindDoc="1" locked="0" layoutInCell="0" allowOverlap="1">
            <wp:simplePos x="0" y="0"/>
            <wp:positionH relativeFrom="page">
              <wp:posOffset>140970</wp:posOffset>
            </wp:positionH>
            <wp:positionV relativeFrom="page">
              <wp:posOffset>160020</wp:posOffset>
            </wp:positionV>
            <wp:extent cx="72796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9640" cy="6350"/>
                    </a:xfrm>
                    <a:prstGeom prst="rect">
                      <a:avLst/>
                    </a:prstGeom>
                    <a:noFill/>
                  </pic:spPr>
                </pic:pic>
              </a:graphicData>
            </a:graphic>
          </wp:anchor>
        </w:drawing>
        <w:t>UNITED STATES</w:t>
      </w:r>
    </w:p>
    <w:p>
      <w:pPr>
        <w:spacing w:after="0" w:line="7"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259"/>
        <w:spacing w:after="0"/>
        <w:rPr>
          <w:sz w:val="20"/>
          <w:szCs w:val="20"/>
          <w:color w:val="auto"/>
        </w:rPr>
      </w:pPr>
      <w:r>
        <w:rPr>
          <w:rFonts w:ascii="Arial" w:cs="Arial" w:eastAsia="Arial" w:hAnsi="Arial"/>
          <w:sz w:val="16"/>
          <w:szCs w:val="16"/>
          <w:b w:val="1"/>
          <w:bCs w:val="1"/>
          <w:color w:val="auto"/>
        </w:rPr>
        <w:t>Washington, D.C. 20549</w:t>
      </w:r>
    </w:p>
    <w:p>
      <w:pPr>
        <w:spacing w:after="0" w:line="155"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 INFORMATION</w:t>
      </w:r>
    </w:p>
    <w:p>
      <w:pPr>
        <w:spacing w:after="0" w:line="184"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18"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Securities Exchange Act of 1934</w:t>
      </w:r>
    </w:p>
    <w:p>
      <w:pPr>
        <w:jc w:val="center"/>
        <w:ind w:right="-259"/>
        <w:spacing w:after="0"/>
        <w:tabs>
          <w:tab w:leader="none" w:pos="140" w:val="left"/>
        </w:tabs>
        <w:rPr>
          <w:sz w:val="20"/>
          <w:szCs w:val="20"/>
          <w:color w:val="auto"/>
        </w:rPr>
      </w:pPr>
      <w:r>
        <w:rPr>
          <w:rFonts w:ascii="Arial" w:cs="Arial" w:eastAsia="Arial" w:hAnsi="Arial"/>
          <w:sz w:val="16"/>
          <w:szCs w:val="16"/>
          <w:b w:val="1"/>
          <w:bCs w:val="1"/>
          <w:color w:val="auto"/>
        </w:rPr>
        <w:t>(Amendment No.</w:t>
        <w:tab/>
        <w:t>)</w:t>
      </w:r>
    </w:p>
    <w:p>
      <w:pPr>
        <w:spacing w:after="0" w:line="218" w:lineRule="exact"/>
        <w:rPr>
          <w:sz w:val="24"/>
          <w:szCs w:val="24"/>
          <w:color w:val="auto"/>
        </w:rPr>
      </w:pPr>
    </w:p>
    <w:p>
      <w:pPr>
        <w:spacing w:after="0" w:line="150" w:lineRule="exact"/>
        <w:tabs>
          <w:tab w:leader="none" w:pos="2320" w:val="left"/>
        </w:tabs>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w:t>
      </w:r>
    </w:p>
    <w:p>
      <w:pPr>
        <w:spacing w:after="0" w:line="75" w:lineRule="exact"/>
        <w:rPr>
          <w:sz w:val="24"/>
          <w:szCs w:val="24"/>
          <w:color w:val="auto"/>
        </w:rPr>
      </w:pPr>
    </w:p>
    <w:p>
      <w:pPr>
        <w:ind w:left="480" w:hanging="478"/>
        <w:spacing w:after="0"/>
        <w:tabs>
          <w:tab w:leader="none" w:pos="4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91" w:lineRule="exact"/>
        <w:rPr>
          <w:rFonts w:ascii="MS PGothic" w:cs="MS PGothic" w:eastAsia="MS PGothic" w:hAnsi="MS PGothic"/>
          <w:sz w:val="13"/>
          <w:szCs w:val="13"/>
          <w:color w:val="auto"/>
        </w:rPr>
      </w:pPr>
    </w:p>
    <w:p>
      <w:pPr>
        <w:ind w:left="480" w:hanging="478"/>
        <w:spacing w:after="0"/>
        <w:tabs>
          <w:tab w:leader="none" w:pos="4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99" w:lineRule="exact"/>
        <w:rPr>
          <w:rFonts w:ascii="MS PGothic" w:cs="MS PGothic" w:eastAsia="MS PGothic" w:hAnsi="MS PGothic"/>
          <w:sz w:val="13"/>
          <w:szCs w:val="13"/>
          <w:color w:val="auto"/>
        </w:rPr>
      </w:pPr>
    </w:p>
    <w:p>
      <w:pPr>
        <w:ind w:left="480" w:hanging="478"/>
        <w:spacing w:after="0"/>
        <w:tabs>
          <w:tab w:leader="none" w:pos="4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96" w:lineRule="exact"/>
        <w:rPr>
          <w:sz w:val="24"/>
          <w:szCs w:val="24"/>
          <w:color w:val="auto"/>
        </w:rPr>
      </w:pPr>
    </w:p>
    <w:p>
      <w:pPr>
        <w:ind w:left="480" w:hanging="478"/>
        <w:spacing w:after="0"/>
        <w:tabs>
          <w:tab w:leader="none" w:pos="48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96" w:lineRule="exact"/>
        <w:rPr>
          <w:sz w:val="24"/>
          <w:szCs w:val="24"/>
          <w:color w:val="auto"/>
        </w:rPr>
      </w:pPr>
    </w:p>
    <w:p>
      <w:pPr>
        <w:ind w:left="480" w:hanging="478"/>
        <w:spacing w:after="0"/>
        <w:tabs>
          <w:tab w:leader="none" w:pos="48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Soliciting Material under Rule 14a-12</w:t>
      </w:r>
    </w:p>
    <w:p>
      <w:pPr>
        <w:spacing w:after="0" w:line="79" w:lineRule="exact"/>
        <w:rPr>
          <w:sz w:val="24"/>
          <w:szCs w:val="24"/>
          <w:color w:val="auto"/>
        </w:rPr>
      </w:pPr>
    </w:p>
    <w:p>
      <w:pPr>
        <w:jc w:val="center"/>
        <w:ind w:right="-259"/>
        <w:spacing w:after="0"/>
        <w:rPr>
          <w:sz w:val="20"/>
          <w:szCs w:val="20"/>
          <w:color w:val="auto"/>
        </w:rPr>
      </w:pPr>
      <w:r>
        <w:rPr>
          <w:rFonts w:ascii="Arial" w:cs="Arial" w:eastAsia="Arial" w:hAnsi="Arial"/>
          <w:sz w:val="33"/>
          <w:szCs w:val="33"/>
          <w:b w:val="1"/>
          <w:bCs w:val="1"/>
          <w:color w:val="auto"/>
        </w:rPr>
        <w:t>THE BABCOCK &amp; WILCOX COMPANY</w:t>
      </w:r>
    </w:p>
    <w:p>
      <w:pPr>
        <w:spacing w:after="0" w:line="46"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164" w:lineRule="exact"/>
        <w:rPr>
          <w:sz w:val="24"/>
          <w:szCs w:val="24"/>
          <w:color w:val="auto"/>
        </w:rPr>
      </w:pPr>
    </w:p>
    <w:p>
      <w:pPr>
        <w:jc w:val="center"/>
        <w:ind w:right="-259"/>
        <w:spacing w:after="0"/>
        <w:rPr>
          <w:sz w:val="20"/>
          <w:szCs w:val="20"/>
          <w:color w:val="auto"/>
        </w:rPr>
      </w:pPr>
      <w:r>
        <w:rPr>
          <w:rFonts w:ascii="Arial" w:cs="Arial" w:eastAsia="Arial" w:hAnsi="Arial"/>
          <w:sz w:val="10"/>
          <w:szCs w:val="10"/>
          <w:b w:val="1"/>
          <w:bCs w:val="1"/>
          <w:color w:val="auto"/>
        </w:rPr>
        <w:t>(Name of person(s) filing proxy statement, if other than the registrant)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Payment of Filing Fee (Check the appropriate box):</w:t>
      </w:r>
    </w:p>
    <w:p>
      <w:pPr>
        <w:spacing w:after="0" w:line="178" w:lineRule="exact"/>
        <w:rPr>
          <w:sz w:val="24"/>
          <w:szCs w:val="24"/>
          <w:color w:val="auto"/>
        </w:rPr>
      </w:pPr>
    </w:p>
    <w:p>
      <w:pPr>
        <w:ind w:left="480" w:hanging="478"/>
        <w:spacing w:after="0"/>
        <w:tabs>
          <w:tab w:leader="none" w:pos="48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78" w:lineRule="exact"/>
        <w:rPr>
          <w:sz w:val="24"/>
          <w:szCs w:val="24"/>
          <w:color w:val="auto"/>
        </w:rPr>
      </w:pPr>
    </w:p>
    <w:p>
      <w:pPr>
        <w:ind w:left="480" w:hanging="478"/>
        <w:spacing w:after="0"/>
        <w:tabs>
          <w:tab w:leader="none" w:pos="48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14a-6(i)(4) and 0-11.</w:t>
      </w:r>
    </w:p>
    <w:p>
      <w:pPr>
        <w:spacing w:after="0" w:line="177" w:lineRule="exact"/>
        <w:rPr>
          <w:rFonts w:ascii="MS PGothic" w:cs="MS PGothic" w:eastAsia="MS PGothic" w:hAnsi="MS PGothic"/>
          <w:sz w:val="13"/>
          <w:szCs w:val="13"/>
          <w:color w:val="auto"/>
        </w:rPr>
      </w:pPr>
    </w:p>
    <w:p>
      <w:pPr>
        <w:ind w:left="920" w:hanging="448"/>
        <w:spacing w:after="0"/>
        <w:tabs>
          <w:tab w:leader="none" w:pos="920" w:val="left"/>
        </w:tabs>
        <w:numPr>
          <w:ilvl w:val="1"/>
          <w:numId w:val="5"/>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351" w:lineRule="exact"/>
        <w:rPr>
          <w:rFonts w:ascii="Arial" w:cs="Arial" w:eastAsia="Arial" w:hAnsi="Arial"/>
          <w:sz w:val="13"/>
          <w:szCs w:val="13"/>
          <w:color w:val="auto"/>
        </w:rPr>
      </w:pPr>
    </w:p>
    <w:p>
      <w:pPr>
        <w:ind w:left="920" w:hanging="448"/>
        <w:spacing w:after="0"/>
        <w:tabs>
          <w:tab w:leader="none" w:pos="920" w:val="left"/>
        </w:tabs>
        <w:numPr>
          <w:ilvl w:val="1"/>
          <w:numId w:val="5"/>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351" w:lineRule="exact"/>
        <w:rPr>
          <w:rFonts w:ascii="Arial" w:cs="Arial" w:eastAsia="Arial" w:hAnsi="Arial"/>
          <w:sz w:val="13"/>
          <w:szCs w:val="13"/>
          <w:color w:val="auto"/>
        </w:rPr>
      </w:pPr>
    </w:p>
    <w:p>
      <w:pPr>
        <w:ind w:left="920" w:hanging="448"/>
        <w:spacing w:after="0"/>
        <w:tabs>
          <w:tab w:leader="none" w:pos="920"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363" w:lineRule="exact"/>
        <w:rPr>
          <w:rFonts w:ascii="Arial" w:cs="Arial" w:eastAsia="Arial" w:hAnsi="Arial"/>
          <w:sz w:val="12"/>
          <w:szCs w:val="12"/>
          <w:color w:val="auto"/>
        </w:rPr>
      </w:pPr>
    </w:p>
    <w:p>
      <w:pPr>
        <w:ind w:left="920" w:hanging="448"/>
        <w:spacing w:after="0"/>
        <w:tabs>
          <w:tab w:leader="none" w:pos="92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351" w:lineRule="exact"/>
        <w:rPr>
          <w:rFonts w:ascii="Arial" w:cs="Arial" w:eastAsia="Arial" w:hAnsi="Arial"/>
          <w:sz w:val="13"/>
          <w:szCs w:val="13"/>
          <w:color w:val="auto"/>
        </w:rPr>
      </w:pPr>
    </w:p>
    <w:p>
      <w:pPr>
        <w:ind w:left="920" w:hanging="448"/>
        <w:spacing w:after="0"/>
        <w:tabs>
          <w:tab w:leader="none" w:pos="920" w:val="left"/>
        </w:tabs>
        <w:numPr>
          <w:ilvl w:val="1"/>
          <w:numId w:val="5"/>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0" w:lineRule="exact"/>
        <w:rPr>
          <w:rFonts w:ascii="Arial" w:cs="Arial" w:eastAsia="Arial" w:hAnsi="Arial"/>
          <w:sz w:val="13"/>
          <w:szCs w:val="13"/>
          <w:color w:val="auto"/>
        </w:rPr>
      </w:pPr>
    </w:p>
    <w:p>
      <w:pPr>
        <w:spacing w:after="0" w:line="356" w:lineRule="exact"/>
        <w:rPr>
          <w:rFonts w:ascii="Arial" w:cs="Arial" w:eastAsia="Arial" w:hAnsi="Arial"/>
          <w:sz w:val="13"/>
          <w:szCs w:val="13"/>
          <w:color w:val="auto"/>
        </w:rPr>
      </w:pPr>
    </w:p>
    <w:p>
      <w:pPr>
        <w:ind w:left="480" w:hanging="478"/>
        <w:spacing w:after="0"/>
        <w:tabs>
          <w:tab w:leader="none" w:pos="48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259" w:lineRule="exact"/>
        <w:rPr>
          <w:rFonts w:ascii="MS PGothic" w:cs="MS PGothic" w:eastAsia="MS PGothic" w:hAnsi="MS PGothic"/>
          <w:sz w:val="13"/>
          <w:szCs w:val="13"/>
          <w:color w:val="auto"/>
        </w:rPr>
      </w:pPr>
    </w:p>
    <w:p>
      <w:pPr>
        <w:ind w:left="480" w:right="80" w:hanging="478"/>
        <w:spacing w:after="0" w:line="293" w:lineRule="auto"/>
        <w:tabs>
          <w:tab w:leader="none" w:pos="48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rFonts w:ascii="MS PGothic" w:cs="MS PGothic" w:eastAsia="MS PGothic" w:hAnsi="MS PGothic"/>
          <w:sz w:val="13"/>
          <w:szCs w:val="13"/>
          <w:color w:val="auto"/>
        </w:rPr>
      </w:pPr>
    </w:p>
    <w:p>
      <w:pPr>
        <w:ind w:left="920" w:hanging="448"/>
        <w:spacing w:after="0"/>
        <w:tabs>
          <w:tab w:leader="none" w:pos="920" w:val="left"/>
        </w:tabs>
        <w:numPr>
          <w:ilvl w:val="1"/>
          <w:numId w:val="5"/>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351" w:lineRule="exact"/>
        <w:rPr>
          <w:rFonts w:ascii="Arial" w:cs="Arial" w:eastAsia="Arial" w:hAnsi="Arial"/>
          <w:sz w:val="13"/>
          <w:szCs w:val="13"/>
          <w:color w:val="auto"/>
        </w:rPr>
      </w:pPr>
    </w:p>
    <w:p>
      <w:pPr>
        <w:ind w:left="920" w:hanging="448"/>
        <w:spacing w:after="0"/>
        <w:tabs>
          <w:tab w:leader="none" w:pos="920" w:val="left"/>
        </w:tabs>
        <w:numPr>
          <w:ilvl w:val="1"/>
          <w:numId w:val="5"/>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351" w:lineRule="exact"/>
        <w:rPr>
          <w:rFonts w:ascii="Arial" w:cs="Arial" w:eastAsia="Arial" w:hAnsi="Arial"/>
          <w:sz w:val="13"/>
          <w:szCs w:val="13"/>
          <w:color w:val="auto"/>
        </w:rPr>
      </w:pPr>
    </w:p>
    <w:p>
      <w:pPr>
        <w:ind w:left="920" w:hanging="448"/>
        <w:spacing w:after="0"/>
        <w:tabs>
          <w:tab w:leader="none" w:pos="920" w:val="left"/>
        </w:tabs>
        <w:numPr>
          <w:ilvl w:val="1"/>
          <w:numId w:val="5"/>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351" w:lineRule="exact"/>
        <w:rPr>
          <w:rFonts w:ascii="Arial" w:cs="Arial" w:eastAsia="Arial" w:hAnsi="Arial"/>
          <w:sz w:val="13"/>
          <w:szCs w:val="13"/>
          <w:color w:val="auto"/>
        </w:rPr>
      </w:pPr>
    </w:p>
    <w:p>
      <w:pPr>
        <w:ind w:left="920" w:hanging="448"/>
        <w:spacing w:after="0"/>
        <w:tabs>
          <w:tab w:leader="none" w:pos="920" w:val="left"/>
        </w:tabs>
        <w:numPr>
          <w:ilvl w:val="1"/>
          <w:numId w:val="5"/>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585470</wp:posOffset>
            </wp:positionH>
            <wp:positionV relativeFrom="paragraph">
              <wp:posOffset>-3084195</wp:posOffset>
            </wp:positionV>
            <wp:extent cx="66954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95440" cy="63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-2766060</wp:posOffset>
            </wp:positionV>
            <wp:extent cx="66954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5440" cy="63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-2447925</wp:posOffset>
            </wp:positionV>
            <wp:extent cx="66954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5440" cy="63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-2129790</wp:posOffset>
            </wp:positionV>
            <wp:extent cx="669544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95440" cy="63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-1837690</wp:posOffset>
            </wp:positionV>
            <wp:extent cx="66954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95440" cy="63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-739775</wp:posOffset>
            </wp:positionV>
            <wp:extent cx="669544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95440" cy="63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-421640</wp:posOffset>
            </wp:positionV>
            <wp:extent cx="669544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95440" cy="63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-103505</wp:posOffset>
            </wp:positionV>
            <wp:extent cx="66954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5440" cy="63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213995</wp:posOffset>
            </wp:positionV>
            <wp:extent cx="66954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54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324485</wp:posOffset>
            </wp:positionV>
            <wp:extent cx="727964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6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350520</wp:posOffset>
            </wp:positionV>
            <wp:extent cx="727964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ectPr>
          <w:pgSz w:w="11900" w:h="16838" w:orient="portrait"/>
          <w:cols w:equalWidth="0" w:num="1">
            <w:col w:w="11200"/>
          </w:cols>
          <w:pgMar w:left="220" w:top="353" w:right="479"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8375" cy="32385"/>
                    </a:xfrm>
                    <a:prstGeom prst="rect">
                      <a:avLst/>
                    </a:prstGeom>
                    <a:noFill/>
                  </pic:spPr>
                </pic:pic>
              </a:graphicData>
            </a:graphic>
          </wp:anchor>
        </w:drawing>
        <w:t>EXPLANATORY NOTE</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following materials supplement the Definitive Proxy Statement filed by The Babcock &amp; Wilcox Company (the “Company”) with the Securities and Exchange Commission on March 20, 2015. Beginning on April 20, 2015, these materials are being provided to certain stockholders of the Company in connection with the solicitation of proxies for the Company’s 2015 Annual Meeting of Stockholders to be held on May 1, 2015.</w:t>
      </w:r>
    </w:p>
    <w:p>
      <w:pPr>
        <w:sectPr>
          <w:pgSz w:w="11900" w:h="16838" w:orient="portrait"/>
          <w:cols w:equalWidth="0" w:num="1">
            <w:col w:w="11300"/>
          </w:cols>
          <w:pgMar w:left="220" w:top="239"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8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8375" cy="4818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419"/>
        <w:spacing w:after="0"/>
        <w:rPr>
          <w:sz w:val="20"/>
          <w:szCs w:val="20"/>
          <w:color w:val="auto"/>
        </w:rPr>
      </w:pPr>
      <w:r>
        <w:rPr>
          <w:rFonts w:ascii="Arial" w:cs="Arial" w:eastAsia="Arial" w:hAnsi="Arial"/>
          <w:sz w:val="52"/>
          <w:szCs w:val="52"/>
          <w:color w:val="FFFFFF"/>
        </w:rPr>
        <w:t>Shareholder Outreach</w:t>
      </w:r>
    </w:p>
    <w:p>
      <w:pPr>
        <w:spacing w:after="0" w:line="28" w:lineRule="exact"/>
        <w:rPr>
          <w:sz w:val="20"/>
          <w:szCs w:val="20"/>
          <w:color w:val="auto"/>
        </w:rPr>
      </w:pPr>
    </w:p>
    <w:p>
      <w:pPr>
        <w:jc w:val="center"/>
        <w:ind w:right="1419"/>
        <w:spacing w:after="0"/>
        <w:rPr>
          <w:sz w:val="20"/>
          <w:szCs w:val="20"/>
          <w:color w:val="auto"/>
        </w:rPr>
      </w:pPr>
      <w:r>
        <w:rPr>
          <w:rFonts w:ascii="Arial" w:cs="Arial" w:eastAsia="Arial" w:hAnsi="Arial"/>
          <w:sz w:val="52"/>
          <w:szCs w:val="52"/>
          <w:color w:val="FFFFFF"/>
        </w:rPr>
        <w:t>2015 Proxy Season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20" w:hanging="177"/>
        <w:spacing w:after="0"/>
        <w:tabs>
          <w:tab w:leader="none" w:pos="3520" w:val="left"/>
        </w:tabs>
        <w:numPr>
          <w:ilvl w:val="0"/>
          <w:numId w:val="6"/>
        </w:numPr>
        <w:rPr>
          <w:rFonts w:ascii="Arial" w:cs="Arial" w:eastAsia="Arial" w:hAnsi="Arial"/>
          <w:sz w:val="16"/>
          <w:szCs w:val="16"/>
          <w:color w:val="0065A4"/>
        </w:rPr>
      </w:pPr>
      <w:r>
        <w:rPr>
          <w:rFonts w:ascii="Arial" w:cs="Arial" w:eastAsia="Arial" w:hAnsi="Arial"/>
          <w:sz w:val="16"/>
          <w:szCs w:val="16"/>
          <w:color w:val="FFFFFF"/>
        </w:rPr>
        <w:t>April 2015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80"/>
        <w:spacing w:after="0"/>
        <w:rPr>
          <w:sz w:val="20"/>
          <w:szCs w:val="20"/>
          <w:color w:val="auto"/>
        </w:rPr>
      </w:pPr>
      <w:r>
        <w:rPr>
          <w:rFonts w:ascii="Arial" w:cs="Arial" w:eastAsia="Arial" w:hAnsi="Arial"/>
          <w:sz w:val="9"/>
          <w:szCs w:val="9"/>
          <w:color w:val="FFFFFF"/>
        </w:rPr>
        <w:t>© 2015 Babcock &amp; Wilcox Company. All Rights Reserved.</w:t>
      </w:r>
    </w:p>
    <w:p>
      <w:pPr>
        <w:sectPr>
          <w:pgSz w:w="11900" w:h="16838" w:orient="portrait"/>
          <w:cols w:equalWidth="0" w:num="1">
            <w:col w:w="9019"/>
          </w:cols>
          <w:pgMar w:left="1440" w:top="1440" w:right="1440" w:bottom="1440" w:gutter="0" w:footer="0" w:header="0"/>
        </w:sectPr>
      </w:pPr>
    </w:p>
    <w:bookmarkStart w:id="3" w:name="page4"/>
    <w:bookmarkEnd w:id="3"/>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8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8375" cy="4818380"/>
                    </a:xfrm>
                    <a:prstGeom prst="rect">
                      <a:avLst/>
                    </a:prstGeom>
                    <a:noFill/>
                  </pic:spPr>
                </pic:pic>
              </a:graphicData>
            </a:graphic>
          </wp:anchor>
        </w:drawing>
      </w:r>
    </w:p>
    <w:p>
      <w:pPr>
        <w:ind w:left="3140"/>
        <w:spacing w:after="0"/>
        <w:rPr>
          <w:sz w:val="20"/>
          <w:szCs w:val="20"/>
          <w:color w:val="auto"/>
        </w:rPr>
      </w:pPr>
      <w:r>
        <w:rPr>
          <w:rFonts w:ascii="Arial" w:cs="Arial" w:eastAsia="Arial" w:hAnsi="Arial"/>
          <w:sz w:val="52"/>
          <w:szCs w:val="52"/>
          <w:color w:val="0065A4"/>
        </w:rPr>
        <w:t>Safe Harbor</w:t>
      </w:r>
    </w:p>
    <w:p>
      <w:pPr>
        <w:spacing w:after="0" w:line="10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color w:val="0065A4"/>
        </w:rPr>
        <w:t>B&amp;W cautions that this presentation contains forward-looking statements within the meaning of the safe harbor provisions of the U.S. Private Securities Litigation Reform Act of 1995 and Section 21E of the Securities Exchange Act of 1934, including, without limitation, statements relating to the manner, timing, tax-free nature and expected benefits associated with separating B&amp;W’s power generation business and its government and nuclear operations business into two independent,publicly traded companies, as well as the anticipated management teams</w:t>
      </w:r>
    </w:p>
    <w:p>
      <w:pPr>
        <w:spacing w:after="0" w:line="3"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color w:val="0065A4"/>
        </w:rPr>
        <w:t>and 2015 revenue projections of the separated companies and their ability to create value for their respective shareholders. These forward-looking statements are based on management’s current expectations and involve a number of risks and uncertainties, including, among other things, the proposed spin-off may not be completed as anticipated or at all, delays or other difficulties in completing the spin-off, including the inability to satisfy the conditions for completing the spin-off, disruptions experienced with customers and suppliers, the inability of either businessto successfullyoperateindependentlyandthe inabilityto retainkey personnelIf. oneor moreof theserisksor otherrisks</w:t>
      </w:r>
    </w:p>
    <w:p>
      <w:pPr>
        <w:spacing w:after="0" w:line="3"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b w:val="1"/>
          <w:bCs w:val="1"/>
          <w:color w:val="0065A4"/>
        </w:rPr>
        <w:t>materialize, actual results may vary materially from those expressed. For a more complete discussion of these and other risk factors, see B&amp;W’s filings with the Securities and Exchange Commission,itsincludingannualreport on Form 10-K for the year ended December 31, 2014</w:t>
      </w:r>
    </w:p>
    <w:p>
      <w:pPr>
        <w:spacing w:after="0" w:line="1" w:lineRule="exact"/>
        <w:rPr>
          <w:sz w:val="20"/>
          <w:szCs w:val="20"/>
          <w:color w:val="auto"/>
        </w:rPr>
      </w:pPr>
    </w:p>
    <w:p>
      <w:pPr>
        <w:jc w:val="both"/>
        <w:ind w:right="60"/>
        <w:spacing w:after="0" w:line="327" w:lineRule="auto"/>
        <w:rPr>
          <w:sz w:val="20"/>
          <w:szCs w:val="20"/>
          <w:color w:val="auto"/>
        </w:rPr>
      </w:pPr>
      <w:r>
        <w:rPr>
          <w:rFonts w:ascii="Arial" w:cs="Arial" w:eastAsia="Arial" w:hAnsi="Arial"/>
          <w:sz w:val="16"/>
          <w:szCs w:val="16"/>
          <w:b w:val="1"/>
          <w:bCs w:val="1"/>
          <w:color w:val="0065A4"/>
        </w:rPr>
        <w:t>and the Form 10 filing of Babcock &amp; Wilcox Enterprises, Inc. B&amp;W cautions not to place undue reliance on these forward-looking statements, which speak only as of the date of this presentation, and undertakes no obligation to update or revise any forward-looking statement, except to the extent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780"/>
        <w:spacing w:after="0"/>
        <w:rPr>
          <w:sz w:val="20"/>
          <w:szCs w:val="20"/>
          <w:color w:val="auto"/>
        </w:rPr>
      </w:pPr>
      <w:r>
        <w:rPr>
          <w:rFonts w:ascii="Arial" w:cs="Arial" w:eastAsia="Arial" w:hAnsi="Arial"/>
          <w:sz w:val="12"/>
          <w:szCs w:val="12"/>
          <w:color w:val="949CA1"/>
        </w:rPr>
        <w:t>2</w:t>
      </w:r>
    </w:p>
    <w:p>
      <w:pPr>
        <w:spacing w:after="0" w:line="200" w:lineRule="exact"/>
        <w:rPr>
          <w:sz w:val="20"/>
          <w:szCs w:val="20"/>
          <w:color w:val="auto"/>
        </w:rPr>
      </w:pPr>
    </w:p>
    <w:p>
      <w:pPr>
        <w:spacing w:after="0" w:line="324" w:lineRule="exact"/>
        <w:rPr>
          <w:sz w:val="20"/>
          <w:szCs w:val="20"/>
          <w:color w:val="auto"/>
        </w:rPr>
      </w:pPr>
    </w:p>
    <w:p>
      <w:pPr>
        <w:ind w:left="332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11060"/>
          </w:cols>
          <w:pgMar w:left="700" w:top="1440" w:right="139" w:bottom="1440" w:gutter="0" w:footer="0" w:header="0"/>
        </w:sectPr>
      </w:pPr>
    </w:p>
    <w:bookmarkStart w:id="4" w:name="page5"/>
    <w:bookmarkEnd w:id="4"/>
    <w:p>
      <w:pPr>
        <w:spacing w:after="0"/>
        <w:rPr>
          <w:sz w:val="20"/>
          <w:szCs w:val="20"/>
          <w:color w:val="auto"/>
        </w:rPr>
      </w:pPr>
      <w:r>
        <w:rPr>
          <w:rFonts w:ascii="Arial" w:cs="Arial" w:eastAsia="Arial" w:hAnsi="Arial"/>
          <w:sz w:val="30"/>
          <w:szCs w:val="30"/>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25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8375" cy="4825365"/>
                    </a:xfrm>
                    <a:prstGeom prst="rect">
                      <a:avLst/>
                    </a:prstGeom>
                    <a:noFill/>
                  </pic:spPr>
                </pic:pic>
              </a:graphicData>
            </a:graphic>
          </wp:anchor>
        </w:drawing>
        <w:t>Executive Summary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hanging="304"/>
        <w:spacing w:after="0"/>
        <w:tabs>
          <w:tab w:leader="none" w:pos="360" w:val="left"/>
        </w:tabs>
        <w:numPr>
          <w:ilvl w:val="0"/>
          <w:numId w:val="7"/>
        </w:numPr>
        <w:rPr>
          <w:rFonts w:ascii="Arial" w:cs="Arial" w:eastAsia="Arial" w:hAnsi="Arial"/>
          <w:sz w:val="25"/>
          <w:szCs w:val="25"/>
          <w:color w:val="0065A4"/>
        </w:rPr>
      </w:pPr>
      <w:r>
        <w:rPr>
          <w:rFonts w:ascii="Arial" w:cs="Arial" w:eastAsia="Arial" w:hAnsi="Arial"/>
          <w:sz w:val="25"/>
          <w:szCs w:val="25"/>
          <w:color w:val="0065A4"/>
        </w:rPr>
        <w:t>B&amp;W: A History of Innovation in Energy Technology and Services</w:t>
      </w:r>
    </w:p>
    <w:p>
      <w:pPr>
        <w:spacing w:after="0" w:line="254" w:lineRule="exact"/>
        <w:rPr>
          <w:rFonts w:ascii="Arial" w:cs="Arial" w:eastAsia="Arial" w:hAnsi="Arial"/>
          <w:sz w:val="25"/>
          <w:szCs w:val="25"/>
          <w:color w:val="0065A4"/>
        </w:rPr>
      </w:pPr>
    </w:p>
    <w:p>
      <w:pPr>
        <w:ind w:left="360" w:hanging="304"/>
        <w:spacing w:after="0"/>
        <w:tabs>
          <w:tab w:leader="none" w:pos="360" w:val="left"/>
        </w:tabs>
        <w:numPr>
          <w:ilvl w:val="0"/>
          <w:numId w:val="7"/>
        </w:numPr>
        <w:rPr>
          <w:rFonts w:ascii="Arial" w:cs="Arial" w:eastAsia="Arial" w:hAnsi="Arial"/>
          <w:sz w:val="25"/>
          <w:szCs w:val="25"/>
          <w:color w:val="0065A4"/>
        </w:rPr>
      </w:pPr>
      <w:r>
        <w:rPr>
          <w:rFonts w:ascii="Arial" w:cs="Arial" w:eastAsia="Arial" w:hAnsi="Arial"/>
          <w:sz w:val="25"/>
          <w:szCs w:val="25"/>
          <w:color w:val="0065A4"/>
        </w:rPr>
        <w:t>Sound Operating Performance and Shareholder Value Creation</w:t>
      </w:r>
    </w:p>
    <w:p>
      <w:pPr>
        <w:spacing w:after="0" w:line="244" w:lineRule="exact"/>
        <w:rPr>
          <w:rFonts w:ascii="Arial" w:cs="Arial" w:eastAsia="Arial" w:hAnsi="Arial"/>
          <w:sz w:val="25"/>
          <w:szCs w:val="25"/>
          <w:color w:val="0065A4"/>
        </w:rPr>
      </w:pPr>
    </w:p>
    <w:p>
      <w:pPr>
        <w:ind w:left="360" w:hanging="304"/>
        <w:spacing w:after="0"/>
        <w:tabs>
          <w:tab w:leader="none" w:pos="360" w:val="left"/>
        </w:tabs>
        <w:numPr>
          <w:ilvl w:val="0"/>
          <w:numId w:val="7"/>
        </w:numPr>
        <w:rPr>
          <w:rFonts w:ascii="Arial" w:cs="Arial" w:eastAsia="Arial" w:hAnsi="Arial"/>
          <w:sz w:val="25"/>
          <w:szCs w:val="25"/>
          <w:color w:val="0065A4"/>
        </w:rPr>
      </w:pPr>
      <w:r>
        <w:rPr>
          <w:rFonts w:ascii="Arial" w:cs="Arial" w:eastAsia="Arial" w:hAnsi="Arial"/>
          <w:sz w:val="25"/>
          <w:szCs w:val="25"/>
          <w:color w:val="0065A4"/>
        </w:rPr>
        <w:t>2015 Transition: Spin-Off of the Power Generation Business</w:t>
      </w:r>
    </w:p>
    <w:p>
      <w:pPr>
        <w:spacing w:after="0" w:line="254" w:lineRule="exact"/>
        <w:rPr>
          <w:rFonts w:ascii="Arial" w:cs="Arial" w:eastAsia="Arial" w:hAnsi="Arial"/>
          <w:sz w:val="25"/>
          <w:szCs w:val="25"/>
          <w:color w:val="0065A4"/>
        </w:rPr>
      </w:pPr>
    </w:p>
    <w:p>
      <w:pPr>
        <w:ind w:left="360" w:right="1819" w:hanging="304"/>
        <w:spacing w:after="0" w:line="254" w:lineRule="auto"/>
        <w:tabs>
          <w:tab w:leader="none" w:pos="360" w:val="left"/>
        </w:tabs>
        <w:numPr>
          <w:ilvl w:val="0"/>
          <w:numId w:val="7"/>
        </w:numPr>
        <w:rPr>
          <w:rFonts w:ascii="Arial" w:cs="Arial" w:eastAsia="Arial" w:hAnsi="Arial"/>
          <w:sz w:val="25"/>
          <w:szCs w:val="25"/>
          <w:color w:val="0065A4"/>
        </w:rPr>
      </w:pPr>
      <w:r>
        <w:rPr>
          <w:rFonts w:ascii="Arial" w:cs="Arial" w:eastAsia="Arial" w:hAnsi="Arial"/>
          <w:sz w:val="25"/>
          <w:szCs w:val="25"/>
          <w:color w:val="0065A4"/>
        </w:rPr>
        <w:t>Compensation Structure Linking Pay and Performance While Driving Shareholder Value</w:t>
      </w:r>
    </w:p>
    <w:p>
      <w:pPr>
        <w:spacing w:after="0" w:line="219" w:lineRule="exact"/>
        <w:rPr>
          <w:rFonts w:ascii="Arial" w:cs="Arial" w:eastAsia="Arial" w:hAnsi="Arial"/>
          <w:sz w:val="25"/>
          <w:szCs w:val="25"/>
          <w:color w:val="0065A4"/>
        </w:rPr>
      </w:pPr>
    </w:p>
    <w:p>
      <w:pPr>
        <w:ind w:left="360" w:hanging="304"/>
        <w:spacing w:after="0"/>
        <w:tabs>
          <w:tab w:leader="none" w:pos="360" w:val="left"/>
        </w:tabs>
        <w:numPr>
          <w:ilvl w:val="0"/>
          <w:numId w:val="7"/>
        </w:numPr>
        <w:rPr>
          <w:rFonts w:ascii="Arial" w:cs="Arial" w:eastAsia="Arial" w:hAnsi="Arial"/>
          <w:sz w:val="25"/>
          <w:szCs w:val="25"/>
          <w:color w:val="0065A4"/>
        </w:rPr>
      </w:pPr>
      <w:r>
        <w:rPr>
          <w:rFonts w:ascii="Arial" w:cs="Arial" w:eastAsia="Arial" w:hAnsi="Arial"/>
          <w:sz w:val="25"/>
          <w:szCs w:val="25"/>
          <w:color w:val="0065A4"/>
        </w:rPr>
        <w:t>Executive Compensation Governance in Shareholders’ Interests</w:t>
      </w:r>
    </w:p>
    <w:p>
      <w:pPr>
        <w:spacing w:after="0" w:line="254" w:lineRule="exact"/>
        <w:rPr>
          <w:rFonts w:ascii="Arial" w:cs="Arial" w:eastAsia="Arial" w:hAnsi="Arial"/>
          <w:sz w:val="25"/>
          <w:szCs w:val="25"/>
          <w:color w:val="0065A4"/>
        </w:rPr>
      </w:pPr>
    </w:p>
    <w:p>
      <w:pPr>
        <w:ind w:left="360" w:hanging="304"/>
        <w:spacing w:after="0"/>
        <w:tabs>
          <w:tab w:leader="none" w:pos="360" w:val="left"/>
        </w:tabs>
        <w:numPr>
          <w:ilvl w:val="0"/>
          <w:numId w:val="7"/>
        </w:numPr>
        <w:rPr>
          <w:rFonts w:ascii="Arial" w:cs="Arial" w:eastAsia="Arial" w:hAnsi="Arial"/>
          <w:sz w:val="25"/>
          <w:szCs w:val="25"/>
          <w:color w:val="0065A4"/>
        </w:rPr>
      </w:pPr>
      <w:r>
        <w:rPr>
          <w:rFonts w:ascii="Arial" w:cs="Arial" w:eastAsia="Arial" w:hAnsi="Arial"/>
          <w:sz w:val="25"/>
          <w:szCs w:val="25"/>
          <w:color w:val="0065A4"/>
        </w:rPr>
        <w:t>Highly Qualified, Independent Board and Sound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899"/>
        <w:spacing w:after="0"/>
        <w:rPr>
          <w:sz w:val="20"/>
          <w:szCs w:val="20"/>
          <w:color w:val="auto"/>
        </w:rPr>
      </w:pPr>
      <w:r>
        <w:rPr>
          <w:rFonts w:ascii="Arial" w:cs="Arial" w:eastAsia="Arial" w:hAnsi="Arial"/>
          <w:sz w:val="12"/>
          <w:szCs w:val="12"/>
          <w:color w:val="949CA1"/>
        </w:rPr>
        <w:t>3</w:t>
      </w:r>
    </w:p>
    <w:p>
      <w:pPr>
        <w:spacing w:after="0" w:line="200" w:lineRule="exact"/>
        <w:rPr>
          <w:sz w:val="20"/>
          <w:szCs w:val="20"/>
          <w:color w:val="auto"/>
        </w:rPr>
      </w:pPr>
    </w:p>
    <w:p>
      <w:pPr>
        <w:spacing w:after="0" w:line="324" w:lineRule="exact"/>
        <w:rPr>
          <w:sz w:val="20"/>
          <w:szCs w:val="20"/>
          <w:color w:val="auto"/>
        </w:rPr>
      </w:pPr>
    </w:p>
    <w:p>
      <w:pPr>
        <w:ind w:left="320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39"/>
          </w:cols>
          <w:pgMar w:left="820" w:top="1262"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30"/>
          <w:szCs w:val="30"/>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25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8375" cy="4825365"/>
                    </a:xfrm>
                    <a:prstGeom prst="rect">
                      <a:avLst/>
                    </a:prstGeom>
                    <a:noFill/>
                  </pic:spPr>
                </pic:pic>
              </a:graphicData>
            </a:graphic>
          </wp:anchor>
        </w:drawing>
        <w:t>B&amp;W: A History of Innovation in Energy Technology and Services</w:t>
      </w:r>
    </w:p>
    <w:p>
      <w:pPr>
        <w:spacing w:after="0" w:line="370" w:lineRule="exact"/>
        <w:rPr>
          <w:sz w:val="20"/>
          <w:szCs w:val="20"/>
          <w:color w:val="auto"/>
        </w:rPr>
      </w:pPr>
    </w:p>
    <w:p>
      <w:pPr>
        <w:jc w:val="center"/>
        <w:ind w:left="800" w:right="1120"/>
        <w:spacing w:after="0" w:line="284" w:lineRule="auto"/>
        <w:rPr>
          <w:sz w:val="20"/>
          <w:szCs w:val="20"/>
          <w:color w:val="auto"/>
        </w:rPr>
      </w:pPr>
      <w:r>
        <w:rPr>
          <w:rFonts w:ascii="Arial" w:cs="Arial" w:eastAsia="Arial" w:hAnsi="Arial"/>
          <w:sz w:val="17"/>
          <w:szCs w:val="17"/>
          <w:b w:val="1"/>
          <w:bCs w:val="1"/>
          <w:i w:val="1"/>
          <w:iCs w:val="1"/>
          <w:color w:val="FFFFFF"/>
        </w:rPr>
        <w:t>The Babcock &amp; Wilcox Co. is a leader in clean energy technology and services, primarily for the nuclear, fossil and renewable power markets, as well as an advanced technology and mission critical defense contractor</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5298"/>
        </w:rPr>
        <w:t>BWC is a preferred global leader, excelling in the delivery of advanced energy and operational solutions by:</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Delivering innovative technologies and solutions to fulfill the needs of our customers.</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Providing a challenging, rewarding, and safe work environment for our employees.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Generating increasing value for our stakeholders.</w:t>
      </w: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5420" w:type="dxa"/>
            <w:vAlign w:val="bottom"/>
            <w:gridSpan w:val="3"/>
          </w:tcPr>
          <w:p>
            <w:pPr>
              <w:ind w:left="1460"/>
              <w:spacing w:after="0"/>
              <w:rPr>
                <w:sz w:val="20"/>
                <w:szCs w:val="20"/>
                <w:color w:val="auto"/>
              </w:rPr>
            </w:pPr>
            <w:r>
              <w:rPr>
                <w:rFonts w:ascii="Arial" w:cs="Arial" w:eastAsia="Arial" w:hAnsi="Arial"/>
                <w:sz w:val="16"/>
                <w:szCs w:val="16"/>
                <w:b w:val="1"/>
                <w:bCs w:val="1"/>
                <w:color w:val="005298"/>
              </w:rPr>
              <w:t>We Operate Across 5 Segments</w:t>
            </w:r>
          </w:p>
        </w:tc>
        <w:tc>
          <w:tcPr>
            <w:tcW w:w="1340" w:type="dxa"/>
            <w:vAlign w:val="bottom"/>
          </w:tcPr>
          <w:p>
            <w:pPr>
              <w:spacing w:after="0"/>
              <w:rPr>
                <w:sz w:val="18"/>
                <w:szCs w:val="18"/>
                <w:color w:val="auto"/>
              </w:rPr>
            </w:pPr>
          </w:p>
        </w:tc>
      </w:tr>
      <w:tr>
        <w:trPr>
          <w:trHeight w:val="348"/>
        </w:trPr>
        <w:tc>
          <w:tcPr>
            <w:tcW w:w="1700" w:type="dxa"/>
            <w:vAlign w:val="bottom"/>
          </w:tcPr>
          <w:p>
            <w:pPr>
              <w:ind w:left="180"/>
              <w:spacing w:after="0"/>
              <w:rPr>
                <w:sz w:val="20"/>
                <w:szCs w:val="20"/>
                <w:color w:val="auto"/>
              </w:rPr>
            </w:pPr>
            <w:r>
              <w:rPr>
                <w:rFonts w:ascii="Arial" w:cs="Arial" w:eastAsia="Arial" w:hAnsi="Arial"/>
                <w:sz w:val="16"/>
                <w:szCs w:val="16"/>
                <w:b w:val="1"/>
                <w:bCs w:val="1"/>
                <w:color w:val="auto"/>
              </w:rPr>
              <w:t>Power Generation</w:t>
            </w:r>
          </w:p>
        </w:tc>
        <w:tc>
          <w:tcPr>
            <w:tcW w:w="1740" w:type="dxa"/>
            <w:vAlign w:val="bottom"/>
          </w:tcPr>
          <w:p>
            <w:pPr>
              <w:ind w:left="360"/>
              <w:spacing w:after="0"/>
              <w:rPr>
                <w:sz w:val="20"/>
                <w:szCs w:val="20"/>
                <w:color w:val="auto"/>
              </w:rPr>
            </w:pPr>
            <w:r>
              <w:rPr>
                <w:rFonts w:ascii="Arial" w:cs="Arial" w:eastAsia="Arial" w:hAnsi="Arial"/>
                <w:sz w:val="16"/>
                <w:szCs w:val="16"/>
                <w:b w:val="1"/>
                <w:bCs w:val="1"/>
                <w:color w:val="FFFFFF"/>
              </w:rPr>
              <w:t>Nuclear Energy</w:t>
            </w:r>
          </w:p>
        </w:tc>
        <w:tc>
          <w:tcPr>
            <w:tcW w:w="1880" w:type="dxa"/>
            <w:vAlign w:val="bottom"/>
          </w:tcPr>
          <w:p>
            <w:pPr>
              <w:ind w:left="300"/>
              <w:spacing w:after="0"/>
              <w:rPr>
                <w:sz w:val="20"/>
                <w:szCs w:val="20"/>
                <w:color w:val="auto"/>
              </w:rPr>
            </w:pPr>
            <w:r>
              <w:rPr>
                <w:rFonts w:ascii="Arial" w:cs="Arial" w:eastAsia="Arial" w:hAnsi="Arial"/>
                <w:sz w:val="16"/>
                <w:szCs w:val="16"/>
                <w:b w:val="1"/>
                <w:bCs w:val="1"/>
                <w:color w:val="FFFFFF"/>
              </w:rPr>
              <w:t>Nuclear Operations</w:t>
            </w:r>
          </w:p>
        </w:tc>
        <w:tc>
          <w:tcPr>
            <w:tcW w:w="1800" w:type="dxa"/>
            <w:vAlign w:val="bottom"/>
          </w:tcPr>
          <w:p>
            <w:pPr>
              <w:ind w:left="240"/>
              <w:spacing w:after="0"/>
              <w:rPr>
                <w:sz w:val="20"/>
                <w:szCs w:val="20"/>
                <w:color w:val="auto"/>
              </w:rPr>
            </w:pPr>
            <w:r>
              <w:rPr>
                <w:rFonts w:ascii="Arial" w:cs="Arial" w:eastAsia="Arial" w:hAnsi="Arial"/>
                <w:sz w:val="16"/>
                <w:szCs w:val="16"/>
                <w:b w:val="1"/>
                <w:bCs w:val="1"/>
                <w:color w:val="FFFFFF"/>
              </w:rPr>
              <w:t>Technical Services</w:t>
            </w:r>
          </w:p>
        </w:tc>
        <w:tc>
          <w:tcPr>
            <w:tcW w:w="1340" w:type="dxa"/>
            <w:vAlign w:val="bottom"/>
          </w:tcPr>
          <w:p>
            <w:pPr>
              <w:ind w:left="560"/>
              <w:spacing w:after="0"/>
              <w:rPr>
                <w:sz w:val="20"/>
                <w:szCs w:val="20"/>
                <w:color w:val="auto"/>
              </w:rPr>
            </w:pPr>
            <w:r>
              <w:rPr>
                <w:rFonts w:ascii="Arial" w:cs="Arial" w:eastAsia="Arial" w:hAnsi="Arial"/>
                <w:sz w:val="16"/>
                <w:szCs w:val="16"/>
                <w:b w:val="1"/>
                <w:bCs w:val="1"/>
                <w:color w:val="FFFFFF"/>
              </w:rPr>
              <w:t>mPower</w:t>
            </w:r>
          </w:p>
        </w:tc>
      </w:tr>
      <w:tr>
        <w:trPr>
          <w:trHeight w:val="219"/>
        </w:trPr>
        <w:tc>
          <w:tcPr>
            <w:tcW w:w="1700" w:type="dxa"/>
            <w:vAlign w:val="bottom"/>
          </w:tcPr>
          <w:p>
            <w:pPr>
              <w:spacing w:after="0"/>
              <w:rPr>
                <w:sz w:val="20"/>
                <w:szCs w:val="20"/>
                <w:color w:val="auto"/>
              </w:rPr>
            </w:pPr>
            <w:r>
              <w:rPr>
                <w:rFonts w:ascii="Arial" w:cs="Arial" w:eastAsia="Arial" w:hAnsi="Arial"/>
                <w:sz w:val="12"/>
                <w:szCs w:val="12"/>
                <w:color w:val="auto"/>
              </w:rPr>
              <w:t>• Environmental /</w:t>
            </w:r>
          </w:p>
        </w:tc>
        <w:tc>
          <w:tcPr>
            <w:tcW w:w="1740" w:type="dxa"/>
            <w:vAlign w:val="bottom"/>
          </w:tcPr>
          <w:p>
            <w:pPr>
              <w:ind w:left="100"/>
              <w:spacing w:after="0"/>
              <w:rPr>
                <w:sz w:val="20"/>
                <w:szCs w:val="20"/>
                <w:color w:val="auto"/>
              </w:rPr>
            </w:pPr>
            <w:r>
              <w:rPr>
                <w:rFonts w:ascii="Arial" w:cs="Arial" w:eastAsia="Arial" w:hAnsi="Arial"/>
                <w:sz w:val="12"/>
                <w:szCs w:val="12"/>
                <w:color w:val="auto"/>
              </w:rPr>
              <w:t>• Nuclear component</w:t>
            </w:r>
          </w:p>
        </w:tc>
        <w:tc>
          <w:tcPr>
            <w:tcW w:w="1880" w:type="dxa"/>
            <w:vAlign w:val="bottom"/>
          </w:tcPr>
          <w:p>
            <w:pPr>
              <w:ind w:left="160"/>
              <w:spacing w:after="0"/>
              <w:rPr>
                <w:sz w:val="20"/>
                <w:szCs w:val="20"/>
                <w:color w:val="auto"/>
              </w:rPr>
            </w:pPr>
            <w:r>
              <w:rPr>
                <w:rFonts w:ascii="Arial" w:cs="Arial" w:eastAsia="Arial" w:hAnsi="Arial"/>
                <w:sz w:val="12"/>
                <w:szCs w:val="12"/>
                <w:color w:val="auto"/>
              </w:rPr>
              <w:t>• Virginia-Class submarine</w:t>
            </w:r>
          </w:p>
        </w:tc>
        <w:tc>
          <w:tcPr>
            <w:tcW w:w="1800" w:type="dxa"/>
            <w:vAlign w:val="bottom"/>
          </w:tcPr>
          <w:p>
            <w:pPr>
              <w:ind w:left="80"/>
              <w:spacing w:after="0"/>
              <w:rPr>
                <w:sz w:val="20"/>
                <w:szCs w:val="20"/>
                <w:color w:val="auto"/>
              </w:rPr>
            </w:pPr>
            <w:r>
              <w:rPr>
                <w:rFonts w:ascii="Arial" w:cs="Arial" w:eastAsia="Arial" w:hAnsi="Arial"/>
                <w:sz w:val="12"/>
                <w:szCs w:val="12"/>
                <w:color w:val="auto"/>
              </w:rPr>
              <w:t>• Safe nuclear operations</w:t>
            </w:r>
          </w:p>
        </w:tc>
        <w:tc>
          <w:tcPr>
            <w:tcW w:w="1340" w:type="dxa"/>
            <w:vAlign w:val="bottom"/>
          </w:tcPr>
          <w:p>
            <w:pPr>
              <w:ind w:left="80"/>
              <w:spacing w:after="0"/>
              <w:rPr>
                <w:sz w:val="20"/>
                <w:szCs w:val="20"/>
                <w:color w:val="auto"/>
              </w:rPr>
            </w:pPr>
            <w:r>
              <w:rPr>
                <w:rFonts w:ascii="Arial" w:cs="Arial" w:eastAsia="Arial" w:hAnsi="Arial"/>
                <w:sz w:val="12"/>
                <w:szCs w:val="12"/>
                <w:color w:val="auto"/>
                <w:w w:val="99"/>
              </w:rPr>
              <w:t>• Small modular reactor</w:t>
            </w:r>
          </w:p>
        </w:tc>
      </w:tr>
      <w:tr>
        <w:trPr>
          <w:trHeight w:val="133"/>
        </w:trPr>
        <w:tc>
          <w:tcPr>
            <w:tcW w:w="1700" w:type="dxa"/>
            <w:vAlign w:val="bottom"/>
          </w:tcPr>
          <w:p>
            <w:pPr>
              <w:ind w:left="60"/>
              <w:spacing w:after="0" w:line="133" w:lineRule="exact"/>
              <w:rPr>
                <w:sz w:val="20"/>
                <w:szCs w:val="20"/>
                <w:color w:val="auto"/>
              </w:rPr>
            </w:pPr>
            <w:r>
              <w:rPr>
                <w:rFonts w:ascii="Arial" w:cs="Arial" w:eastAsia="Arial" w:hAnsi="Arial"/>
                <w:sz w:val="12"/>
                <w:szCs w:val="12"/>
                <w:color w:val="auto"/>
              </w:rPr>
              <w:t>emissions control</w:t>
            </w:r>
          </w:p>
        </w:tc>
        <w:tc>
          <w:tcPr>
            <w:tcW w:w="1740" w:type="dxa"/>
            <w:vAlign w:val="bottom"/>
          </w:tcPr>
          <w:p>
            <w:pPr>
              <w:ind w:left="160"/>
              <w:spacing w:after="0" w:line="133" w:lineRule="exact"/>
              <w:rPr>
                <w:sz w:val="20"/>
                <w:szCs w:val="20"/>
                <w:color w:val="auto"/>
              </w:rPr>
            </w:pPr>
            <w:r>
              <w:rPr>
                <w:rFonts w:ascii="Arial" w:cs="Arial" w:eastAsia="Arial" w:hAnsi="Arial"/>
                <w:sz w:val="12"/>
                <w:szCs w:val="12"/>
                <w:color w:val="auto"/>
              </w:rPr>
              <w:t>design, manufacture and</w:t>
            </w:r>
          </w:p>
        </w:tc>
        <w:tc>
          <w:tcPr>
            <w:tcW w:w="1880" w:type="dxa"/>
            <w:vAlign w:val="bottom"/>
          </w:tcPr>
          <w:p>
            <w:pPr>
              <w:ind w:left="220"/>
              <w:spacing w:after="0" w:line="133" w:lineRule="exact"/>
              <w:rPr>
                <w:sz w:val="20"/>
                <w:szCs w:val="20"/>
                <w:color w:val="auto"/>
              </w:rPr>
            </w:pPr>
            <w:r>
              <w:rPr>
                <w:rFonts w:ascii="Arial" w:cs="Arial" w:eastAsia="Arial" w:hAnsi="Arial"/>
                <w:sz w:val="12"/>
                <w:szCs w:val="12"/>
                <w:color w:val="auto"/>
              </w:rPr>
              <w:t>program</w:t>
            </w:r>
          </w:p>
        </w:tc>
        <w:tc>
          <w:tcPr>
            <w:tcW w:w="1800" w:type="dxa"/>
            <w:vAlign w:val="bottom"/>
          </w:tcPr>
          <w:p>
            <w:pPr>
              <w:ind w:left="140"/>
              <w:spacing w:after="0" w:line="133" w:lineRule="exact"/>
              <w:rPr>
                <w:sz w:val="20"/>
                <w:szCs w:val="20"/>
                <w:color w:val="auto"/>
              </w:rPr>
            </w:pPr>
            <w:r>
              <w:rPr>
                <w:rFonts w:ascii="Arial" w:cs="Arial" w:eastAsia="Arial" w:hAnsi="Arial"/>
                <w:sz w:val="12"/>
                <w:szCs w:val="12"/>
                <w:color w:val="auto"/>
              </w:rPr>
              <w:t>management</w:t>
            </w:r>
          </w:p>
        </w:tc>
        <w:tc>
          <w:tcPr>
            <w:tcW w:w="1340" w:type="dxa"/>
            <w:vAlign w:val="bottom"/>
          </w:tcPr>
          <w:p>
            <w:pPr>
              <w:ind w:left="140"/>
              <w:spacing w:after="0" w:line="133" w:lineRule="exact"/>
              <w:rPr>
                <w:sz w:val="20"/>
                <w:szCs w:val="20"/>
                <w:color w:val="auto"/>
              </w:rPr>
            </w:pPr>
            <w:r>
              <w:rPr>
                <w:rFonts w:ascii="Arial" w:cs="Arial" w:eastAsia="Arial" w:hAnsi="Arial"/>
                <w:sz w:val="12"/>
                <w:szCs w:val="12"/>
                <w:color w:val="auto"/>
              </w:rPr>
              <w:t>(SMR) design</w:t>
            </w:r>
          </w:p>
        </w:tc>
      </w:tr>
      <w:tr>
        <w:trPr>
          <w:trHeight w:val="143"/>
        </w:trPr>
        <w:tc>
          <w:tcPr>
            <w:tcW w:w="1700" w:type="dxa"/>
            <w:vAlign w:val="bottom"/>
          </w:tcPr>
          <w:p>
            <w:pPr>
              <w:ind w:left="60"/>
              <w:spacing w:after="0"/>
              <w:rPr>
                <w:sz w:val="20"/>
                <w:szCs w:val="20"/>
                <w:color w:val="auto"/>
              </w:rPr>
            </w:pPr>
            <w:r>
              <w:rPr>
                <w:rFonts w:ascii="Arial" w:cs="Arial" w:eastAsia="Arial" w:hAnsi="Arial"/>
                <w:sz w:val="12"/>
                <w:szCs w:val="12"/>
                <w:color w:val="auto"/>
              </w:rPr>
              <w:t>systems</w:t>
            </w:r>
          </w:p>
        </w:tc>
        <w:tc>
          <w:tcPr>
            <w:tcW w:w="1740" w:type="dxa"/>
            <w:vAlign w:val="bottom"/>
          </w:tcPr>
          <w:p>
            <w:pPr>
              <w:ind w:left="160"/>
              <w:spacing w:after="0"/>
              <w:rPr>
                <w:sz w:val="20"/>
                <w:szCs w:val="20"/>
                <w:color w:val="auto"/>
              </w:rPr>
            </w:pPr>
            <w:r>
              <w:rPr>
                <w:rFonts w:ascii="Arial" w:cs="Arial" w:eastAsia="Arial" w:hAnsi="Arial"/>
                <w:sz w:val="12"/>
                <w:szCs w:val="12"/>
                <w:color w:val="auto"/>
              </w:rPr>
              <w:t>installation</w:t>
            </w:r>
          </w:p>
        </w:tc>
        <w:tc>
          <w:tcPr>
            <w:tcW w:w="1880" w:type="dxa"/>
            <w:vAlign w:val="bottom"/>
          </w:tcPr>
          <w:p>
            <w:pPr>
              <w:ind w:left="160"/>
              <w:spacing w:after="0"/>
              <w:rPr>
                <w:sz w:val="20"/>
                <w:szCs w:val="20"/>
                <w:color w:val="auto"/>
              </w:rPr>
            </w:pPr>
            <w:r>
              <w:rPr>
                <w:rFonts w:ascii="Arial" w:cs="Arial" w:eastAsia="Arial" w:hAnsi="Arial"/>
                <w:sz w:val="12"/>
                <w:szCs w:val="12"/>
                <w:color w:val="auto"/>
              </w:rPr>
              <w:t>• Ford-Class carrier</w:t>
            </w:r>
          </w:p>
        </w:tc>
        <w:tc>
          <w:tcPr>
            <w:tcW w:w="1800" w:type="dxa"/>
            <w:vAlign w:val="bottom"/>
          </w:tcPr>
          <w:p>
            <w:pPr>
              <w:ind w:left="80"/>
              <w:spacing w:after="0"/>
              <w:rPr>
                <w:sz w:val="20"/>
                <w:szCs w:val="20"/>
                <w:color w:val="auto"/>
              </w:rPr>
            </w:pPr>
            <w:r>
              <w:rPr>
                <w:rFonts w:ascii="Arial" w:cs="Arial" w:eastAsia="Arial" w:hAnsi="Arial"/>
                <w:sz w:val="12"/>
                <w:szCs w:val="12"/>
                <w:color w:val="auto"/>
              </w:rPr>
              <w:t>• Secure nuclear material</w:t>
            </w:r>
          </w:p>
        </w:tc>
        <w:tc>
          <w:tcPr>
            <w:tcW w:w="1340" w:type="dxa"/>
            <w:vAlign w:val="bottom"/>
          </w:tcPr>
          <w:p>
            <w:pPr>
              <w:spacing w:after="0"/>
              <w:rPr>
                <w:sz w:val="12"/>
                <w:szCs w:val="12"/>
                <w:color w:val="auto"/>
              </w:rPr>
            </w:pPr>
          </w:p>
        </w:tc>
      </w:tr>
      <w:tr>
        <w:trPr>
          <w:trHeight w:val="133"/>
        </w:trPr>
        <w:tc>
          <w:tcPr>
            <w:tcW w:w="1700" w:type="dxa"/>
            <w:vAlign w:val="bottom"/>
          </w:tcPr>
          <w:p>
            <w:pPr>
              <w:spacing w:after="0" w:line="133" w:lineRule="exact"/>
              <w:rPr>
                <w:sz w:val="20"/>
                <w:szCs w:val="20"/>
                <w:color w:val="auto"/>
              </w:rPr>
            </w:pPr>
            <w:r>
              <w:rPr>
                <w:rFonts w:ascii="Arial" w:cs="Arial" w:eastAsia="Arial" w:hAnsi="Arial"/>
                <w:sz w:val="12"/>
                <w:szCs w:val="12"/>
                <w:color w:val="auto"/>
              </w:rPr>
              <w:t>• Fossil fuel-fired power</w:t>
            </w:r>
          </w:p>
        </w:tc>
        <w:tc>
          <w:tcPr>
            <w:tcW w:w="1740" w:type="dxa"/>
            <w:vAlign w:val="bottom"/>
          </w:tcPr>
          <w:p>
            <w:pPr>
              <w:ind w:left="100"/>
              <w:spacing w:after="0" w:line="133" w:lineRule="exact"/>
              <w:rPr>
                <w:sz w:val="20"/>
                <w:szCs w:val="20"/>
                <w:color w:val="auto"/>
              </w:rPr>
            </w:pPr>
            <w:r>
              <w:rPr>
                <w:rFonts w:ascii="Arial" w:cs="Arial" w:eastAsia="Arial" w:hAnsi="Arial"/>
                <w:sz w:val="12"/>
                <w:szCs w:val="12"/>
                <w:color w:val="auto"/>
              </w:rPr>
              <w:t>• Component inspection,</w:t>
            </w:r>
          </w:p>
        </w:tc>
        <w:tc>
          <w:tcPr>
            <w:tcW w:w="1880" w:type="dxa"/>
            <w:vAlign w:val="bottom"/>
          </w:tcPr>
          <w:p>
            <w:pPr>
              <w:ind w:left="220"/>
              <w:spacing w:after="0" w:line="133" w:lineRule="exact"/>
              <w:rPr>
                <w:sz w:val="20"/>
                <w:szCs w:val="20"/>
                <w:color w:val="auto"/>
              </w:rPr>
            </w:pPr>
            <w:r>
              <w:rPr>
                <w:rFonts w:ascii="Arial" w:cs="Arial" w:eastAsia="Arial" w:hAnsi="Arial"/>
                <w:sz w:val="12"/>
                <w:szCs w:val="12"/>
                <w:color w:val="auto"/>
              </w:rPr>
              <w:t>program</w:t>
            </w:r>
          </w:p>
        </w:tc>
        <w:tc>
          <w:tcPr>
            <w:tcW w:w="1800" w:type="dxa"/>
            <w:vAlign w:val="bottom"/>
          </w:tcPr>
          <w:p>
            <w:pPr>
              <w:ind w:left="140"/>
              <w:spacing w:after="0" w:line="133" w:lineRule="exact"/>
              <w:rPr>
                <w:sz w:val="20"/>
                <w:szCs w:val="20"/>
                <w:color w:val="auto"/>
              </w:rPr>
            </w:pPr>
            <w:r>
              <w:rPr>
                <w:rFonts w:ascii="Arial" w:cs="Arial" w:eastAsia="Arial" w:hAnsi="Arial"/>
                <w:sz w:val="12"/>
                <w:szCs w:val="12"/>
                <w:color w:val="auto"/>
              </w:rPr>
              <w:t>handling, storage and</w:t>
            </w:r>
          </w:p>
        </w:tc>
        <w:tc>
          <w:tcPr>
            <w:tcW w:w="1340" w:type="dxa"/>
            <w:vAlign w:val="bottom"/>
          </w:tcPr>
          <w:p>
            <w:pPr>
              <w:spacing w:after="0"/>
              <w:rPr>
                <w:sz w:val="11"/>
                <w:szCs w:val="11"/>
                <w:color w:val="auto"/>
              </w:rPr>
            </w:pPr>
          </w:p>
        </w:tc>
      </w:tr>
      <w:tr>
        <w:trPr>
          <w:trHeight w:val="143"/>
        </w:trPr>
        <w:tc>
          <w:tcPr>
            <w:tcW w:w="1700" w:type="dxa"/>
            <w:vAlign w:val="bottom"/>
          </w:tcPr>
          <w:p>
            <w:pPr>
              <w:ind w:left="60"/>
              <w:spacing w:after="0"/>
              <w:rPr>
                <w:sz w:val="20"/>
                <w:szCs w:val="20"/>
                <w:color w:val="auto"/>
              </w:rPr>
            </w:pPr>
            <w:r>
              <w:rPr>
                <w:rFonts w:ascii="Arial" w:cs="Arial" w:eastAsia="Arial" w:hAnsi="Arial"/>
                <w:sz w:val="12"/>
                <w:szCs w:val="12"/>
                <w:color w:val="auto"/>
              </w:rPr>
              <w:t>generation</w:t>
            </w:r>
          </w:p>
        </w:tc>
        <w:tc>
          <w:tcPr>
            <w:tcW w:w="1740" w:type="dxa"/>
            <w:vAlign w:val="bottom"/>
          </w:tcPr>
          <w:p>
            <w:pPr>
              <w:ind w:left="160"/>
              <w:spacing w:after="0"/>
              <w:rPr>
                <w:sz w:val="20"/>
                <w:szCs w:val="20"/>
                <w:color w:val="auto"/>
              </w:rPr>
            </w:pPr>
            <w:r>
              <w:rPr>
                <w:rFonts w:ascii="Arial" w:cs="Arial" w:eastAsia="Arial" w:hAnsi="Arial"/>
                <w:sz w:val="12"/>
                <w:szCs w:val="12"/>
                <w:color w:val="auto"/>
              </w:rPr>
              <w:t>maintenance and repair</w:t>
            </w:r>
          </w:p>
        </w:tc>
        <w:tc>
          <w:tcPr>
            <w:tcW w:w="1880" w:type="dxa"/>
            <w:vAlign w:val="bottom"/>
          </w:tcPr>
          <w:p>
            <w:pPr>
              <w:ind w:left="160"/>
              <w:spacing w:after="0"/>
              <w:rPr>
                <w:sz w:val="20"/>
                <w:szCs w:val="20"/>
                <w:color w:val="auto"/>
              </w:rPr>
            </w:pPr>
            <w:r>
              <w:rPr>
                <w:rFonts w:ascii="Arial" w:cs="Arial" w:eastAsia="Arial" w:hAnsi="Arial"/>
                <w:sz w:val="12"/>
                <w:szCs w:val="12"/>
                <w:color w:val="auto"/>
              </w:rPr>
              <w:t>• Refueling</w:t>
            </w:r>
          </w:p>
        </w:tc>
        <w:tc>
          <w:tcPr>
            <w:tcW w:w="1800" w:type="dxa"/>
            <w:vAlign w:val="bottom"/>
          </w:tcPr>
          <w:p>
            <w:pPr>
              <w:ind w:left="140"/>
              <w:spacing w:after="0"/>
              <w:rPr>
                <w:sz w:val="20"/>
                <w:szCs w:val="20"/>
                <w:color w:val="auto"/>
              </w:rPr>
            </w:pPr>
            <w:r>
              <w:rPr>
                <w:rFonts w:ascii="Arial" w:cs="Arial" w:eastAsia="Arial" w:hAnsi="Arial"/>
                <w:sz w:val="12"/>
                <w:szCs w:val="12"/>
                <w:color w:val="auto"/>
              </w:rPr>
              <w:t>waste management</w:t>
            </w:r>
          </w:p>
        </w:tc>
        <w:tc>
          <w:tcPr>
            <w:tcW w:w="1340" w:type="dxa"/>
            <w:vAlign w:val="bottom"/>
          </w:tcPr>
          <w:p>
            <w:pPr>
              <w:spacing w:after="0"/>
              <w:rPr>
                <w:sz w:val="12"/>
                <w:szCs w:val="12"/>
                <w:color w:val="auto"/>
              </w:rPr>
            </w:pPr>
          </w:p>
        </w:tc>
      </w:tr>
      <w:tr>
        <w:trPr>
          <w:trHeight w:val="132"/>
        </w:trPr>
        <w:tc>
          <w:tcPr>
            <w:tcW w:w="1700" w:type="dxa"/>
            <w:vAlign w:val="bottom"/>
          </w:tcPr>
          <w:p>
            <w:pPr>
              <w:spacing w:after="0" w:line="132" w:lineRule="exact"/>
              <w:rPr>
                <w:sz w:val="20"/>
                <w:szCs w:val="20"/>
                <w:color w:val="auto"/>
              </w:rPr>
            </w:pPr>
            <w:r>
              <w:rPr>
                <w:rFonts w:ascii="Arial" w:cs="Arial" w:eastAsia="Arial" w:hAnsi="Arial"/>
                <w:sz w:val="12"/>
                <w:szCs w:val="12"/>
                <w:color w:val="auto"/>
              </w:rPr>
              <w:t>• Service, operation and</w:t>
            </w:r>
          </w:p>
        </w:tc>
        <w:tc>
          <w:tcPr>
            <w:tcW w:w="1740" w:type="dxa"/>
            <w:vAlign w:val="bottom"/>
          </w:tcPr>
          <w:p>
            <w:pPr>
              <w:ind w:left="100"/>
              <w:spacing w:after="0" w:line="132" w:lineRule="exact"/>
              <w:rPr>
                <w:sz w:val="20"/>
                <w:szCs w:val="20"/>
                <w:color w:val="auto"/>
              </w:rPr>
            </w:pPr>
            <w:r>
              <w:rPr>
                <w:rFonts w:ascii="Arial" w:cs="Arial" w:eastAsia="Arial" w:hAnsi="Arial"/>
                <w:sz w:val="12"/>
                <w:szCs w:val="12"/>
                <w:color w:val="auto"/>
              </w:rPr>
              <w:t>• Design services</w:t>
            </w:r>
          </w:p>
        </w:tc>
        <w:tc>
          <w:tcPr>
            <w:tcW w:w="1880" w:type="dxa"/>
            <w:vAlign w:val="bottom"/>
          </w:tcPr>
          <w:p>
            <w:pPr>
              <w:ind w:left="160"/>
              <w:spacing w:after="0" w:line="132" w:lineRule="exact"/>
              <w:rPr>
                <w:sz w:val="20"/>
                <w:szCs w:val="20"/>
                <w:color w:val="auto"/>
              </w:rPr>
            </w:pPr>
            <w:r>
              <w:rPr>
                <w:rFonts w:ascii="Arial" w:cs="Arial" w:eastAsia="Arial" w:hAnsi="Arial"/>
                <w:sz w:val="12"/>
                <w:szCs w:val="12"/>
                <w:color w:val="auto"/>
              </w:rPr>
              <w:t>• Fuel processing and</w:t>
            </w:r>
          </w:p>
        </w:tc>
        <w:tc>
          <w:tcPr>
            <w:tcW w:w="1800" w:type="dxa"/>
            <w:vAlign w:val="bottom"/>
          </w:tcPr>
          <w:p>
            <w:pPr>
              <w:ind w:left="80"/>
              <w:spacing w:after="0" w:line="132" w:lineRule="exact"/>
              <w:rPr>
                <w:sz w:val="20"/>
                <w:szCs w:val="20"/>
                <w:color w:val="auto"/>
              </w:rPr>
            </w:pPr>
            <w:r>
              <w:rPr>
                <w:rFonts w:ascii="Arial" w:cs="Arial" w:eastAsia="Arial" w:hAnsi="Arial"/>
                <w:sz w:val="12"/>
                <w:szCs w:val="12"/>
                <w:color w:val="auto"/>
              </w:rPr>
              <w:t>• Leadership of high-</w:t>
            </w:r>
          </w:p>
        </w:tc>
        <w:tc>
          <w:tcPr>
            <w:tcW w:w="1340" w:type="dxa"/>
            <w:vAlign w:val="bottom"/>
          </w:tcPr>
          <w:p>
            <w:pPr>
              <w:spacing w:after="0"/>
              <w:rPr>
                <w:sz w:val="11"/>
                <w:szCs w:val="11"/>
                <w:color w:val="auto"/>
              </w:rPr>
            </w:pPr>
          </w:p>
        </w:tc>
      </w:tr>
      <w:tr>
        <w:trPr>
          <w:trHeight w:val="133"/>
        </w:trPr>
        <w:tc>
          <w:tcPr>
            <w:tcW w:w="1700" w:type="dxa"/>
            <w:vAlign w:val="bottom"/>
          </w:tcPr>
          <w:p>
            <w:pPr>
              <w:ind w:left="60"/>
              <w:spacing w:after="0" w:line="133" w:lineRule="exact"/>
              <w:rPr>
                <w:sz w:val="20"/>
                <w:szCs w:val="20"/>
                <w:color w:val="auto"/>
              </w:rPr>
            </w:pPr>
            <w:r>
              <w:rPr>
                <w:rFonts w:ascii="Arial" w:cs="Arial" w:eastAsia="Arial" w:hAnsi="Arial"/>
                <w:sz w:val="12"/>
                <w:szCs w:val="12"/>
                <w:color w:val="auto"/>
              </w:rPr>
              <w:t>maintenance</w:t>
            </w:r>
          </w:p>
        </w:tc>
        <w:tc>
          <w:tcPr>
            <w:tcW w:w="1740" w:type="dxa"/>
            <w:vAlign w:val="bottom"/>
          </w:tcPr>
          <w:p>
            <w:pPr>
              <w:ind w:left="100"/>
              <w:spacing w:after="0" w:line="133" w:lineRule="exact"/>
              <w:rPr>
                <w:sz w:val="20"/>
                <w:szCs w:val="20"/>
                <w:color w:val="auto"/>
              </w:rPr>
            </w:pPr>
            <w:r>
              <w:rPr>
                <w:rFonts w:ascii="Arial" w:cs="Arial" w:eastAsia="Arial" w:hAnsi="Arial"/>
                <w:sz w:val="12"/>
                <w:szCs w:val="12"/>
                <w:color w:val="auto"/>
              </w:rPr>
              <w:t>• Specialized tooling</w:t>
            </w:r>
          </w:p>
        </w:tc>
        <w:tc>
          <w:tcPr>
            <w:tcW w:w="1880" w:type="dxa"/>
            <w:vAlign w:val="bottom"/>
          </w:tcPr>
          <w:p>
            <w:pPr>
              <w:ind w:left="220"/>
              <w:spacing w:after="0" w:line="133" w:lineRule="exact"/>
              <w:rPr>
                <w:sz w:val="20"/>
                <w:szCs w:val="20"/>
                <w:color w:val="auto"/>
              </w:rPr>
            </w:pPr>
            <w:r>
              <w:rPr>
                <w:rFonts w:ascii="Arial" w:cs="Arial" w:eastAsia="Arial" w:hAnsi="Arial"/>
                <w:sz w:val="12"/>
                <w:szCs w:val="12"/>
                <w:color w:val="auto"/>
              </w:rPr>
              <w:t>fabrication</w:t>
            </w:r>
          </w:p>
        </w:tc>
        <w:tc>
          <w:tcPr>
            <w:tcW w:w="1800" w:type="dxa"/>
            <w:vAlign w:val="bottom"/>
          </w:tcPr>
          <w:p>
            <w:pPr>
              <w:ind w:left="140"/>
              <w:spacing w:after="0" w:line="133" w:lineRule="exact"/>
              <w:rPr>
                <w:sz w:val="20"/>
                <w:szCs w:val="20"/>
                <w:color w:val="auto"/>
              </w:rPr>
            </w:pPr>
            <w:r>
              <w:rPr>
                <w:rFonts w:ascii="Arial" w:cs="Arial" w:eastAsia="Arial" w:hAnsi="Arial"/>
                <w:sz w:val="12"/>
                <w:szCs w:val="12"/>
                <w:color w:val="auto"/>
              </w:rPr>
              <w:t>consequence, nuclear</w:t>
            </w:r>
          </w:p>
        </w:tc>
        <w:tc>
          <w:tcPr>
            <w:tcW w:w="1340" w:type="dxa"/>
            <w:vAlign w:val="bottom"/>
          </w:tcPr>
          <w:p>
            <w:pPr>
              <w:spacing w:after="0"/>
              <w:rPr>
                <w:sz w:val="11"/>
                <w:szCs w:val="11"/>
                <w:color w:val="auto"/>
              </w:rPr>
            </w:pPr>
          </w:p>
        </w:tc>
      </w:tr>
      <w:tr>
        <w:trPr>
          <w:trHeight w:val="143"/>
        </w:trPr>
        <w:tc>
          <w:tcPr>
            <w:tcW w:w="1700" w:type="dxa"/>
            <w:vAlign w:val="bottom"/>
          </w:tcPr>
          <w:p>
            <w:pPr>
              <w:spacing w:after="0"/>
              <w:rPr>
                <w:sz w:val="20"/>
                <w:szCs w:val="20"/>
                <w:color w:val="auto"/>
              </w:rPr>
            </w:pPr>
            <w:r>
              <w:rPr>
                <w:rFonts w:ascii="Arial" w:cs="Arial" w:eastAsia="Arial" w:hAnsi="Arial"/>
                <w:sz w:val="12"/>
                <w:szCs w:val="12"/>
                <w:color w:val="auto"/>
              </w:rPr>
              <w:t>• Renewable power</w:t>
            </w:r>
          </w:p>
        </w:tc>
        <w:tc>
          <w:tcPr>
            <w:tcW w:w="1740" w:type="dxa"/>
            <w:vAlign w:val="bottom"/>
          </w:tcPr>
          <w:p>
            <w:pPr>
              <w:ind w:left="160"/>
              <w:spacing w:after="0"/>
              <w:rPr>
                <w:sz w:val="20"/>
                <w:szCs w:val="20"/>
                <w:color w:val="auto"/>
              </w:rPr>
            </w:pPr>
            <w:r>
              <w:rPr>
                <w:rFonts w:ascii="Arial" w:cs="Arial" w:eastAsia="Arial" w:hAnsi="Arial"/>
                <w:sz w:val="12"/>
                <w:szCs w:val="12"/>
                <w:color w:val="auto"/>
              </w:rPr>
              <w:t>design</w:t>
            </w:r>
          </w:p>
        </w:tc>
        <w:tc>
          <w:tcPr>
            <w:tcW w:w="1880" w:type="dxa"/>
            <w:vAlign w:val="bottom"/>
          </w:tcPr>
          <w:p>
            <w:pPr>
              <w:ind w:left="160"/>
              <w:spacing w:after="0"/>
              <w:rPr>
                <w:sz w:val="20"/>
                <w:szCs w:val="20"/>
                <w:color w:val="auto"/>
              </w:rPr>
            </w:pPr>
            <w:r>
              <w:rPr>
                <w:rFonts w:ascii="Arial" w:cs="Arial" w:eastAsia="Arial" w:hAnsi="Arial"/>
                <w:sz w:val="12"/>
                <w:szCs w:val="12"/>
                <w:color w:val="auto"/>
              </w:rPr>
              <w:t>• HEU downblending</w:t>
            </w:r>
          </w:p>
        </w:tc>
        <w:tc>
          <w:tcPr>
            <w:tcW w:w="1800" w:type="dxa"/>
            <w:vAlign w:val="bottom"/>
          </w:tcPr>
          <w:p>
            <w:pPr>
              <w:ind w:left="140"/>
              <w:spacing w:after="0"/>
              <w:rPr>
                <w:sz w:val="20"/>
                <w:szCs w:val="20"/>
                <w:color w:val="auto"/>
              </w:rPr>
            </w:pPr>
            <w:r>
              <w:rPr>
                <w:rFonts w:ascii="Arial" w:cs="Arial" w:eastAsia="Arial" w:hAnsi="Arial"/>
                <w:sz w:val="12"/>
                <w:szCs w:val="12"/>
                <w:color w:val="auto"/>
              </w:rPr>
              <w:t>laboratories</w:t>
            </w:r>
          </w:p>
        </w:tc>
        <w:tc>
          <w:tcPr>
            <w:tcW w:w="1340" w:type="dxa"/>
            <w:vAlign w:val="bottom"/>
          </w:tcPr>
          <w:p>
            <w:pPr>
              <w:spacing w:after="0"/>
              <w:rPr>
                <w:sz w:val="12"/>
                <w:szCs w:val="12"/>
                <w:color w:val="auto"/>
              </w:rPr>
            </w:pPr>
          </w:p>
        </w:tc>
      </w:tr>
      <w:tr>
        <w:trPr>
          <w:trHeight w:val="145"/>
        </w:trPr>
        <w:tc>
          <w:tcPr>
            <w:tcW w:w="1700" w:type="dxa"/>
            <w:vAlign w:val="bottom"/>
          </w:tcPr>
          <w:p>
            <w:pPr>
              <w:ind w:left="60"/>
              <w:spacing w:after="0"/>
              <w:rPr>
                <w:sz w:val="20"/>
                <w:szCs w:val="20"/>
                <w:color w:val="auto"/>
              </w:rPr>
            </w:pPr>
            <w:r>
              <w:rPr>
                <w:rFonts w:ascii="Arial" w:cs="Arial" w:eastAsia="Arial" w:hAnsi="Arial"/>
                <w:sz w:val="12"/>
                <w:szCs w:val="12"/>
                <w:color w:val="auto"/>
              </w:rPr>
              <w:t>generation</w:t>
            </w:r>
          </w:p>
        </w:tc>
        <w:tc>
          <w:tcPr>
            <w:tcW w:w="17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40" w:type="dxa"/>
            <w:vAlign w:val="bottom"/>
          </w:tcPr>
          <w:p>
            <w:pPr>
              <w:spacing w:after="0"/>
              <w:rPr>
                <w:sz w:val="12"/>
                <w:szCs w:val="12"/>
                <w:color w:val="auto"/>
              </w:rPr>
            </w:pPr>
          </w:p>
        </w:tc>
      </w:tr>
    </w:tbl>
    <w:p>
      <w:pPr>
        <w:ind w:left="60"/>
        <w:spacing w:after="0" w:line="213" w:lineRule="auto"/>
        <w:rPr>
          <w:sz w:val="20"/>
          <w:szCs w:val="20"/>
          <w:color w:val="auto"/>
        </w:rPr>
      </w:pPr>
      <w:r>
        <w:rPr>
          <w:rFonts w:ascii="Arial" w:cs="Arial" w:eastAsia="Arial" w:hAnsi="Arial"/>
          <w:sz w:val="12"/>
          <w:szCs w:val="12"/>
          <w:color w:val="auto"/>
        </w:rPr>
        <w:t>• Industrial environmental</w:t>
      </w:r>
    </w:p>
    <w:p>
      <w:pPr>
        <w:ind w:left="120"/>
        <w:spacing w:after="0"/>
        <w:rPr>
          <w:sz w:val="20"/>
          <w:szCs w:val="20"/>
          <w:color w:val="auto"/>
        </w:rPr>
      </w:pPr>
      <w:r>
        <w:rPr>
          <w:rFonts w:ascii="Arial" w:cs="Arial" w:eastAsia="Arial" w:hAnsi="Arial"/>
          <w:sz w:val="12"/>
          <w:szCs w:val="12"/>
          <w:color w:val="auto"/>
        </w:rPr>
        <w:t>equipment / solutions</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5298"/>
        </w:rPr>
        <w:t>Being spun-out in 2015</w:t>
      </w:r>
    </w:p>
    <w:p>
      <w:pPr>
        <w:spacing w:after="0" w:line="149" w:lineRule="exact"/>
        <w:rPr>
          <w:sz w:val="20"/>
          <w:szCs w:val="20"/>
          <w:color w:val="auto"/>
        </w:rPr>
      </w:pPr>
    </w:p>
    <w:p>
      <w:pPr>
        <w:jc w:val="right"/>
        <w:ind w:right="899"/>
        <w:spacing w:after="0"/>
        <w:rPr>
          <w:sz w:val="20"/>
          <w:szCs w:val="20"/>
          <w:color w:val="auto"/>
        </w:rPr>
      </w:pPr>
      <w:r>
        <w:rPr>
          <w:rFonts w:ascii="Arial" w:cs="Arial" w:eastAsia="Arial" w:hAnsi="Arial"/>
          <w:sz w:val="12"/>
          <w:szCs w:val="12"/>
          <w:color w:val="949CA1"/>
        </w:rPr>
        <w:t>4</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79"/>
          </w:cols>
          <w:pgMar w:left="780" w:top="1242" w:right="1440" w:bottom="1440" w:gutter="0" w:footer="0" w:header="0"/>
        </w:sectPr>
      </w:pPr>
    </w:p>
    <w:bookmarkStart w:id="6" w:name="page7"/>
    <w:bookmarkEnd w:id="6"/>
    <w:p>
      <w:pPr>
        <w:ind w:right="1499"/>
        <w:spacing w:after="0" w:line="274" w:lineRule="auto"/>
        <w:rPr>
          <w:sz w:val="20"/>
          <w:szCs w:val="20"/>
          <w:color w:val="auto"/>
        </w:rPr>
      </w:pPr>
      <w:r>
        <w:rPr>
          <w:rFonts w:ascii="Arial" w:cs="Arial" w:eastAsia="Arial" w:hAnsi="Arial"/>
          <w:sz w:val="29"/>
          <w:szCs w:val="29"/>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8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8375" cy="4818380"/>
                    </a:xfrm>
                    <a:prstGeom prst="rect">
                      <a:avLst/>
                    </a:prstGeom>
                    <a:noFill/>
                  </pic:spPr>
                </pic:pic>
              </a:graphicData>
            </a:graphic>
          </wp:anchor>
        </w:drawing>
        <w:t>Focus on Improving Operating Performance and Transforming Long-Term Strategy in a Challenging Market Environment</w:t>
      </w:r>
    </w:p>
    <w:p>
      <w:pPr>
        <w:spacing w:after="0" w:line="248" w:lineRule="exact"/>
        <w:rPr>
          <w:sz w:val="20"/>
          <w:szCs w:val="20"/>
          <w:color w:val="auto"/>
        </w:rPr>
      </w:pPr>
    </w:p>
    <w:p>
      <w:pPr>
        <w:ind w:left="2640"/>
        <w:spacing w:after="0"/>
        <w:rPr>
          <w:sz w:val="20"/>
          <w:szCs w:val="20"/>
          <w:color w:val="auto"/>
        </w:rPr>
      </w:pPr>
      <w:r>
        <w:rPr>
          <w:rFonts w:ascii="Arial" w:cs="Arial" w:eastAsia="Arial" w:hAnsi="Arial"/>
          <w:sz w:val="19"/>
          <w:szCs w:val="19"/>
          <w:b w:val="1"/>
          <w:bCs w:val="1"/>
          <w:color w:val="FFFFFF"/>
        </w:rPr>
        <w:t>2014 Business and Financial Highlights</w:t>
      </w:r>
    </w:p>
    <w:p>
      <w:pPr>
        <w:spacing w:after="0" w:line="161" w:lineRule="exact"/>
        <w:rPr>
          <w:sz w:val="20"/>
          <w:szCs w:val="20"/>
          <w:color w:val="auto"/>
        </w:rPr>
      </w:pPr>
    </w:p>
    <w:p>
      <w:pPr>
        <w:ind w:left="320" w:right="999" w:hanging="193"/>
        <w:spacing w:after="0" w:line="248" w:lineRule="auto"/>
        <w:tabs>
          <w:tab w:leader="none" w:pos="320" w:val="left"/>
        </w:tabs>
        <w:numPr>
          <w:ilvl w:val="0"/>
          <w:numId w:val="8"/>
        </w:numPr>
        <w:rPr>
          <w:rFonts w:ascii="Arial" w:cs="Arial" w:eastAsia="Arial" w:hAnsi="Arial"/>
          <w:sz w:val="20"/>
          <w:szCs w:val="20"/>
          <w:color w:val="0065A4"/>
        </w:rPr>
      </w:pPr>
      <w:r>
        <w:rPr>
          <w:rFonts w:ascii="Arial" w:cs="Arial" w:eastAsia="Arial" w:hAnsi="Arial"/>
          <w:sz w:val="16"/>
          <w:szCs w:val="16"/>
          <w:b w:val="1"/>
          <w:bCs w:val="1"/>
          <w:color w:val="0065A4"/>
        </w:rPr>
        <w:t>Nuclear Operations Group segment continued to have strong performance, setting records for revenue and operating income</w:t>
      </w:r>
    </w:p>
    <w:p>
      <w:pPr>
        <w:spacing w:after="0" w:line="8" w:lineRule="exact"/>
        <w:rPr>
          <w:rFonts w:ascii="Arial" w:cs="Arial" w:eastAsia="Arial" w:hAnsi="Arial"/>
          <w:sz w:val="20"/>
          <w:szCs w:val="20"/>
          <w:color w:val="0065A4"/>
        </w:rPr>
      </w:pPr>
    </w:p>
    <w:p>
      <w:pPr>
        <w:ind w:left="320" w:hanging="193"/>
        <w:spacing w:after="0"/>
        <w:tabs>
          <w:tab w:leader="none" w:pos="320" w:val="left"/>
        </w:tabs>
        <w:numPr>
          <w:ilvl w:val="0"/>
          <w:numId w:val="8"/>
        </w:numPr>
        <w:rPr>
          <w:rFonts w:ascii="Arial" w:cs="Arial" w:eastAsia="Arial" w:hAnsi="Arial"/>
          <w:sz w:val="20"/>
          <w:szCs w:val="20"/>
          <w:color w:val="0065A4"/>
        </w:rPr>
      </w:pPr>
      <w:r>
        <w:rPr>
          <w:rFonts w:ascii="Arial" w:cs="Arial" w:eastAsia="Arial" w:hAnsi="Arial"/>
          <w:sz w:val="16"/>
          <w:szCs w:val="16"/>
          <w:b w:val="1"/>
          <w:bCs w:val="1"/>
          <w:color w:val="0065A4"/>
        </w:rPr>
        <w:t>Challenging Commercial Market Environment</w:t>
      </w:r>
    </w:p>
    <w:p>
      <w:pPr>
        <w:spacing w:after="0" w:line="38" w:lineRule="exact"/>
        <w:rPr>
          <w:sz w:val="20"/>
          <w:szCs w:val="20"/>
          <w:color w:val="auto"/>
        </w:rPr>
      </w:pPr>
    </w:p>
    <w:p>
      <w:pPr>
        <w:ind w:left="740"/>
        <w:spacing w:after="0"/>
        <w:rPr>
          <w:sz w:val="20"/>
          <w:szCs w:val="20"/>
          <w:color w:val="auto"/>
        </w:rPr>
      </w:pPr>
      <w:r>
        <w:rPr>
          <w:rFonts w:ascii="Arial" w:cs="Arial" w:eastAsia="Arial" w:hAnsi="Arial"/>
          <w:sz w:val="15"/>
          <w:szCs w:val="15"/>
          <w:color w:val="0065A4"/>
        </w:rPr>
        <w:t>Low natural gas price and increasing regulatory pressure created headwinds for both nuclear and coal units</w:t>
      </w:r>
    </w:p>
    <w:p>
      <w:pPr>
        <w:spacing w:after="0" w:line="309" w:lineRule="exact"/>
        <w:rPr>
          <w:sz w:val="20"/>
          <w:szCs w:val="20"/>
          <w:color w:val="auto"/>
        </w:rPr>
      </w:pPr>
    </w:p>
    <w:p>
      <w:pPr>
        <w:ind w:left="2260"/>
        <w:spacing w:after="0"/>
        <w:rPr>
          <w:sz w:val="20"/>
          <w:szCs w:val="20"/>
          <w:color w:val="auto"/>
        </w:rPr>
      </w:pPr>
      <w:r>
        <w:rPr>
          <w:rFonts w:ascii="Arial" w:cs="Arial" w:eastAsia="Arial" w:hAnsi="Arial"/>
          <w:sz w:val="19"/>
          <w:szCs w:val="19"/>
          <w:b w:val="1"/>
          <w:bCs w:val="1"/>
          <w:color w:val="FFFFFF"/>
        </w:rPr>
        <w:t>Long-Term Strategic Transformation Underway</w:t>
      </w:r>
    </w:p>
    <w:p>
      <w:pPr>
        <w:spacing w:after="0" w:line="147" w:lineRule="exact"/>
        <w:rPr>
          <w:sz w:val="20"/>
          <w:szCs w:val="20"/>
          <w:color w:val="auto"/>
        </w:rPr>
      </w:pPr>
    </w:p>
    <w:p>
      <w:pPr>
        <w:ind w:left="280" w:hanging="183"/>
        <w:spacing w:after="0"/>
        <w:tabs>
          <w:tab w:leader="none" w:pos="280" w:val="left"/>
        </w:tabs>
        <w:numPr>
          <w:ilvl w:val="0"/>
          <w:numId w:val="9"/>
        </w:numPr>
        <w:rPr>
          <w:rFonts w:ascii="Arial" w:cs="Arial" w:eastAsia="Arial" w:hAnsi="Arial"/>
          <w:sz w:val="20"/>
          <w:szCs w:val="20"/>
          <w:color w:val="0065A4"/>
        </w:rPr>
      </w:pPr>
      <w:r>
        <w:rPr>
          <w:rFonts w:ascii="Arial" w:cs="Arial" w:eastAsia="Arial" w:hAnsi="Arial"/>
          <w:sz w:val="16"/>
          <w:szCs w:val="16"/>
          <w:b w:val="1"/>
          <w:bCs w:val="1"/>
          <w:color w:val="0065A4"/>
        </w:rPr>
        <w:t>Restructured mPower (small modular reactor program) to significantly reduce spending</w:t>
      </w:r>
    </w:p>
    <w:p>
      <w:pPr>
        <w:spacing w:after="0" w:line="29" w:lineRule="exact"/>
        <w:rPr>
          <w:rFonts w:ascii="Arial" w:cs="Arial" w:eastAsia="Arial" w:hAnsi="Arial"/>
          <w:sz w:val="20"/>
          <w:szCs w:val="20"/>
          <w:color w:val="0065A4"/>
        </w:rPr>
      </w:pPr>
    </w:p>
    <w:p>
      <w:pPr>
        <w:ind w:left="280" w:right="1419" w:hanging="183"/>
        <w:spacing w:after="0" w:line="248" w:lineRule="auto"/>
        <w:tabs>
          <w:tab w:leader="none" w:pos="280" w:val="left"/>
        </w:tabs>
        <w:numPr>
          <w:ilvl w:val="0"/>
          <w:numId w:val="9"/>
        </w:numPr>
        <w:rPr>
          <w:rFonts w:ascii="Arial" w:cs="Arial" w:eastAsia="Arial" w:hAnsi="Arial"/>
          <w:sz w:val="20"/>
          <w:szCs w:val="20"/>
          <w:color w:val="0065A4"/>
        </w:rPr>
      </w:pPr>
      <w:r>
        <w:rPr>
          <w:rFonts w:ascii="Arial" w:cs="Arial" w:eastAsia="Arial" w:hAnsi="Arial"/>
          <w:sz w:val="16"/>
          <w:szCs w:val="16"/>
          <w:b w:val="1"/>
          <w:bCs w:val="1"/>
          <w:color w:val="0065A4"/>
        </w:rPr>
        <w:t>Global Competitiveness Initiative (GCI) designed to enhance B&amp;W’s core competitiveness by reducing complexity, improving efficiency, and aligning operations and structure with competitive landscape</w:t>
      </w:r>
    </w:p>
    <w:p>
      <w:pPr>
        <w:spacing w:after="0" w:line="20" w:lineRule="exact"/>
        <w:rPr>
          <w:rFonts w:ascii="Arial" w:cs="Arial" w:eastAsia="Arial" w:hAnsi="Arial"/>
          <w:sz w:val="20"/>
          <w:szCs w:val="20"/>
          <w:color w:val="0065A4"/>
        </w:rPr>
      </w:pPr>
    </w:p>
    <w:p>
      <w:pPr>
        <w:ind w:left="720"/>
        <w:spacing w:after="0"/>
        <w:rPr>
          <w:rFonts w:ascii="Arial" w:cs="Arial" w:eastAsia="Arial" w:hAnsi="Arial"/>
          <w:sz w:val="20"/>
          <w:szCs w:val="20"/>
          <w:color w:val="0065A4"/>
        </w:rPr>
      </w:pPr>
      <w:r>
        <w:rPr>
          <w:rFonts w:ascii="Arial" w:cs="Arial" w:eastAsia="Arial" w:hAnsi="Arial"/>
          <w:sz w:val="15"/>
          <w:szCs w:val="15"/>
          <w:color w:val="0065A4"/>
        </w:rPr>
        <w:t>Close to achieving total annual savings of approximately $75 million</w:t>
      </w:r>
    </w:p>
    <w:p>
      <w:pPr>
        <w:spacing w:after="0" w:line="33" w:lineRule="exact"/>
        <w:rPr>
          <w:rFonts w:ascii="Arial" w:cs="Arial" w:eastAsia="Arial" w:hAnsi="Arial"/>
          <w:sz w:val="20"/>
          <w:szCs w:val="20"/>
          <w:color w:val="0065A4"/>
        </w:rPr>
      </w:pPr>
    </w:p>
    <w:p>
      <w:pPr>
        <w:ind w:left="280" w:right="1679" w:hanging="183"/>
        <w:spacing w:after="0" w:line="248" w:lineRule="auto"/>
        <w:tabs>
          <w:tab w:leader="none" w:pos="280" w:val="left"/>
        </w:tabs>
        <w:numPr>
          <w:ilvl w:val="0"/>
          <w:numId w:val="9"/>
        </w:numPr>
        <w:rPr>
          <w:rFonts w:ascii="Arial" w:cs="Arial" w:eastAsia="Arial" w:hAnsi="Arial"/>
          <w:sz w:val="20"/>
          <w:szCs w:val="20"/>
          <w:color w:val="0065A4"/>
        </w:rPr>
      </w:pPr>
      <w:r>
        <w:rPr>
          <w:rFonts w:ascii="Arial" w:cs="Arial" w:eastAsia="Arial" w:hAnsi="Arial"/>
          <w:sz w:val="16"/>
          <w:szCs w:val="16"/>
          <w:b w:val="1"/>
          <w:bCs w:val="1"/>
          <w:color w:val="0065A4"/>
        </w:rPr>
        <w:t>Restructure the Nuclear Energy segment by exiting projects business and reducing headcount and manufacturing footprint</w:t>
      </w:r>
    </w:p>
    <w:p>
      <w:pPr>
        <w:spacing w:after="0" w:line="18" w:lineRule="exact"/>
        <w:rPr>
          <w:rFonts w:ascii="Arial" w:cs="Arial" w:eastAsia="Arial" w:hAnsi="Arial"/>
          <w:sz w:val="20"/>
          <w:szCs w:val="20"/>
          <w:color w:val="0065A4"/>
        </w:rPr>
      </w:pPr>
    </w:p>
    <w:p>
      <w:pPr>
        <w:ind w:left="280" w:hanging="183"/>
        <w:spacing w:after="0"/>
        <w:tabs>
          <w:tab w:leader="none" w:pos="280" w:val="left"/>
        </w:tabs>
        <w:numPr>
          <w:ilvl w:val="0"/>
          <w:numId w:val="9"/>
        </w:numPr>
        <w:rPr>
          <w:rFonts w:ascii="Arial" w:cs="Arial" w:eastAsia="Arial" w:hAnsi="Arial"/>
          <w:sz w:val="20"/>
          <w:szCs w:val="20"/>
          <w:color w:val="0065A4"/>
        </w:rPr>
      </w:pPr>
      <w:r>
        <w:rPr>
          <w:rFonts w:ascii="Arial" w:cs="Arial" w:eastAsia="Arial" w:hAnsi="Arial"/>
          <w:sz w:val="16"/>
          <w:szCs w:val="16"/>
          <w:b w:val="1"/>
          <w:bCs w:val="1"/>
          <w:color w:val="0065A4"/>
        </w:rPr>
        <w:t>Margin improvement program targeting 200 – 300bp improvement in operating margin for PGG</w:t>
      </w:r>
    </w:p>
    <w:p>
      <w:pPr>
        <w:spacing w:after="0" w:line="19" w:lineRule="exact"/>
        <w:rPr>
          <w:rFonts w:ascii="Arial" w:cs="Arial" w:eastAsia="Arial" w:hAnsi="Arial"/>
          <w:sz w:val="20"/>
          <w:szCs w:val="20"/>
          <w:color w:val="0065A4"/>
        </w:rPr>
      </w:pPr>
    </w:p>
    <w:p>
      <w:pPr>
        <w:ind w:left="280" w:right="979" w:hanging="183"/>
        <w:spacing w:after="0" w:line="248" w:lineRule="auto"/>
        <w:tabs>
          <w:tab w:leader="none" w:pos="280" w:val="left"/>
        </w:tabs>
        <w:numPr>
          <w:ilvl w:val="0"/>
          <w:numId w:val="9"/>
        </w:numPr>
        <w:rPr>
          <w:rFonts w:ascii="Arial" w:cs="Arial" w:eastAsia="Arial" w:hAnsi="Arial"/>
          <w:sz w:val="20"/>
          <w:szCs w:val="20"/>
          <w:color w:val="0065A4"/>
        </w:rPr>
      </w:pPr>
      <w:r>
        <w:rPr>
          <w:rFonts w:ascii="Arial" w:cs="Arial" w:eastAsia="Arial" w:hAnsi="Arial"/>
          <w:sz w:val="16"/>
          <w:szCs w:val="16"/>
          <w:b w:val="1"/>
          <w:bCs w:val="1"/>
          <w:color w:val="0065A4"/>
        </w:rPr>
        <w:t>Created a global sales organization to drive international growth of new renewable waste to energy and coal plant sales</w:t>
      </w:r>
    </w:p>
    <w:p>
      <w:pPr>
        <w:spacing w:after="0" w:line="22" w:lineRule="exact"/>
        <w:rPr>
          <w:rFonts w:ascii="Arial" w:cs="Arial" w:eastAsia="Arial" w:hAnsi="Arial"/>
          <w:sz w:val="20"/>
          <w:szCs w:val="20"/>
          <w:color w:val="0065A4"/>
        </w:rPr>
      </w:pPr>
    </w:p>
    <w:p>
      <w:pPr>
        <w:ind w:left="280" w:right="1359" w:hanging="183"/>
        <w:spacing w:after="0" w:line="248" w:lineRule="auto"/>
        <w:tabs>
          <w:tab w:leader="none" w:pos="280" w:val="left"/>
        </w:tabs>
        <w:numPr>
          <w:ilvl w:val="0"/>
          <w:numId w:val="9"/>
        </w:numPr>
        <w:rPr>
          <w:rFonts w:ascii="Arial" w:cs="Arial" w:eastAsia="Arial" w:hAnsi="Arial"/>
          <w:sz w:val="20"/>
          <w:szCs w:val="20"/>
          <w:color w:val="0065A4"/>
        </w:rPr>
      </w:pPr>
      <w:r>
        <w:rPr>
          <w:rFonts w:ascii="Arial" w:cs="Arial" w:eastAsia="Arial" w:hAnsi="Arial"/>
          <w:sz w:val="16"/>
          <w:szCs w:val="16"/>
          <w:b w:val="1"/>
          <w:bCs w:val="1"/>
          <w:color w:val="0065A4"/>
        </w:rPr>
        <w:t>Acquired MEGTEC to create new growth opportunity in an adjacent market for industrial environmental controls</w:t>
      </w:r>
    </w:p>
    <w:p>
      <w:pPr>
        <w:spacing w:after="0" w:line="8" w:lineRule="exact"/>
        <w:rPr>
          <w:rFonts w:ascii="Arial" w:cs="Arial" w:eastAsia="Arial" w:hAnsi="Arial"/>
          <w:sz w:val="20"/>
          <w:szCs w:val="20"/>
          <w:color w:val="0065A4"/>
        </w:rPr>
      </w:pPr>
    </w:p>
    <w:p>
      <w:pPr>
        <w:ind w:left="280" w:hanging="183"/>
        <w:spacing w:after="0"/>
        <w:tabs>
          <w:tab w:leader="none" w:pos="280" w:val="left"/>
        </w:tabs>
        <w:numPr>
          <w:ilvl w:val="0"/>
          <w:numId w:val="9"/>
        </w:numPr>
        <w:rPr>
          <w:rFonts w:ascii="Arial" w:cs="Arial" w:eastAsia="Arial" w:hAnsi="Arial"/>
          <w:sz w:val="20"/>
          <w:szCs w:val="20"/>
          <w:color w:val="0065A4"/>
        </w:rPr>
      </w:pPr>
      <w:r>
        <w:rPr>
          <w:rFonts w:ascii="Arial" w:cs="Arial" w:eastAsia="Arial" w:hAnsi="Arial"/>
          <w:sz w:val="16"/>
          <w:szCs w:val="16"/>
          <w:b w:val="1"/>
          <w:bCs w:val="1"/>
          <w:color w:val="0065A4"/>
        </w:rPr>
        <w:t>Decision to spin-off Power Generation business</w:t>
      </w:r>
    </w:p>
    <w:p>
      <w:pPr>
        <w:spacing w:after="0" w:line="250" w:lineRule="exact"/>
        <w:rPr>
          <w:sz w:val="20"/>
          <w:szCs w:val="20"/>
          <w:color w:val="auto"/>
        </w:rPr>
      </w:pPr>
    </w:p>
    <w:p>
      <w:pPr>
        <w:jc w:val="right"/>
        <w:ind w:right="899"/>
        <w:spacing w:after="0"/>
        <w:rPr>
          <w:sz w:val="20"/>
          <w:szCs w:val="20"/>
          <w:color w:val="auto"/>
        </w:rPr>
      </w:pPr>
      <w:r>
        <w:rPr>
          <w:rFonts w:ascii="Arial" w:cs="Arial" w:eastAsia="Arial" w:hAnsi="Arial"/>
          <w:sz w:val="12"/>
          <w:szCs w:val="12"/>
          <w:color w:val="949CA1"/>
        </w:rPr>
        <w:t>5</w:t>
      </w:r>
    </w:p>
    <w:p>
      <w:pPr>
        <w:spacing w:after="0" w:line="200" w:lineRule="exact"/>
        <w:rPr>
          <w:sz w:val="20"/>
          <w:szCs w:val="20"/>
          <w:color w:val="auto"/>
        </w:rPr>
      </w:pPr>
    </w:p>
    <w:p>
      <w:pPr>
        <w:spacing w:after="0" w:line="324" w:lineRule="exact"/>
        <w:rPr>
          <w:sz w:val="20"/>
          <w:szCs w:val="20"/>
          <w:color w:val="auto"/>
        </w:rPr>
      </w:pPr>
    </w:p>
    <w:p>
      <w:pPr>
        <w:ind w:left="322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59"/>
          </w:cols>
          <w:pgMar w:left="800" w:top="1017" w:right="1440" w:bottom="1440" w:gutter="0" w:footer="0" w:header="0"/>
        </w:sectPr>
      </w:pPr>
    </w:p>
    <w:bookmarkStart w:id="7" w:name="page8"/>
    <w:bookmarkEnd w:id="7"/>
    <w:p>
      <w:pPr>
        <w:spacing w:after="0"/>
        <w:rPr>
          <w:sz w:val="20"/>
          <w:szCs w:val="20"/>
          <w:color w:val="auto"/>
        </w:rPr>
      </w:pPr>
      <w:r>
        <w:rPr>
          <w:rFonts w:ascii="Arial" w:cs="Arial" w:eastAsia="Arial" w:hAnsi="Arial"/>
          <w:sz w:val="30"/>
          <w:szCs w:val="30"/>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25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8375" cy="4825365"/>
                    </a:xfrm>
                    <a:prstGeom prst="rect">
                      <a:avLst/>
                    </a:prstGeom>
                    <a:noFill/>
                  </pic:spPr>
                </pic:pic>
              </a:graphicData>
            </a:graphic>
          </wp:anchor>
        </w:drawing>
        <w:t>Shareholder Value Creation in Challenging Market</w:t>
      </w:r>
    </w:p>
    <w:p>
      <w:pPr>
        <w:spacing w:after="0" w:line="327" w:lineRule="exact"/>
        <w:rPr>
          <w:sz w:val="20"/>
          <w:szCs w:val="20"/>
          <w:color w:val="auto"/>
        </w:rPr>
      </w:pPr>
    </w:p>
    <w:p>
      <w:pPr>
        <w:ind w:left="1820"/>
        <w:spacing w:after="0"/>
        <w:rPr>
          <w:sz w:val="20"/>
          <w:szCs w:val="20"/>
          <w:color w:val="auto"/>
        </w:rPr>
      </w:pPr>
      <w:r>
        <w:rPr>
          <w:rFonts w:ascii="Arial" w:cs="Arial" w:eastAsia="Arial" w:hAnsi="Arial"/>
          <w:sz w:val="19"/>
          <w:szCs w:val="19"/>
          <w:b w:val="1"/>
          <w:bCs w:val="1"/>
          <w:color w:val="FFFFFF"/>
        </w:rPr>
        <w:t>Growth in Backlog Will Catalyze Revenue Growth in 2015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320" w:type="dxa"/>
            <w:vAlign w:val="bottom"/>
          </w:tcPr>
          <w:p>
            <w:pPr>
              <w:spacing w:after="0"/>
              <w:rPr>
                <w:sz w:val="20"/>
                <w:szCs w:val="20"/>
                <w:color w:val="auto"/>
              </w:rPr>
            </w:pPr>
            <w:r>
              <w:rPr>
                <w:rFonts w:ascii="Arial" w:cs="Arial" w:eastAsia="Arial" w:hAnsi="Arial"/>
                <w:sz w:val="11"/>
                <w:szCs w:val="11"/>
                <w:color w:val="auto"/>
              </w:rPr>
              <w:t>($ in thousands)</w:t>
            </w:r>
          </w:p>
        </w:tc>
        <w:tc>
          <w:tcPr>
            <w:tcW w:w="1740" w:type="dxa"/>
            <w:vAlign w:val="bottom"/>
            <w:vMerge w:val="restart"/>
          </w:tcPr>
          <w:p>
            <w:pPr>
              <w:jc w:val="right"/>
              <w:ind w:right="799"/>
              <w:spacing w:after="0"/>
              <w:rPr>
                <w:sz w:val="20"/>
                <w:szCs w:val="20"/>
                <w:color w:val="auto"/>
              </w:rPr>
            </w:pPr>
            <w:r>
              <w:rPr>
                <w:rFonts w:ascii="Arial" w:cs="Arial" w:eastAsia="Arial" w:hAnsi="Arial"/>
                <w:sz w:val="12"/>
                <w:szCs w:val="12"/>
                <w:color w:val="404040"/>
              </w:rPr>
              <w:t>$5,749</w:t>
            </w:r>
          </w:p>
        </w:tc>
        <w:tc>
          <w:tcPr>
            <w:tcW w:w="1780" w:type="dxa"/>
            <w:vAlign w:val="bottom"/>
          </w:tcPr>
          <w:p>
            <w:pPr>
              <w:jc w:val="right"/>
              <w:ind w:right="319"/>
              <w:spacing w:after="0"/>
              <w:rPr>
                <w:sz w:val="20"/>
                <w:szCs w:val="20"/>
                <w:color w:val="auto"/>
              </w:rPr>
            </w:pPr>
            <w:r>
              <w:rPr>
                <w:rFonts w:ascii="Arial" w:cs="Arial" w:eastAsia="Arial" w:hAnsi="Arial"/>
                <w:sz w:val="12"/>
                <w:szCs w:val="12"/>
                <w:color w:val="595959"/>
              </w:rPr>
              <w:t>Revenues</w:t>
            </w:r>
          </w:p>
        </w:tc>
        <w:tc>
          <w:tcPr>
            <w:tcW w:w="2520" w:type="dxa"/>
            <w:vAlign w:val="bottom"/>
          </w:tcPr>
          <w:p>
            <w:pPr>
              <w:jc w:val="right"/>
              <w:ind w:right="1959"/>
              <w:spacing w:after="0"/>
              <w:rPr>
                <w:sz w:val="20"/>
                <w:szCs w:val="20"/>
                <w:color w:val="auto"/>
              </w:rPr>
            </w:pPr>
            <w:r>
              <w:rPr>
                <w:rFonts w:ascii="Arial" w:cs="Arial" w:eastAsia="Arial" w:hAnsi="Arial"/>
                <w:sz w:val="12"/>
                <w:szCs w:val="12"/>
                <w:color w:val="595959"/>
              </w:rPr>
              <w:t>Backlog</w:t>
            </w:r>
          </w:p>
        </w:tc>
        <w:tc>
          <w:tcPr>
            <w:tcW w:w="0" w:type="dxa"/>
            <w:vAlign w:val="bottom"/>
          </w:tcPr>
          <w:p>
            <w:pPr>
              <w:spacing w:after="0"/>
              <w:rPr>
                <w:sz w:val="1"/>
                <w:szCs w:val="1"/>
                <w:color w:val="auto"/>
              </w:rPr>
            </w:pPr>
          </w:p>
        </w:tc>
      </w:tr>
      <w:tr>
        <w:trPr>
          <w:trHeight w:val="82"/>
        </w:trPr>
        <w:tc>
          <w:tcPr>
            <w:tcW w:w="132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2520" w:type="dxa"/>
            <w:vAlign w:val="bottom"/>
            <w:vMerge w:val="restart"/>
          </w:tcPr>
          <w:p>
            <w:pPr>
              <w:jc w:val="right"/>
              <w:spacing w:after="0"/>
              <w:rPr>
                <w:sz w:val="20"/>
                <w:szCs w:val="20"/>
                <w:color w:val="auto"/>
              </w:rPr>
            </w:pPr>
            <w:r>
              <w:rPr>
                <w:rFonts w:ascii="Arial" w:cs="Arial" w:eastAsia="Arial" w:hAnsi="Arial"/>
                <w:sz w:val="12"/>
                <w:szCs w:val="12"/>
                <w:color w:val="404040"/>
              </w:rPr>
              <w:t>$5,292</w:t>
            </w:r>
          </w:p>
        </w:tc>
        <w:tc>
          <w:tcPr>
            <w:tcW w:w="0" w:type="dxa"/>
            <w:vAlign w:val="bottom"/>
          </w:tcPr>
          <w:p>
            <w:pPr>
              <w:spacing w:after="0"/>
              <w:rPr>
                <w:sz w:val="1"/>
                <w:szCs w:val="1"/>
                <w:color w:val="auto"/>
              </w:rPr>
            </w:pPr>
          </w:p>
        </w:tc>
      </w:tr>
      <w:tr>
        <w:trPr>
          <w:trHeight w:val="102"/>
        </w:trPr>
        <w:tc>
          <w:tcPr>
            <w:tcW w:w="13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404040"/>
              </w:rPr>
              <w:t>$4,590</w:t>
            </w: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7"/>
        </w:trPr>
        <w:tc>
          <w:tcPr>
            <w:tcW w:w="1320" w:type="dxa"/>
            <w:vAlign w:val="bottom"/>
          </w:tcPr>
          <w:p>
            <w:pPr>
              <w:spacing w:after="0"/>
              <w:rPr>
                <w:sz w:val="24"/>
                <w:szCs w:val="24"/>
                <w:color w:val="auto"/>
              </w:rPr>
            </w:pPr>
          </w:p>
        </w:tc>
        <w:tc>
          <w:tcPr>
            <w:tcW w:w="1740" w:type="dxa"/>
            <w:vAlign w:val="bottom"/>
          </w:tcPr>
          <w:p>
            <w:pPr>
              <w:jc w:val="right"/>
              <w:ind w:right="799"/>
              <w:spacing w:after="0"/>
              <w:rPr>
                <w:sz w:val="20"/>
                <w:szCs w:val="20"/>
                <w:color w:val="auto"/>
              </w:rPr>
            </w:pPr>
            <w:r>
              <w:rPr>
                <w:rFonts w:ascii="Arial" w:cs="Arial" w:eastAsia="Arial" w:hAnsi="Arial"/>
                <w:sz w:val="12"/>
                <w:szCs w:val="12"/>
                <w:color w:val="404040"/>
              </w:rPr>
              <w:t>$3,291</w:t>
            </w:r>
          </w:p>
        </w:tc>
        <w:tc>
          <w:tcPr>
            <w:tcW w:w="1780" w:type="dxa"/>
            <w:vAlign w:val="bottom"/>
          </w:tcPr>
          <w:p>
            <w:pPr>
              <w:jc w:val="right"/>
              <w:spacing w:after="0"/>
              <w:rPr>
                <w:sz w:val="20"/>
                <w:szCs w:val="20"/>
                <w:color w:val="auto"/>
              </w:rPr>
            </w:pPr>
            <w:r>
              <w:rPr>
                <w:rFonts w:ascii="Arial" w:cs="Arial" w:eastAsia="Arial" w:hAnsi="Arial"/>
                <w:sz w:val="12"/>
                <w:szCs w:val="12"/>
                <w:color w:val="404040"/>
              </w:rPr>
              <w:t>$3,269</w:t>
            </w:r>
          </w:p>
        </w:tc>
        <w:tc>
          <w:tcPr>
            <w:tcW w:w="2520" w:type="dxa"/>
            <w:vAlign w:val="bottom"/>
            <w:vMerge w:val="restart"/>
          </w:tcPr>
          <w:p>
            <w:pPr>
              <w:jc w:val="right"/>
              <w:spacing w:after="0"/>
              <w:rPr>
                <w:sz w:val="20"/>
                <w:szCs w:val="20"/>
                <w:color w:val="auto"/>
              </w:rPr>
            </w:pPr>
            <w:r>
              <w:rPr>
                <w:rFonts w:ascii="Arial" w:cs="Arial" w:eastAsia="Arial" w:hAnsi="Arial"/>
                <w:sz w:val="12"/>
                <w:szCs w:val="12"/>
                <w:color w:val="404040"/>
              </w:rPr>
              <w:t>$2,923</w:t>
            </w:r>
          </w:p>
        </w:tc>
        <w:tc>
          <w:tcPr>
            <w:tcW w:w="0" w:type="dxa"/>
            <w:vAlign w:val="bottom"/>
          </w:tcPr>
          <w:p>
            <w:pPr>
              <w:spacing w:after="0"/>
              <w:rPr>
                <w:sz w:val="1"/>
                <w:szCs w:val="1"/>
                <w:color w:val="auto"/>
              </w:rPr>
            </w:pPr>
          </w:p>
        </w:tc>
      </w:tr>
      <w:tr>
        <w:trPr>
          <w:trHeight w:val="82"/>
        </w:trPr>
        <w:tc>
          <w:tcPr>
            <w:tcW w:w="13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60"/>
        <w:spacing w:after="0"/>
        <w:tabs>
          <w:tab w:leader="none" w:pos="4420" w:val="left"/>
          <w:tab w:leader="none" w:pos="7020" w:val="left"/>
        </w:tabs>
        <w:rPr>
          <w:sz w:val="20"/>
          <w:szCs w:val="20"/>
          <w:color w:val="auto"/>
        </w:rPr>
      </w:pPr>
      <w:r>
        <w:rPr>
          <w:rFonts w:ascii="Arial" w:cs="Arial" w:eastAsia="Arial" w:hAnsi="Arial"/>
          <w:sz w:val="12"/>
          <w:szCs w:val="12"/>
          <w:color w:val="595959"/>
        </w:rPr>
        <w:t>2012</w:t>
      </w:r>
      <w:r>
        <w:rPr>
          <w:sz w:val="20"/>
          <w:szCs w:val="20"/>
          <w:color w:val="auto"/>
        </w:rPr>
        <w:tab/>
      </w:r>
      <w:r>
        <w:rPr>
          <w:rFonts w:ascii="Arial" w:cs="Arial" w:eastAsia="Arial" w:hAnsi="Arial"/>
          <w:sz w:val="12"/>
          <w:szCs w:val="12"/>
          <w:color w:val="595959"/>
        </w:rPr>
        <w:t>2013</w:t>
      </w:r>
      <w:r>
        <w:rPr>
          <w:sz w:val="20"/>
          <w:szCs w:val="20"/>
          <w:color w:val="auto"/>
        </w:rPr>
        <w:tab/>
      </w:r>
      <w:r>
        <w:rPr>
          <w:rFonts w:ascii="Arial" w:cs="Arial" w:eastAsia="Arial" w:hAnsi="Arial"/>
          <w:sz w:val="11"/>
          <w:szCs w:val="11"/>
          <w:color w:val="595959"/>
        </w:rPr>
        <w:t>2014</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FFFFFF"/>
        </w:rPr>
        <w:t>Delivering Value to Shareholders Through Dividends and Share Repurchases</w:t>
      </w:r>
    </w:p>
    <w:p>
      <w:pPr>
        <w:spacing w:after="0" w:line="43"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60" w:type="dxa"/>
            <w:vAlign w:val="bottom"/>
            <w:gridSpan w:val="3"/>
          </w:tcPr>
          <w:p>
            <w:pPr>
              <w:jc w:val="center"/>
              <w:ind w:left="588"/>
              <w:spacing w:after="0"/>
              <w:rPr>
                <w:sz w:val="20"/>
                <w:szCs w:val="20"/>
                <w:color w:val="auto"/>
              </w:rPr>
            </w:pPr>
            <w:r>
              <w:rPr>
                <w:rFonts w:ascii="Arial" w:cs="Arial" w:eastAsia="Arial" w:hAnsi="Arial"/>
                <w:sz w:val="16"/>
                <w:szCs w:val="16"/>
                <w:b w:val="1"/>
                <w:bCs w:val="1"/>
                <w:color w:val="005298"/>
              </w:rPr>
              <w:t>Adj. EPS Attributed</w:t>
            </w:r>
          </w:p>
        </w:tc>
        <w:tc>
          <w:tcPr>
            <w:tcW w:w="0" w:type="dxa"/>
            <w:vAlign w:val="bottom"/>
          </w:tcPr>
          <w:p>
            <w:pPr>
              <w:spacing w:after="0"/>
              <w:rPr>
                <w:sz w:val="1"/>
                <w:szCs w:val="1"/>
                <w:color w:val="auto"/>
              </w:rPr>
            </w:pPr>
          </w:p>
        </w:tc>
      </w:tr>
      <w:tr>
        <w:trPr>
          <w:trHeight w:val="318"/>
        </w:trPr>
        <w:tc>
          <w:tcPr>
            <w:tcW w:w="244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005298"/>
              </w:rPr>
              <w:t>Dividends Per Share</w:t>
            </w:r>
          </w:p>
        </w:tc>
        <w:tc>
          <w:tcPr>
            <w:tcW w:w="3160" w:type="dxa"/>
            <w:vAlign w:val="bottom"/>
            <w:gridSpan w:val="3"/>
          </w:tcPr>
          <w:p>
            <w:pPr>
              <w:ind w:left="620"/>
              <w:spacing w:after="0"/>
              <w:rPr>
                <w:sz w:val="20"/>
                <w:szCs w:val="20"/>
                <w:color w:val="auto"/>
              </w:rPr>
            </w:pPr>
            <w:r>
              <w:rPr>
                <w:rFonts w:ascii="Arial" w:cs="Arial" w:eastAsia="Arial" w:hAnsi="Arial"/>
                <w:sz w:val="16"/>
                <w:szCs w:val="16"/>
                <w:b w:val="1"/>
                <w:bCs w:val="1"/>
                <w:color w:val="005298"/>
              </w:rPr>
              <w:t>Share Repurchases ($M)</w:t>
            </w:r>
          </w:p>
        </w:tc>
        <w:tc>
          <w:tcPr>
            <w:tcW w:w="2460" w:type="dxa"/>
            <w:vAlign w:val="bottom"/>
            <w:gridSpan w:val="3"/>
          </w:tcPr>
          <w:p>
            <w:pPr>
              <w:jc w:val="center"/>
              <w:ind w:left="568"/>
              <w:spacing w:after="0"/>
              <w:rPr>
                <w:sz w:val="20"/>
                <w:szCs w:val="20"/>
                <w:color w:val="auto"/>
              </w:rPr>
            </w:pPr>
            <w:r>
              <w:rPr>
                <w:rFonts w:ascii="Arial" w:cs="Arial" w:eastAsia="Arial" w:hAnsi="Arial"/>
                <w:sz w:val="16"/>
                <w:szCs w:val="16"/>
                <w:b w:val="1"/>
                <w:bCs w:val="1"/>
                <w:color w:val="005298"/>
              </w:rPr>
              <w:t>to B&amp;W, Diluted</w:t>
            </w:r>
            <w:r>
              <w:rPr>
                <w:rFonts w:ascii="Arial" w:cs="Arial" w:eastAsia="Arial" w:hAnsi="Arial"/>
                <w:sz w:val="24"/>
                <w:szCs w:val="24"/>
                <w:b w:val="1"/>
                <w:bCs w:val="1"/>
                <w:color w:val="005298"/>
                <w:vertAlign w:val="superscript"/>
              </w:rPr>
              <w:t>1</w:t>
            </w: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vMerge w:val="restart"/>
          </w:tcPr>
          <w:p>
            <w:pPr>
              <w:jc w:val="right"/>
              <w:ind w:right="559"/>
              <w:spacing w:after="0"/>
              <w:rPr>
                <w:sz w:val="20"/>
                <w:szCs w:val="20"/>
                <w:color w:val="auto"/>
              </w:rPr>
            </w:pPr>
            <w:r>
              <w:rPr>
                <w:rFonts w:ascii="Arial" w:cs="Arial" w:eastAsia="Arial" w:hAnsi="Arial"/>
                <w:sz w:val="12"/>
                <w:szCs w:val="12"/>
                <w:color w:val="404040"/>
              </w:rPr>
              <w:t>$0.40</w:t>
            </w: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vMerge w:val="restart"/>
          </w:tcPr>
          <w:p>
            <w:pPr>
              <w:jc w:val="right"/>
              <w:ind w:right="148"/>
              <w:spacing w:after="0"/>
              <w:rPr>
                <w:sz w:val="20"/>
                <w:szCs w:val="20"/>
                <w:color w:val="auto"/>
              </w:rPr>
            </w:pPr>
            <w:r>
              <w:rPr>
                <w:rFonts w:ascii="Arial" w:cs="Arial" w:eastAsia="Arial" w:hAnsi="Arial"/>
                <w:sz w:val="12"/>
                <w:szCs w:val="12"/>
                <w:color w:val="404040"/>
              </w:rPr>
              <w:t>$2.17</w:t>
            </w:r>
          </w:p>
        </w:tc>
        <w:tc>
          <w:tcPr>
            <w:tcW w:w="780" w:type="dxa"/>
            <w:vAlign w:val="bottom"/>
          </w:tcPr>
          <w:p>
            <w:pPr>
              <w:jc w:val="right"/>
              <w:ind w:right="179"/>
              <w:spacing w:after="0"/>
              <w:rPr>
                <w:sz w:val="20"/>
                <w:szCs w:val="20"/>
                <w:color w:val="auto"/>
              </w:rPr>
            </w:pPr>
            <w:r>
              <w:rPr>
                <w:rFonts w:ascii="Arial" w:cs="Arial" w:eastAsia="Arial" w:hAnsi="Arial"/>
                <w:sz w:val="12"/>
                <w:szCs w:val="12"/>
                <w:color w:val="404040"/>
              </w:rPr>
              <w:t>$2.27</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404040"/>
              </w:rPr>
              <w:t>$2.03</w:t>
            </w:r>
          </w:p>
        </w:tc>
        <w:tc>
          <w:tcPr>
            <w:tcW w:w="0" w:type="dxa"/>
            <w:vAlign w:val="bottom"/>
          </w:tcPr>
          <w:p>
            <w:pPr>
              <w:spacing w:after="0"/>
              <w:rPr>
                <w:sz w:val="1"/>
                <w:szCs w:val="1"/>
                <w:color w:val="auto"/>
              </w:rPr>
            </w:pPr>
          </w:p>
        </w:tc>
      </w:tr>
      <w:tr>
        <w:trPr>
          <w:trHeight w:val="51"/>
        </w:trPr>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vMerge w:val="restart"/>
          </w:tcPr>
          <w:p>
            <w:pPr>
              <w:jc w:val="right"/>
              <w:ind w:right="139"/>
              <w:spacing w:after="0"/>
              <w:rPr>
                <w:sz w:val="20"/>
                <w:szCs w:val="20"/>
                <w:color w:val="auto"/>
              </w:rPr>
            </w:pPr>
            <w:r>
              <w:rPr>
                <w:rFonts w:ascii="Arial" w:cs="Arial" w:eastAsia="Arial" w:hAnsi="Arial"/>
                <w:sz w:val="12"/>
                <w:szCs w:val="12"/>
                <w:color w:val="404040"/>
              </w:rPr>
              <w:t>$157.1</w:t>
            </w:r>
          </w:p>
        </w:tc>
        <w:tc>
          <w:tcPr>
            <w:tcW w:w="12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520" w:type="dxa"/>
            <w:vAlign w:val="bottom"/>
          </w:tcPr>
          <w:p>
            <w:pPr>
              <w:spacing w:after="0"/>
              <w:rPr>
                <w:sz w:val="8"/>
                <w:szCs w:val="8"/>
                <w:color w:val="auto"/>
              </w:rPr>
            </w:pPr>
          </w:p>
        </w:tc>
        <w:tc>
          <w:tcPr>
            <w:tcW w:w="760" w:type="dxa"/>
            <w:vAlign w:val="bottom"/>
            <w:vMerge w:val="restart"/>
          </w:tcPr>
          <w:p>
            <w:pPr>
              <w:jc w:val="right"/>
              <w:ind w:right="159"/>
              <w:spacing w:after="0"/>
              <w:rPr>
                <w:sz w:val="20"/>
                <w:szCs w:val="20"/>
                <w:color w:val="auto"/>
              </w:rPr>
            </w:pPr>
            <w:r>
              <w:rPr>
                <w:rFonts w:ascii="Arial" w:cs="Arial" w:eastAsia="Arial" w:hAnsi="Arial"/>
                <w:sz w:val="12"/>
                <w:szCs w:val="12"/>
                <w:color w:val="404040"/>
              </w:rPr>
              <w:t>$0.34</w:t>
            </w:r>
          </w:p>
        </w:tc>
        <w:tc>
          <w:tcPr>
            <w:tcW w:w="11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vMerge w:val="restart"/>
          </w:tcPr>
          <w:p>
            <w:pPr>
              <w:jc w:val="right"/>
              <w:ind w:right="639"/>
              <w:spacing w:after="0"/>
              <w:rPr>
                <w:sz w:val="20"/>
                <w:szCs w:val="20"/>
                <w:color w:val="auto"/>
              </w:rPr>
            </w:pPr>
            <w:r>
              <w:rPr>
                <w:rFonts w:ascii="Arial" w:cs="Arial" w:eastAsia="Arial" w:hAnsi="Arial"/>
                <w:sz w:val="12"/>
                <w:szCs w:val="12"/>
                <w:color w:val="404040"/>
              </w:rPr>
              <w:t>$149.8</w:t>
            </w: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5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5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20" w:type="dxa"/>
            <w:vAlign w:val="bottom"/>
          </w:tcPr>
          <w:p>
            <w:pPr>
              <w:jc w:val="right"/>
              <w:ind w:right="152"/>
              <w:spacing w:after="0"/>
              <w:rPr>
                <w:sz w:val="20"/>
                <w:szCs w:val="20"/>
                <w:color w:val="auto"/>
              </w:rPr>
            </w:pPr>
            <w:r>
              <w:rPr>
                <w:rFonts w:ascii="Arial" w:cs="Arial" w:eastAsia="Arial" w:hAnsi="Arial"/>
                <w:sz w:val="12"/>
                <w:szCs w:val="12"/>
                <w:color w:val="404040"/>
              </w:rPr>
              <w:t>$96.8</w:t>
            </w:r>
          </w:p>
        </w:tc>
        <w:tc>
          <w:tcPr>
            <w:tcW w:w="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0"/>
        </w:trPr>
        <w:tc>
          <w:tcPr>
            <w:tcW w:w="520" w:type="dxa"/>
            <w:vAlign w:val="bottom"/>
          </w:tcPr>
          <w:p>
            <w:pPr>
              <w:jc w:val="right"/>
              <w:ind w:right="152"/>
              <w:spacing w:after="0"/>
              <w:rPr>
                <w:sz w:val="20"/>
                <w:szCs w:val="20"/>
                <w:color w:val="auto"/>
              </w:rPr>
            </w:pPr>
            <w:r>
              <w:rPr>
                <w:rFonts w:ascii="Arial" w:cs="Arial" w:eastAsia="Arial" w:hAnsi="Arial"/>
                <w:sz w:val="12"/>
                <w:szCs w:val="12"/>
                <w:color w:val="404040"/>
                <w:w w:val="93"/>
              </w:rPr>
              <w:t>$0.08</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520" w:type="dxa"/>
            <w:vAlign w:val="bottom"/>
          </w:tcPr>
          <w:p>
            <w:pPr>
              <w:jc w:val="right"/>
              <w:ind w:right="172"/>
              <w:spacing w:after="0"/>
              <w:rPr>
                <w:sz w:val="20"/>
                <w:szCs w:val="20"/>
                <w:color w:val="auto"/>
              </w:rPr>
            </w:pPr>
            <w:r>
              <w:rPr>
                <w:rFonts w:ascii="Arial" w:cs="Arial" w:eastAsia="Arial" w:hAnsi="Arial"/>
                <w:sz w:val="12"/>
                <w:szCs w:val="12"/>
                <w:color w:val="595959"/>
                <w:w w:val="97"/>
              </w:rPr>
              <w:t>2012</w:t>
            </w:r>
          </w:p>
        </w:tc>
        <w:tc>
          <w:tcPr>
            <w:tcW w:w="760" w:type="dxa"/>
            <w:vAlign w:val="bottom"/>
          </w:tcPr>
          <w:p>
            <w:pPr>
              <w:jc w:val="right"/>
              <w:ind w:right="159"/>
              <w:spacing w:after="0"/>
              <w:rPr>
                <w:sz w:val="20"/>
                <w:szCs w:val="20"/>
                <w:color w:val="auto"/>
              </w:rPr>
            </w:pPr>
            <w:r>
              <w:rPr>
                <w:rFonts w:ascii="Arial" w:cs="Arial" w:eastAsia="Arial" w:hAnsi="Arial"/>
                <w:sz w:val="12"/>
                <w:szCs w:val="12"/>
                <w:color w:val="595959"/>
              </w:rPr>
              <w:t>2013</w:t>
            </w:r>
          </w:p>
        </w:tc>
        <w:tc>
          <w:tcPr>
            <w:tcW w:w="1160" w:type="dxa"/>
            <w:vAlign w:val="bottom"/>
          </w:tcPr>
          <w:p>
            <w:pPr>
              <w:jc w:val="right"/>
              <w:ind w:right="559"/>
              <w:spacing w:after="0"/>
              <w:rPr>
                <w:sz w:val="20"/>
                <w:szCs w:val="20"/>
                <w:color w:val="auto"/>
              </w:rPr>
            </w:pPr>
            <w:r>
              <w:rPr>
                <w:rFonts w:ascii="Arial" w:cs="Arial" w:eastAsia="Arial" w:hAnsi="Arial"/>
                <w:sz w:val="12"/>
                <w:szCs w:val="12"/>
                <w:color w:val="595959"/>
              </w:rPr>
              <w:t>2014</w:t>
            </w:r>
          </w:p>
        </w:tc>
        <w:tc>
          <w:tcPr>
            <w:tcW w:w="1120" w:type="dxa"/>
            <w:vAlign w:val="bottom"/>
          </w:tcPr>
          <w:p>
            <w:pPr>
              <w:jc w:val="right"/>
              <w:ind w:right="132"/>
              <w:spacing w:after="0"/>
              <w:rPr>
                <w:sz w:val="20"/>
                <w:szCs w:val="20"/>
                <w:color w:val="auto"/>
              </w:rPr>
            </w:pPr>
            <w:r>
              <w:rPr>
                <w:rFonts w:ascii="Arial" w:cs="Arial" w:eastAsia="Arial" w:hAnsi="Arial"/>
                <w:sz w:val="12"/>
                <w:szCs w:val="12"/>
                <w:color w:val="595959"/>
              </w:rPr>
              <w:t>2012</w:t>
            </w:r>
          </w:p>
        </w:tc>
        <w:tc>
          <w:tcPr>
            <w:tcW w:w="780" w:type="dxa"/>
            <w:vAlign w:val="bottom"/>
          </w:tcPr>
          <w:p>
            <w:pPr>
              <w:jc w:val="right"/>
              <w:ind w:right="159"/>
              <w:spacing w:after="0"/>
              <w:rPr>
                <w:sz w:val="20"/>
                <w:szCs w:val="20"/>
                <w:color w:val="auto"/>
              </w:rPr>
            </w:pPr>
            <w:r>
              <w:rPr>
                <w:rFonts w:ascii="Arial" w:cs="Arial" w:eastAsia="Arial" w:hAnsi="Arial"/>
                <w:sz w:val="12"/>
                <w:szCs w:val="12"/>
                <w:color w:val="595959"/>
              </w:rPr>
              <w:t>2013</w:t>
            </w:r>
          </w:p>
        </w:tc>
        <w:tc>
          <w:tcPr>
            <w:tcW w:w="1260" w:type="dxa"/>
            <w:vAlign w:val="bottom"/>
          </w:tcPr>
          <w:p>
            <w:pPr>
              <w:jc w:val="right"/>
              <w:ind w:right="659"/>
              <w:spacing w:after="0"/>
              <w:rPr>
                <w:sz w:val="20"/>
                <w:szCs w:val="20"/>
                <w:color w:val="auto"/>
              </w:rPr>
            </w:pPr>
            <w:r>
              <w:rPr>
                <w:rFonts w:ascii="Arial" w:cs="Arial" w:eastAsia="Arial" w:hAnsi="Arial"/>
                <w:sz w:val="12"/>
                <w:szCs w:val="12"/>
                <w:color w:val="595959"/>
              </w:rPr>
              <w:t>2014</w:t>
            </w:r>
          </w:p>
        </w:tc>
        <w:tc>
          <w:tcPr>
            <w:tcW w:w="1140" w:type="dxa"/>
            <w:vAlign w:val="bottom"/>
          </w:tcPr>
          <w:p>
            <w:pPr>
              <w:jc w:val="right"/>
              <w:ind w:right="148"/>
              <w:spacing w:after="0"/>
              <w:rPr>
                <w:sz w:val="20"/>
                <w:szCs w:val="20"/>
                <w:color w:val="auto"/>
              </w:rPr>
            </w:pPr>
            <w:r>
              <w:rPr>
                <w:rFonts w:ascii="Arial" w:cs="Arial" w:eastAsia="Arial" w:hAnsi="Arial"/>
                <w:sz w:val="12"/>
                <w:szCs w:val="12"/>
                <w:color w:val="595959"/>
              </w:rPr>
              <w:t>2012</w:t>
            </w:r>
          </w:p>
        </w:tc>
        <w:tc>
          <w:tcPr>
            <w:tcW w:w="780" w:type="dxa"/>
            <w:vAlign w:val="bottom"/>
          </w:tcPr>
          <w:p>
            <w:pPr>
              <w:jc w:val="right"/>
              <w:ind w:right="179"/>
              <w:spacing w:after="0"/>
              <w:rPr>
                <w:sz w:val="20"/>
                <w:szCs w:val="20"/>
                <w:color w:val="auto"/>
              </w:rPr>
            </w:pPr>
            <w:r>
              <w:rPr>
                <w:rFonts w:ascii="Arial" w:cs="Arial" w:eastAsia="Arial" w:hAnsi="Arial"/>
                <w:sz w:val="12"/>
                <w:szCs w:val="12"/>
                <w:color w:val="595959"/>
              </w:rPr>
              <w:t>2013</w:t>
            </w:r>
          </w:p>
        </w:tc>
        <w:tc>
          <w:tcPr>
            <w:tcW w:w="540" w:type="dxa"/>
            <w:vAlign w:val="bottom"/>
          </w:tcPr>
          <w:p>
            <w:pPr>
              <w:jc w:val="right"/>
              <w:spacing w:after="0"/>
              <w:rPr>
                <w:sz w:val="20"/>
                <w:szCs w:val="20"/>
                <w:color w:val="auto"/>
              </w:rPr>
            </w:pPr>
            <w:r>
              <w:rPr>
                <w:rFonts w:ascii="Arial" w:cs="Arial" w:eastAsia="Arial" w:hAnsi="Arial"/>
                <w:sz w:val="12"/>
                <w:szCs w:val="12"/>
                <w:color w:val="595959"/>
              </w:rPr>
              <w:t>2014</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See appendix for Reconciliation of Non-GAAP EPS</w:t>
      </w:r>
    </w:p>
    <w:p>
      <w:pPr>
        <w:spacing w:after="0" w:line="79" w:lineRule="exact"/>
        <w:rPr>
          <w:sz w:val="20"/>
          <w:szCs w:val="20"/>
          <w:color w:val="auto"/>
        </w:rPr>
      </w:pPr>
    </w:p>
    <w:p>
      <w:pPr>
        <w:jc w:val="right"/>
        <w:ind w:right="899"/>
        <w:spacing w:after="0"/>
        <w:rPr>
          <w:sz w:val="20"/>
          <w:szCs w:val="20"/>
          <w:color w:val="auto"/>
        </w:rPr>
      </w:pPr>
      <w:r>
        <w:rPr>
          <w:rFonts w:ascii="Arial" w:cs="Arial" w:eastAsia="Arial" w:hAnsi="Arial"/>
          <w:sz w:val="12"/>
          <w:szCs w:val="12"/>
          <w:color w:val="949CA1"/>
        </w:rPr>
        <w:t>6</w:t>
      </w:r>
    </w:p>
    <w:p>
      <w:pPr>
        <w:spacing w:after="0" w:line="200" w:lineRule="exact"/>
        <w:rPr>
          <w:sz w:val="20"/>
          <w:szCs w:val="20"/>
          <w:color w:val="auto"/>
        </w:rPr>
      </w:pPr>
    </w:p>
    <w:p>
      <w:pPr>
        <w:spacing w:after="0" w:line="324" w:lineRule="exact"/>
        <w:rPr>
          <w:sz w:val="20"/>
          <w:szCs w:val="20"/>
          <w:color w:val="auto"/>
        </w:rPr>
      </w:pPr>
    </w:p>
    <w:p>
      <w:pPr>
        <w:ind w:left="320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39"/>
          </w:cols>
          <w:pgMar w:left="820" w:top="1262" w:right="1440" w:bottom="1440" w:gutter="0" w:footer="0" w:header="0"/>
        </w:sectPr>
      </w:pPr>
    </w:p>
    <w:bookmarkStart w:id="8" w:name="page9"/>
    <w:bookmarkEnd w:id="8"/>
    <w:p>
      <w:pPr>
        <w:spacing w:after="0"/>
        <w:rPr>
          <w:sz w:val="20"/>
          <w:szCs w:val="20"/>
          <w:color w:val="auto"/>
        </w:rPr>
      </w:pPr>
      <w:r>
        <w:rPr>
          <w:rFonts w:ascii="Arial" w:cs="Arial" w:eastAsia="Arial" w:hAnsi="Arial"/>
          <w:sz w:val="30"/>
          <w:szCs w:val="30"/>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8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8375" cy="4818380"/>
                    </a:xfrm>
                    <a:prstGeom prst="rect">
                      <a:avLst/>
                    </a:prstGeom>
                    <a:noFill/>
                  </pic:spPr>
                </pic:pic>
              </a:graphicData>
            </a:graphic>
          </wp:anchor>
        </w:drawing>
        <w:t>Driving Shareholder Value Through the Spin-Off</w:t>
      </w:r>
    </w:p>
    <w:p>
      <w:pPr>
        <w:spacing w:after="0" w:line="200" w:lineRule="exact"/>
        <w:rPr>
          <w:sz w:val="20"/>
          <w:szCs w:val="20"/>
          <w:color w:val="auto"/>
        </w:rPr>
      </w:pPr>
    </w:p>
    <w:p>
      <w:pPr>
        <w:spacing w:after="0" w:line="282" w:lineRule="exact"/>
        <w:rPr>
          <w:sz w:val="20"/>
          <w:szCs w:val="20"/>
          <w:color w:val="auto"/>
        </w:rPr>
      </w:pPr>
    </w:p>
    <w:p>
      <w:pPr>
        <w:jc w:val="center"/>
        <w:ind w:left="960"/>
        <w:spacing w:after="0" w:line="292" w:lineRule="auto"/>
        <w:rPr>
          <w:sz w:val="20"/>
          <w:szCs w:val="20"/>
          <w:color w:val="auto"/>
        </w:rPr>
      </w:pPr>
      <w:r>
        <w:rPr>
          <w:rFonts w:ascii="Arial" w:cs="Arial" w:eastAsia="Arial" w:hAnsi="Arial"/>
          <w:sz w:val="17"/>
          <w:szCs w:val="17"/>
          <w:b w:val="1"/>
          <w:bCs w:val="1"/>
          <w:i w:val="1"/>
          <w:iCs w:val="1"/>
          <w:color w:val="FFFFFF"/>
        </w:rPr>
        <w:t>Tax-free spin-off of the Company’s Power Generation business to B&amp;W’s shareholders is expected to be completed in mid-2015</w:t>
      </w:r>
    </w:p>
    <w:p>
      <w:pPr>
        <w:sectPr>
          <w:pgSz w:w="11900" w:h="16838" w:orient="portrait"/>
          <w:cols w:equalWidth="0" w:num="1">
            <w:col w:w="9639"/>
          </w:cols>
          <w:pgMar w:left="820" w:top="1242" w:right="1440" w:bottom="1440" w:gutter="0" w:footer="0" w:header="0"/>
        </w:sectPr>
      </w:pPr>
    </w:p>
    <w:p>
      <w:pPr>
        <w:spacing w:after="0" w:line="35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FFFFFF"/>
        </w:rPr>
        <w:t>Plans to Spin-Off Power Generation Business</w:t>
      </w:r>
    </w:p>
    <w:p>
      <w:pPr>
        <w:spacing w:after="0" w:line="213" w:lineRule="exact"/>
        <w:rPr>
          <w:sz w:val="20"/>
          <w:szCs w:val="20"/>
          <w:color w:val="auto"/>
        </w:rPr>
      </w:pPr>
    </w:p>
    <w:p>
      <w:pPr>
        <w:ind w:left="300" w:hanging="193"/>
        <w:spacing w:after="0" w:line="220" w:lineRule="auto"/>
        <w:tabs>
          <w:tab w:leader="none" w:pos="300" w:val="left"/>
        </w:tabs>
        <w:numPr>
          <w:ilvl w:val="0"/>
          <w:numId w:val="11"/>
        </w:numPr>
        <w:rPr>
          <w:rFonts w:ascii="Arial" w:cs="Arial" w:eastAsia="Arial" w:hAnsi="Arial"/>
          <w:sz w:val="19"/>
          <w:szCs w:val="19"/>
          <w:color w:val="0065A4"/>
        </w:rPr>
      </w:pPr>
      <w:r>
        <w:rPr>
          <w:rFonts w:ascii="Arial" w:cs="Arial" w:eastAsia="Arial" w:hAnsi="Arial"/>
          <w:sz w:val="15"/>
          <w:szCs w:val="15"/>
          <w:color w:val="0065A4"/>
        </w:rPr>
        <w:t>In November 2014, B&amp;W announced plans to spin-off the company’s Power Generation business</w:t>
      </w:r>
    </w:p>
    <w:p>
      <w:pPr>
        <w:spacing w:after="0" w:line="78" w:lineRule="exact"/>
        <w:rPr>
          <w:rFonts w:ascii="Arial" w:cs="Arial" w:eastAsia="Arial" w:hAnsi="Arial"/>
          <w:sz w:val="19"/>
          <w:szCs w:val="19"/>
          <w:color w:val="0065A4"/>
        </w:rPr>
      </w:pPr>
    </w:p>
    <w:p>
      <w:pPr>
        <w:ind w:left="300" w:hanging="193"/>
        <w:spacing w:after="0"/>
        <w:tabs>
          <w:tab w:leader="none" w:pos="300" w:val="left"/>
        </w:tabs>
        <w:numPr>
          <w:ilvl w:val="0"/>
          <w:numId w:val="11"/>
        </w:numPr>
        <w:rPr>
          <w:rFonts w:ascii="Arial" w:cs="Arial" w:eastAsia="Arial" w:hAnsi="Arial"/>
          <w:sz w:val="19"/>
          <w:szCs w:val="19"/>
          <w:color w:val="0065A4"/>
        </w:rPr>
      </w:pPr>
      <w:r>
        <w:rPr>
          <w:rFonts w:ascii="Arial" w:cs="Arial" w:eastAsia="Arial" w:hAnsi="Arial"/>
          <w:sz w:val="15"/>
          <w:szCs w:val="15"/>
          <w:color w:val="0065A4"/>
        </w:rPr>
        <w:t>Tax-free spin-off to B&amp;W shareholders</w:t>
      </w:r>
    </w:p>
    <w:p>
      <w:pPr>
        <w:spacing w:after="0" w:line="101" w:lineRule="exact"/>
        <w:rPr>
          <w:rFonts w:ascii="Arial" w:cs="Arial" w:eastAsia="Arial" w:hAnsi="Arial"/>
          <w:sz w:val="19"/>
          <w:szCs w:val="19"/>
          <w:color w:val="0065A4"/>
        </w:rPr>
      </w:pPr>
    </w:p>
    <w:p>
      <w:pPr>
        <w:ind w:left="300" w:right="320" w:hanging="193"/>
        <w:spacing w:after="0" w:line="226" w:lineRule="auto"/>
        <w:tabs>
          <w:tab w:leader="none" w:pos="300" w:val="left"/>
        </w:tabs>
        <w:numPr>
          <w:ilvl w:val="0"/>
          <w:numId w:val="11"/>
        </w:numPr>
        <w:rPr>
          <w:rFonts w:ascii="Arial" w:cs="Arial" w:eastAsia="Arial" w:hAnsi="Arial"/>
          <w:sz w:val="19"/>
          <w:szCs w:val="19"/>
          <w:color w:val="0065A4"/>
        </w:rPr>
      </w:pPr>
      <w:r>
        <w:rPr>
          <w:rFonts w:ascii="Arial" w:cs="Arial" w:eastAsia="Arial" w:hAnsi="Arial"/>
          <w:sz w:val="15"/>
          <w:szCs w:val="15"/>
          <w:color w:val="0065A4"/>
        </w:rPr>
        <w:t>Post-transaction, shareholders will own 100% of two independent, publicly traded companies:</w:t>
      </w:r>
    </w:p>
    <w:p>
      <w:pPr>
        <w:spacing w:after="0" w:line="61" w:lineRule="exact"/>
        <w:rPr>
          <w:rFonts w:ascii="Arial" w:cs="Arial" w:eastAsia="Arial" w:hAnsi="Arial"/>
          <w:sz w:val="19"/>
          <w:szCs w:val="19"/>
          <w:color w:val="0065A4"/>
        </w:rPr>
      </w:pPr>
    </w:p>
    <w:p>
      <w:pPr>
        <w:ind w:left="780" w:right="20" w:hanging="184"/>
        <w:spacing w:after="0" w:line="202" w:lineRule="auto"/>
        <w:rPr>
          <w:rFonts w:ascii="Arial" w:cs="Arial" w:eastAsia="Arial" w:hAnsi="Arial"/>
          <w:sz w:val="19"/>
          <w:szCs w:val="19"/>
          <w:color w:val="0065A4"/>
        </w:rPr>
      </w:pPr>
      <w:r>
        <w:rPr>
          <w:rFonts w:ascii="Arial" w:cs="Arial" w:eastAsia="Arial" w:hAnsi="Arial"/>
          <w:sz w:val="30"/>
          <w:szCs w:val="30"/>
          <w:color w:val="0065A4"/>
          <w:vertAlign w:val="superscript"/>
        </w:rPr>
        <w:t>–</w:t>
      </w:r>
      <w:r>
        <w:rPr>
          <w:rFonts w:ascii="Arial" w:cs="Arial" w:eastAsia="Arial" w:hAnsi="Arial"/>
          <w:sz w:val="15"/>
          <w:szCs w:val="15"/>
          <w:color w:val="0065A4"/>
        </w:rPr>
        <w:t xml:space="preserve"> BWX Technologies, Inc. (“BWXT”concurrent with the spin-off will be renamed from “The Babcock &amp; Wilcox Company”)</w:t>
      </w:r>
    </w:p>
    <w:p>
      <w:pPr>
        <w:spacing w:after="0" w:line="73" w:lineRule="exact"/>
        <w:rPr>
          <w:rFonts w:ascii="Arial" w:cs="Arial" w:eastAsia="Arial" w:hAnsi="Arial"/>
          <w:sz w:val="19"/>
          <w:szCs w:val="19"/>
          <w:color w:val="0065A4"/>
        </w:rPr>
      </w:pPr>
    </w:p>
    <w:p>
      <w:pPr>
        <w:ind w:left="780" w:right="940" w:hanging="184"/>
        <w:spacing w:after="0" w:line="189" w:lineRule="auto"/>
        <w:rPr>
          <w:rFonts w:ascii="Arial" w:cs="Arial" w:eastAsia="Arial" w:hAnsi="Arial"/>
          <w:sz w:val="19"/>
          <w:szCs w:val="19"/>
          <w:color w:val="0065A4"/>
        </w:rPr>
      </w:pPr>
      <w:r>
        <w:rPr>
          <w:rFonts w:ascii="Arial" w:cs="Arial" w:eastAsia="Arial" w:hAnsi="Arial"/>
          <w:sz w:val="30"/>
          <w:szCs w:val="30"/>
          <w:color w:val="0065A4"/>
          <w:vertAlign w:val="superscript"/>
        </w:rPr>
        <w:t>–</w:t>
      </w:r>
      <w:r>
        <w:rPr>
          <w:rFonts w:ascii="Arial" w:cs="Arial" w:eastAsia="Arial" w:hAnsi="Arial"/>
          <w:sz w:val="15"/>
          <w:szCs w:val="15"/>
          <w:color w:val="0065A4"/>
        </w:rPr>
        <w:t xml:space="preserve"> Babcock &amp; Wilcox Enterprises, Inc. (currently Power Generation Group)</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FFFFFF"/>
        </w:rPr>
        <w:t>Strategic Benefits of Spin-Off</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jc w:val="center"/>
              <w:ind w:right="103"/>
              <w:spacing w:after="0"/>
              <w:rPr>
                <w:sz w:val="20"/>
                <w:szCs w:val="20"/>
                <w:color w:val="auto"/>
              </w:rPr>
            </w:pPr>
            <w:r>
              <w:rPr>
                <w:rFonts w:ascii="Arial" w:cs="Arial" w:eastAsia="Arial" w:hAnsi="Arial"/>
                <w:sz w:val="15"/>
                <w:szCs w:val="15"/>
                <w:b w:val="1"/>
                <w:bCs w:val="1"/>
                <w:color w:val="FFFFFF"/>
              </w:rPr>
              <w:t>Efficient</w:t>
            </w:r>
          </w:p>
        </w:tc>
        <w:tc>
          <w:tcPr>
            <w:tcW w:w="3040" w:type="dxa"/>
            <w:vAlign w:val="bottom"/>
          </w:tcPr>
          <w:p>
            <w:pPr>
              <w:ind w:left="160"/>
              <w:spacing w:after="0"/>
              <w:rPr>
                <w:sz w:val="20"/>
                <w:szCs w:val="20"/>
                <w:color w:val="auto"/>
              </w:rPr>
            </w:pPr>
            <w:r>
              <w:rPr>
                <w:rFonts w:ascii="Arial" w:cs="Arial" w:eastAsia="Arial" w:hAnsi="Arial"/>
                <w:sz w:val="15"/>
                <w:szCs w:val="15"/>
                <w:color w:val="0065A4"/>
              </w:rPr>
              <w:t>Flexibility to deploy and execute a focused</w:t>
            </w:r>
          </w:p>
        </w:tc>
      </w:tr>
      <w:tr>
        <w:trPr>
          <w:trHeight w:val="174"/>
        </w:trPr>
        <w:tc>
          <w:tcPr>
            <w:tcW w:w="1180" w:type="dxa"/>
            <w:vAlign w:val="bottom"/>
          </w:tcPr>
          <w:p>
            <w:pPr>
              <w:jc w:val="center"/>
              <w:ind w:right="83"/>
              <w:spacing w:after="0"/>
              <w:rPr>
                <w:sz w:val="20"/>
                <w:szCs w:val="20"/>
                <w:color w:val="auto"/>
              </w:rPr>
            </w:pPr>
            <w:r>
              <w:rPr>
                <w:rFonts w:ascii="Arial" w:cs="Arial" w:eastAsia="Arial" w:hAnsi="Arial"/>
                <w:sz w:val="15"/>
                <w:szCs w:val="15"/>
                <w:b w:val="1"/>
                <w:bCs w:val="1"/>
                <w:color w:val="FFFFFF"/>
                <w:w w:val="99"/>
              </w:rPr>
              <w:t>Capital</w:t>
            </w:r>
          </w:p>
        </w:tc>
        <w:tc>
          <w:tcPr>
            <w:tcW w:w="3040" w:type="dxa"/>
            <w:vAlign w:val="bottom"/>
          </w:tcPr>
          <w:p>
            <w:pPr>
              <w:ind w:left="160"/>
              <w:spacing w:after="0"/>
              <w:rPr>
                <w:sz w:val="20"/>
                <w:szCs w:val="20"/>
                <w:color w:val="auto"/>
              </w:rPr>
            </w:pPr>
            <w:r>
              <w:rPr>
                <w:rFonts w:ascii="Arial" w:cs="Arial" w:eastAsia="Arial" w:hAnsi="Arial"/>
                <w:sz w:val="15"/>
                <w:szCs w:val="15"/>
                <w:color w:val="0065A4"/>
              </w:rPr>
              <w:t>capital structure consistent with the</w:t>
            </w:r>
          </w:p>
        </w:tc>
      </w:tr>
      <w:tr>
        <w:trPr>
          <w:trHeight w:val="213"/>
        </w:trPr>
        <w:tc>
          <w:tcPr>
            <w:tcW w:w="1180" w:type="dxa"/>
            <w:vAlign w:val="bottom"/>
          </w:tcPr>
          <w:p>
            <w:pPr>
              <w:jc w:val="center"/>
              <w:ind w:right="43"/>
              <w:spacing w:after="0"/>
              <w:rPr>
                <w:sz w:val="20"/>
                <w:szCs w:val="20"/>
                <w:color w:val="auto"/>
              </w:rPr>
            </w:pPr>
            <w:r>
              <w:rPr>
                <w:rFonts w:ascii="Arial" w:cs="Arial" w:eastAsia="Arial" w:hAnsi="Arial"/>
                <w:sz w:val="15"/>
                <w:szCs w:val="15"/>
                <w:b w:val="1"/>
                <w:bCs w:val="1"/>
                <w:color w:val="FFFFFF"/>
              </w:rPr>
              <w:t>Allocation</w:t>
            </w:r>
          </w:p>
        </w:tc>
        <w:tc>
          <w:tcPr>
            <w:tcW w:w="3040" w:type="dxa"/>
            <w:vAlign w:val="bottom"/>
          </w:tcPr>
          <w:p>
            <w:pPr>
              <w:ind w:left="160"/>
              <w:spacing w:after="0"/>
              <w:rPr>
                <w:sz w:val="20"/>
                <w:szCs w:val="20"/>
                <w:color w:val="auto"/>
              </w:rPr>
            </w:pPr>
            <w:r>
              <w:rPr>
                <w:rFonts w:ascii="Arial" w:cs="Arial" w:eastAsia="Arial" w:hAnsi="Arial"/>
                <w:sz w:val="15"/>
                <w:szCs w:val="15"/>
                <w:color w:val="0065A4"/>
              </w:rPr>
              <w:t>strategic priorities of each business</w:t>
            </w:r>
          </w:p>
        </w:tc>
      </w:tr>
      <w:tr>
        <w:trPr>
          <w:trHeight w:val="388"/>
        </w:trPr>
        <w:tc>
          <w:tcPr>
            <w:tcW w:w="1180" w:type="dxa"/>
            <w:vAlign w:val="bottom"/>
          </w:tcPr>
          <w:p>
            <w:pPr>
              <w:jc w:val="center"/>
              <w:ind w:right="23"/>
              <w:spacing w:after="0"/>
              <w:rPr>
                <w:sz w:val="20"/>
                <w:szCs w:val="20"/>
                <w:color w:val="auto"/>
              </w:rPr>
            </w:pPr>
            <w:r>
              <w:rPr>
                <w:rFonts w:ascii="Arial" w:cs="Arial" w:eastAsia="Arial" w:hAnsi="Arial"/>
                <w:sz w:val="15"/>
                <w:szCs w:val="15"/>
                <w:b w:val="1"/>
                <w:bCs w:val="1"/>
                <w:color w:val="FFFFFF"/>
              </w:rPr>
              <w:t>Independent</w:t>
            </w:r>
          </w:p>
        </w:tc>
        <w:tc>
          <w:tcPr>
            <w:tcW w:w="3040" w:type="dxa"/>
            <w:vAlign w:val="bottom"/>
          </w:tcPr>
          <w:p>
            <w:pPr>
              <w:ind w:left="160"/>
              <w:spacing w:after="0"/>
              <w:rPr>
                <w:sz w:val="20"/>
                <w:szCs w:val="20"/>
                <w:color w:val="auto"/>
              </w:rPr>
            </w:pPr>
            <w:r>
              <w:rPr>
                <w:rFonts w:ascii="Arial" w:cs="Arial" w:eastAsia="Arial" w:hAnsi="Arial"/>
                <w:sz w:val="15"/>
                <w:szCs w:val="15"/>
                <w:color w:val="0065A4"/>
              </w:rPr>
              <w:t>Increased opportunities to pursue external</w:t>
            </w:r>
          </w:p>
        </w:tc>
      </w:tr>
      <w:tr>
        <w:trPr>
          <w:trHeight w:val="184"/>
        </w:trPr>
        <w:tc>
          <w:tcPr>
            <w:tcW w:w="1180" w:type="dxa"/>
            <w:vAlign w:val="bottom"/>
          </w:tcPr>
          <w:p>
            <w:pPr>
              <w:jc w:val="center"/>
              <w:ind w:right="43"/>
              <w:spacing w:after="0"/>
              <w:rPr>
                <w:sz w:val="20"/>
                <w:szCs w:val="20"/>
                <w:color w:val="auto"/>
              </w:rPr>
            </w:pPr>
            <w:r>
              <w:rPr>
                <w:rFonts w:ascii="Arial" w:cs="Arial" w:eastAsia="Arial" w:hAnsi="Arial"/>
                <w:sz w:val="15"/>
                <w:szCs w:val="15"/>
                <w:b w:val="1"/>
                <w:bCs w:val="1"/>
                <w:color w:val="FFFFFF"/>
              </w:rPr>
              <w:t>Strategies</w:t>
            </w:r>
          </w:p>
        </w:tc>
        <w:tc>
          <w:tcPr>
            <w:tcW w:w="3040" w:type="dxa"/>
            <w:vAlign w:val="bottom"/>
          </w:tcPr>
          <w:p>
            <w:pPr>
              <w:ind w:left="160"/>
              <w:spacing w:after="0"/>
              <w:rPr>
                <w:sz w:val="20"/>
                <w:szCs w:val="20"/>
                <w:color w:val="auto"/>
              </w:rPr>
            </w:pPr>
            <w:r>
              <w:rPr>
                <w:rFonts w:ascii="Arial" w:cs="Arial" w:eastAsia="Arial" w:hAnsi="Arial"/>
                <w:sz w:val="15"/>
                <w:szCs w:val="15"/>
                <w:color w:val="0065A4"/>
              </w:rPr>
              <w:t>growth strategies as independent</w:t>
            </w:r>
          </w:p>
        </w:tc>
      </w:tr>
      <w:tr>
        <w:trPr>
          <w:trHeight w:val="185"/>
        </w:trPr>
        <w:tc>
          <w:tcPr>
            <w:tcW w:w="1180" w:type="dxa"/>
            <w:vAlign w:val="bottom"/>
          </w:tcPr>
          <w:p>
            <w:pPr>
              <w:spacing w:after="0"/>
              <w:rPr>
                <w:sz w:val="16"/>
                <w:szCs w:val="16"/>
                <w:color w:val="auto"/>
              </w:rPr>
            </w:pPr>
          </w:p>
        </w:tc>
        <w:tc>
          <w:tcPr>
            <w:tcW w:w="3040" w:type="dxa"/>
            <w:vAlign w:val="bottom"/>
          </w:tcPr>
          <w:p>
            <w:pPr>
              <w:ind w:left="160"/>
              <w:spacing w:after="0"/>
              <w:rPr>
                <w:sz w:val="20"/>
                <w:szCs w:val="20"/>
                <w:color w:val="auto"/>
              </w:rPr>
            </w:pPr>
            <w:r>
              <w:rPr>
                <w:rFonts w:ascii="Arial" w:cs="Arial" w:eastAsia="Arial" w:hAnsi="Arial"/>
                <w:sz w:val="15"/>
                <w:szCs w:val="15"/>
                <w:color w:val="0065A4"/>
              </w:rPr>
              <w:t>companies</w:t>
            </w:r>
          </w:p>
        </w:tc>
      </w:tr>
      <w:tr>
        <w:trPr>
          <w:trHeight w:val="373"/>
        </w:trPr>
        <w:tc>
          <w:tcPr>
            <w:tcW w:w="1180" w:type="dxa"/>
            <w:vAlign w:val="bottom"/>
          </w:tcPr>
          <w:p>
            <w:pPr>
              <w:jc w:val="center"/>
              <w:ind w:right="83"/>
              <w:spacing w:after="0"/>
              <w:rPr>
                <w:sz w:val="20"/>
                <w:szCs w:val="20"/>
                <w:color w:val="auto"/>
              </w:rPr>
            </w:pPr>
            <w:r>
              <w:rPr>
                <w:rFonts w:ascii="Arial" w:cs="Arial" w:eastAsia="Arial" w:hAnsi="Arial"/>
                <w:sz w:val="15"/>
                <w:szCs w:val="15"/>
                <w:b w:val="1"/>
                <w:bCs w:val="1"/>
                <w:color w:val="FFFFFF"/>
              </w:rPr>
              <w:t>Equity Market</w:t>
            </w:r>
          </w:p>
        </w:tc>
        <w:tc>
          <w:tcPr>
            <w:tcW w:w="3040" w:type="dxa"/>
            <w:vAlign w:val="bottom"/>
          </w:tcPr>
          <w:p>
            <w:pPr>
              <w:ind w:left="160"/>
              <w:spacing w:after="0"/>
              <w:rPr>
                <w:sz w:val="20"/>
                <w:szCs w:val="20"/>
                <w:color w:val="auto"/>
              </w:rPr>
            </w:pPr>
            <w:r>
              <w:rPr>
                <w:rFonts w:ascii="Arial" w:cs="Arial" w:eastAsia="Arial" w:hAnsi="Arial"/>
                <w:sz w:val="15"/>
                <w:szCs w:val="15"/>
                <w:color w:val="0065A4"/>
              </w:rPr>
              <w:t>Ability to attract an investor base suited to</w:t>
            </w:r>
          </w:p>
        </w:tc>
      </w:tr>
      <w:tr>
        <w:trPr>
          <w:trHeight w:val="178"/>
        </w:trPr>
        <w:tc>
          <w:tcPr>
            <w:tcW w:w="1180" w:type="dxa"/>
            <w:vAlign w:val="bottom"/>
          </w:tcPr>
          <w:p>
            <w:pPr>
              <w:jc w:val="center"/>
              <w:ind w:right="63"/>
              <w:spacing w:after="0"/>
              <w:rPr>
                <w:sz w:val="20"/>
                <w:szCs w:val="20"/>
                <w:color w:val="auto"/>
              </w:rPr>
            </w:pPr>
            <w:r>
              <w:rPr>
                <w:rFonts w:ascii="Arial" w:cs="Arial" w:eastAsia="Arial" w:hAnsi="Arial"/>
                <w:sz w:val="15"/>
                <w:szCs w:val="15"/>
                <w:b w:val="1"/>
                <w:bCs w:val="1"/>
                <w:color w:val="FFFFFF"/>
              </w:rPr>
              <w:t>Alignment</w:t>
            </w:r>
          </w:p>
        </w:tc>
        <w:tc>
          <w:tcPr>
            <w:tcW w:w="3040" w:type="dxa"/>
            <w:vAlign w:val="bottom"/>
          </w:tcPr>
          <w:p>
            <w:pPr>
              <w:ind w:left="160"/>
              <w:spacing w:after="0"/>
              <w:rPr>
                <w:sz w:val="20"/>
                <w:szCs w:val="20"/>
                <w:color w:val="auto"/>
              </w:rPr>
            </w:pPr>
            <w:r>
              <w:rPr>
                <w:rFonts w:ascii="Arial" w:cs="Arial" w:eastAsia="Arial" w:hAnsi="Arial"/>
                <w:sz w:val="15"/>
                <w:szCs w:val="15"/>
                <w:color w:val="0065A4"/>
              </w:rPr>
              <w:t>the particular operational and financial</w:t>
            </w:r>
          </w:p>
        </w:tc>
      </w:tr>
      <w:tr>
        <w:trPr>
          <w:trHeight w:val="185"/>
        </w:trPr>
        <w:tc>
          <w:tcPr>
            <w:tcW w:w="1180" w:type="dxa"/>
            <w:vAlign w:val="bottom"/>
          </w:tcPr>
          <w:p>
            <w:pPr>
              <w:spacing w:after="0"/>
              <w:rPr>
                <w:sz w:val="16"/>
                <w:szCs w:val="16"/>
                <w:color w:val="auto"/>
              </w:rPr>
            </w:pPr>
          </w:p>
        </w:tc>
        <w:tc>
          <w:tcPr>
            <w:tcW w:w="3040" w:type="dxa"/>
            <w:vAlign w:val="bottom"/>
          </w:tcPr>
          <w:p>
            <w:pPr>
              <w:ind w:left="160"/>
              <w:spacing w:after="0"/>
              <w:rPr>
                <w:sz w:val="20"/>
                <w:szCs w:val="20"/>
                <w:color w:val="auto"/>
              </w:rPr>
            </w:pPr>
            <w:r>
              <w:rPr>
                <w:rFonts w:ascii="Arial" w:cs="Arial" w:eastAsia="Arial" w:hAnsi="Arial"/>
                <w:sz w:val="15"/>
                <w:szCs w:val="15"/>
                <w:color w:val="0065A4"/>
              </w:rPr>
              <w:t>characteristics of each company</w:t>
            </w:r>
          </w:p>
        </w:tc>
      </w:tr>
      <w:tr>
        <w:trPr>
          <w:trHeight w:val="404"/>
        </w:trPr>
        <w:tc>
          <w:tcPr>
            <w:tcW w:w="1180" w:type="dxa"/>
            <w:vAlign w:val="bottom"/>
          </w:tcPr>
          <w:p>
            <w:pPr>
              <w:jc w:val="center"/>
              <w:ind w:right="43"/>
              <w:spacing w:after="0"/>
              <w:rPr>
                <w:sz w:val="20"/>
                <w:szCs w:val="20"/>
                <w:color w:val="auto"/>
              </w:rPr>
            </w:pPr>
            <w:r>
              <w:rPr>
                <w:rFonts w:ascii="Arial" w:cs="Arial" w:eastAsia="Arial" w:hAnsi="Arial"/>
                <w:sz w:val="15"/>
                <w:szCs w:val="15"/>
                <w:b w:val="1"/>
                <w:bCs w:val="1"/>
                <w:color w:val="FFFFFF"/>
              </w:rPr>
              <w:t>Focused</w:t>
            </w:r>
          </w:p>
        </w:tc>
        <w:tc>
          <w:tcPr>
            <w:tcW w:w="3040" w:type="dxa"/>
            <w:vAlign w:val="bottom"/>
          </w:tcPr>
          <w:p>
            <w:pPr>
              <w:ind w:left="160"/>
              <w:spacing w:after="0"/>
              <w:rPr>
                <w:sz w:val="20"/>
                <w:szCs w:val="20"/>
                <w:color w:val="auto"/>
              </w:rPr>
            </w:pPr>
            <w:r>
              <w:rPr>
                <w:rFonts w:ascii="Arial" w:cs="Arial" w:eastAsia="Arial" w:hAnsi="Arial"/>
                <w:sz w:val="15"/>
                <w:szCs w:val="15"/>
                <w:color w:val="0065A4"/>
              </w:rPr>
              <w:t>Greater management focus on the distinct</w:t>
            </w:r>
          </w:p>
        </w:tc>
      </w:tr>
      <w:tr>
        <w:trPr>
          <w:trHeight w:val="184"/>
        </w:trPr>
        <w:tc>
          <w:tcPr>
            <w:tcW w:w="1180" w:type="dxa"/>
            <w:vAlign w:val="bottom"/>
          </w:tcPr>
          <w:p>
            <w:pPr>
              <w:jc w:val="center"/>
              <w:ind w:right="43"/>
              <w:spacing w:after="0"/>
              <w:rPr>
                <w:sz w:val="20"/>
                <w:szCs w:val="20"/>
                <w:color w:val="auto"/>
              </w:rPr>
            </w:pPr>
            <w:r>
              <w:rPr>
                <w:rFonts w:ascii="Arial" w:cs="Arial" w:eastAsia="Arial" w:hAnsi="Arial"/>
                <w:sz w:val="15"/>
                <w:szCs w:val="15"/>
                <w:b w:val="1"/>
                <w:bCs w:val="1"/>
                <w:color w:val="FFFFFF"/>
              </w:rPr>
              <w:t>Management</w:t>
            </w:r>
          </w:p>
        </w:tc>
        <w:tc>
          <w:tcPr>
            <w:tcW w:w="3040" w:type="dxa"/>
            <w:vAlign w:val="bottom"/>
          </w:tcPr>
          <w:p>
            <w:pPr>
              <w:ind w:left="160"/>
              <w:spacing w:after="0"/>
              <w:rPr>
                <w:sz w:val="20"/>
                <w:szCs w:val="20"/>
                <w:color w:val="auto"/>
              </w:rPr>
            </w:pPr>
            <w:r>
              <w:rPr>
                <w:rFonts w:ascii="Arial" w:cs="Arial" w:eastAsia="Arial" w:hAnsi="Arial"/>
                <w:sz w:val="15"/>
                <w:szCs w:val="15"/>
                <w:color w:val="0065A4"/>
              </w:rPr>
              <w:t>businesses of Power Generation and</w:t>
            </w:r>
          </w:p>
        </w:tc>
      </w:tr>
      <w:tr>
        <w:trPr>
          <w:trHeight w:val="185"/>
        </w:trPr>
        <w:tc>
          <w:tcPr>
            <w:tcW w:w="1180" w:type="dxa"/>
            <w:vAlign w:val="bottom"/>
          </w:tcPr>
          <w:p>
            <w:pPr>
              <w:spacing w:after="0"/>
              <w:rPr>
                <w:sz w:val="16"/>
                <w:szCs w:val="16"/>
                <w:color w:val="auto"/>
              </w:rPr>
            </w:pPr>
          </w:p>
        </w:tc>
        <w:tc>
          <w:tcPr>
            <w:tcW w:w="3040" w:type="dxa"/>
            <w:vAlign w:val="bottom"/>
          </w:tcPr>
          <w:p>
            <w:pPr>
              <w:ind w:left="160"/>
              <w:spacing w:after="0"/>
              <w:rPr>
                <w:sz w:val="20"/>
                <w:szCs w:val="20"/>
                <w:color w:val="auto"/>
              </w:rPr>
            </w:pPr>
            <w:r>
              <w:rPr>
                <w:rFonts w:ascii="Arial" w:cs="Arial" w:eastAsia="Arial" w:hAnsi="Arial"/>
                <w:sz w:val="15"/>
                <w:szCs w:val="15"/>
                <w:color w:val="0065A4"/>
              </w:rPr>
              <w:t>Government &amp; Nuclear Operations</w:t>
            </w:r>
          </w:p>
        </w:tc>
      </w:tr>
    </w:tbl>
    <w:p>
      <w:pPr>
        <w:spacing w:after="0" w:line="200" w:lineRule="exact"/>
        <w:rPr>
          <w:sz w:val="20"/>
          <w:szCs w:val="20"/>
          <w:color w:val="auto"/>
        </w:rPr>
      </w:pPr>
    </w:p>
    <w:p>
      <w:pPr>
        <w:sectPr>
          <w:pgSz w:w="11900" w:h="16838" w:orient="portrait"/>
          <w:cols w:equalWidth="0" w:num="2">
            <w:col w:w="4160" w:space="440"/>
            <w:col w:w="5039"/>
          </w:cols>
          <w:pgMar w:left="820" w:top="1242" w:right="1440"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right"/>
        <w:ind w:right="899"/>
        <w:spacing w:after="0"/>
        <w:rPr>
          <w:sz w:val="20"/>
          <w:szCs w:val="20"/>
          <w:color w:val="auto"/>
        </w:rPr>
      </w:pPr>
      <w:r>
        <w:rPr>
          <w:rFonts w:ascii="Arial" w:cs="Arial" w:eastAsia="Arial" w:hAnsi="Arial"/>
          <w:sz w:val="12"/>
          <w:szCs w:val="12"/>
          <w:color w:val="949CA1"/>
        </w:rPr>
        <w:t>7</w:t>
      </w:r>
    </w:p>
    <w:p>
      <w:pPr>
        <w:spacing w:after="0" w:line="200" w:lineRule="exact"/>
        <w:rPr>
          <w:sz w:val="20"/>
          <w:szCs w:val="20"/>
          <w:color w:val="auto"/>
        </w:rPr>
      </w:pPr>
    </w:p>
    <w:p>
      <w:pPr>
        <w:spacing w:after="0" w:line="324" w:lineRule="exact"/>
        <w:rPr>
          <w:sz w:val="20"/>
          <w:szCs w:val="20"/>
          <w:color w:val="auto"/>
        </w:rPr>
      </w:pPr>
    </w:p>
    <w:p>
      <w:pPr>
        <w:ind w:left="320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39"/>
          </w:cols>
          <w:pgMar w:left="820" w:top="1242"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30"/>
          <w:szCs w:val="30"/>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25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8375" cy="4825365"/>
                    </a:xfrm>
                    <a:prstGeom prst="rect">
                      <a:avLst/>
                    </a:prstGeom>
                    <a:noFill/>
                  </pic:spPr>
                </pic:pic>
              </a:graphicData>
            </a:graphic>
          </wp:anchor>
        </w:drawing>
        <w:t>Two Publicly Traded Companies in Mid-2015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600" w:type="dxa"/>
        <w:tblCellMar>
          <w:top w:w="0" w:type="dxa"/>
          <w:left w:w="0" w:type="dxa"/>
          <w:bottom w:w="0" w:type="dxa"/>
          <w:right w:w="0" w:type="dxa"/>
        </w:tblCellMar>
      </w:tblPr>
      <w:tr>
        <w:trPr>
          <w:trHeight w:val="203"/>
        </w:trPr>
        <w:tc>
          <w:tcPr>
            <w:tcW w:w="3620" w:type="dxa"/>
            <w:vAlign w:val="bottom"/>
            <w:gridSpan w:val="2"/>
          </w:tcPr>
          <w:p>
            <w:pPr>
              <w:ind w:left="840"/>
              <w:spacing w:after="0"/>
              <w:rPr>
                <w:sz w:val="20"/>
                <w:szCs w:val="20"/>
                <w:color w:val="auto"/>
              </w:rPr>
            </w:pPr>
            <w:r>
              <w:rPr>
                <w:rFonts w:ascii="Arial" w:cs="Arial" w:eastAsia="Arial" w:hAnsi="Arial"/>
                <w:sz w:val="15"/>
                <w:szCs w:val="15"/>
                <w:b w:val="1"/>
                <w:bCs w:val="1"/>
                <w:color w:val="FFFFFF"/>
              </w:rPr>
              <w:t>BWX Technologies, Inc.</w:t>
            </w:r>
          </w:p>
        </w:tc>
        <w:tc>
          <w:tcPr>
            <w:tcW w:w="3640" w:type="dxa"/>
            <w:vAlign w:val="bottom"/>
            <w:gridSpan w:val="2"/>
          </w:tcPr>
          <w:p>
            <w:pPr>
              <w:ind w:left="1080"/>
              <w:spacing w:after="0"/>
              <w:rPr>
                <w:sz w:val="20"/>
                <w:szCs w:val="20"/>
                <w:color w:val="auto"/>
              </w:rPr>
            </w:pPr>
            <w:r>
              <w:rPr>
                <w:rFonts w:ascii="Arial" w:cs="Arial" w:eastAsia="Arial" w:hAnsi="Arial"/>
                <w:sz w:val="15"/>
                <w:szCs w:val="15"/>
                <w:b w:val="1"/>
                <w:bCs w:val="1"/>
                <w:color w:val="FFFFFF"/>
              </w:rPr>
              <w:t>Babcock &amp; Wilcox Enterprises, Inc.</w:t>
            </w:r>
          </w:p>
        </w:tc>
      </w:tr>
      <w:tr>
        <w:trPr>
          <w:trHeight w:val="368"/>
        </w:trPr>
        <w:tc>
          <w:tcPr>
            <w:tcW w:w="3620" w:type="dxa"/>
            <w:vAlign w:val="bottom"/>
            <w:gridSpan w:val="2"/>
          </w:tcPr>
          <w:p>
            <w:pPr>
              <w:ind w:left="460"/>
              <w:spacing w:after="0"/>
              <w:rPr>
                <w:sz w:val="20"/>
                <w:szCs w:val="20"/>
                <w:color w:val="auto"/>
              </w:rPr>
            </w:pPr>
            <w:r>
              <w:rPr>
                <w:rFonts w:ascii="Arial" w:cs="Arial" w:eastAsia="Arial" w:hAnsi="Arial"/>
                <w:sz w:val="15"/>
                <w:szCs w:val="15"/>
                <w:b w:val="1"/>
                <w:bCs w:val="1"/>
                <w:i w:val="1"/>
                <w:iCs w:val="1"/>
                <w:color w:val="6C767B"/>
              </w:rPr>
              <w:t>Government &amp; Nuclear Operations</w:t>
            </w:r>
          </w:p>
        </w:tc>
        <w:tc>
          <w:tcPr>
            <w:tcW w:w="3640" w:type="dxa"/>
            <w:vAlign w:val="bottom"/>
            <w:gridSpan w:val="2"/>
          </w:tcPr>
          <w:p>
            <w:pPr>
              <w:ind w:left="1700"/>
              <w:spacing w:after="0"/>
              <w:rPr>
                <w:sz w:val="20"/>
                <w:szCs w:val="20"/>
                <w:color w:val="auto"/>
              </w:rPr>
            </w:pPr>
            <w:r>
              <w:rPr>
                <w:rFonts w:ascii="Arial" w:cs="Arial" w:eastAsia="Arial" w:hAnsi="Arial"/>
                <w:sz w:val="15"/>
                <w:szCs w:val="15"/>
                <w:b w:val="1"/>
                <w:bCs w:val="1"/>
                <w:i w:val="1"/>
                <w:iCs w:val="1"/>
                <w:color w:val="6C767B"/>
              </w:rPr>
              <w:t>Power Generation</w:t>
            </w:r>
          </w:p>
        </w:tc>
      </w:tr>
      <w:tr>
        <w:trPr>
          <w:trHeight w:val="260"/>
        </w:trPr>
        <w:tc>
          <w:tcPr>
            <w:tcW w:w="1620" w:type="dxa"/>
            <w:vAlign w:val="bottom"/>
          </w:tcPr>
          <w:p>
            <w:pPr>
              <w:spacing w:after="0"/>
              <w:rPr>
                <w:sz w:val="20"/>
                <w:szCs w:val="20"/>
                <w:color w:val="auto"/>
              </w:rPr>
            </w:pPr>
            <w:r>
              <w:rPr>
                <w:rFonts w:ascii="Arial" w:cs="Arial" w:eastAsia="Arial" w:hAnsi="Arial"/>
                <w:sz w:val="13"/>
                <w:szCs w:val="13"/>
                <w:b w:val="1"/>
                <w:bCs w:val="1"/>
                <w:color w:val="6C767B"/>
              </w:rPr>
              <w:t>Headquarters:</w:t>
            </w:r>
          </w:p>
        </w:tc>
        <w:tc>
          <w:tcPr>
            <w:tcW w:w="2000" w:type="dxa"/>
            <w:vAlign w:val="bottom"/>
          </w:tcPr>
          <w:p>
            <w:pPr>
              <w:ind w:left="100"/>
              <w:spacing w:after="0"/>
              <w:rPr>
                <w:sz w:val="20"/>
                <w:szCs w:val="20"/>
                <w:color w:val="auto"/>
              </w:rPr>
            </w:pPr>
            <w:r>
              <w:rPr>
                <w:rFonts w:ascii="Arial" w:cs="Arial" w:eastAsia="Arial" w:hAnsi="Arial"/>
                <w:sz w:val="13"/>
                <w:szCs w:val="13"/>
                <w:color w:val="6C767B"/>
              </w:rPr>
              <w:t>Lynchburg, VA</w:t>
            </w:r>
          </w:p>
        </w:tc>
        <w:tc>
          <w:tcPr>
            <w:tcW w:w="2280" w:type="dxa"/>
            <w:vAlign w:val="bottom"/>
          </w:tcPr>
          <w:p>
            <w:pPr>
              <w:ind w:left="660"/>
              <w:spacing w:after="0"/>
              <w:rPr>
                <w:sz w:val="20"/>
                <w:szCs w:val="20"/>
                <w:color w:val="auto"/>
              </w:rPr>
            </w:pPr>
            <w:r>
              <w:rPr>
                <w:rFonts w:ascii="Arial" w:cs="Arial" w:eastAsia="Arial" w:hAnsi="Arial"/>
                <w:sz w:val="13"/>
                <w:szCs w:val="13"/>
                <w:b w:val="1"/>
                <w:bCs w:val="1"/>
                <w:color w:val="6C767B"/>
              </w:rPr>
              <w:t>Headquarters:</w:t>
            </w:r>
          </w:p>
        </w:tc>
        <w:tc>
          <w:tcPr>
            <w:tcW w:w="1360" w:type="dxa"/>
            <w:vAlign w:val="bottom"/>
          </w:tcPr>
          <w:p>
            <w:pPr>
              <w:ind w:left="100"/>
              <w:spacing w:after="0"/>
              <w:rPr>
                <w:sz w:val="20"/>
                <w:szCs w:val="20"/>
                <w:color w:val="auto"/>
              </w:rPr>
            </w:pPr>
            <w:r>
              <w:rPr>
                <w:rFonts w:ascii="Arial" w:cs="Arial" w:eastAsia="Arial" w:hAnsi="Arial"/>
                <w:sz w:val="13"/>
                <w:szCs w:val="13"/>
                <w:color w:val="6C767B"/>
              </w:rPr>
              <w:t>Charlotte, NC</w:t>
            </w:r>
          </w:p>
        </w:tc>
      </w:tr>
      <w:tr>
        <w:trPr>
          <w:trHeight w:val="184"/>
        </w:trPr>
        <w:tc>
          <w:tcPr>
            <w:tcW w:w="1620" w:type="dxa"/>
            <w:vAlign w:val="bottom"/>
          </w:tcPr>
          <w:p>
            <w:pPr>
              <w:spacing w:after="0"/>
              <w:rPr>
                <w:sz w:val="20"/>
                <w:szCs w:val="20"/>
                <w:color w:val="auto"/>
              </w:rPr>
            </w:pPr>
            <w:r>
              <w:rPr>
                <w:rFonts w:ascii="Arial" w:cs="Arial" w:eastAsia="Arial" w:hAnsi="Arial"/>
                <w:sz w:val="13"/>
                <w:szCs w:val="13"/>
                <w:b w:val="1"/>
                <w:bCs w:val="1"/>
                <w:color w:val="6C767B"/>
              </w:rPr>
              <w:t>Incorporation:</w:t>
            </w:r>
          </w:p>
        </w:tc>
        <w:tc>
          <w:tcPr>
            <w:tcW w:w="2000" w:type="dxa"/>
            <w:vAlign w:val="bottom"/>
          </w:tcPr>
          <w:p>
            <w:pPr>
              <w:ind w:left="100"/>
              <w:spacing w:after="0"/>
              <w:rPr>
                <w:sz w:val="20"/>
                <w:szCs w:val="20"/>
                <w:color w:val="auto"/>
              </w:rPr>
            </w:pPr>
            <w:r>
              <w:rPr>
                <w:rFonts w:ascii="Arial" w:cs="Arial" w:eastAsia="Arial" w:hAnsi="Arial"/>
                <w:sz w:val="13"/>
                <w:szCs w:val="13"/>
                <w:color w:val="6C767B"/>
              </w:rPr>
              <w:t>Delaware</w:t>
            </w:r>
          </w:p>
        </w:tc>
        <w:tc>
          <w:tcPr>
            <w:tcW w:w="2280" w:type="dxa"/>
            <w:vAlign w:val="bottom"/>
          </w:tcPr>
          <w:p>
            <w:pPr>
              <w:ind w:left="660"/>
              <w:spacing w:after="0"/>
              <w:rPr>
                <w:sz w:val="20"/>
                <w:szCs w:val="20"/>
                <w:color w:val="auto"/>
              </w:rPr>
            </w:pPr>
            <w:r>
              <w:rPr>
                <w:rFonts w:ascii="Arial" w:cs="Arial" w:eastAsia="Arial" w:hAnsi="Arial"/>
                <w:sz w:val="13"/>
                <w:szCs w:val="13"/>
                <w:b w:val="1"/>
                <w:bCs w:val="1"/>
                <w:color w:val="6C767B"/>
              </w:rPr>
              <w:t>Incorporation:</w:t>
            </w:r>
          </w:p>
        </w:tc>
        <w:tc>
          <w:tcPr>
            <w:tcW w:w="1360" w:type="dxa"/>
            <w:vAlign w:val="bottom"/>
          </w:tcPr>
          <w:p>
            <w:pPr>
              <w:ind w:left="100"/>
              <w:spacing w:after="0"/>
              <w:rPr>
                <w:sz w:val="20"/>
                <w:szCs w:val="20"/>
                <w:color w:val="auto"/>
              </w:rPr>
            </w:pPr>
            <w:r>
              <w:rPr>
                <w:rFonts w:ascii="Arial" w:cs="Arial" w:eastAsia="Arial" w:hAnsi="Arial"/>
                <w:sz w:val="13"/>
                <w:szCs w:val="13"/>
                <w:color w:val="6C767B"/>
              </w:rPr>
              <w:t>Delaware</w:t>
            </w:r>
          </w:p>
        </w:tc>
      </w:tr>
      <w:tr>
        <w:trPr>
          <w:trHeight w:val="194"/>
        </w:trPr>
        <w:tc>
          <w:tcPr>
            <w:tcW w:w="1620" w:type="dxa"/>
            <w:vAlign w:val="bottom"/>
          </w:tcPr>
          <w:p>
            <w:pPr>
              <w:spacing w:after="0"/>
              <w:rPr>
                <w:sz w:val="20"/>
                <w:szCs w:val="20"/>
                <w:color w:val="auto"/>
              </w:rPr>
            </w:pPr>
            <w:r>
              <w:rPr>
                <w:rFonts w:ascii="Arial" w:cs="Arial" w:eastAsia="Arial" w:hAnsi="Arial"/>
                <w:sz w:val="13"/>
                <w:szCs w:val="13"/>
                <w:b w:val="1"/>
                <w:bCs w:val="1"/>
                <w:color w:val="6C767B"/>
              </w:rPr>
              <w:t>Executive Chairman:</w:t>
            </w:r>
          </w:p>
        </w:tc>
        <w:tc>
          <w:tcPr>
            <w:tcW w:w="2000" w:type="dxa"/>
            <w:vAlign w:val="bottom"/>
          </w:tcPr>
          <w:p>
            <w:pPr>
              <w:ind w:left="100"/>
              <w:spacing w:after="0"/>
              <w:rPr>
                <w:sz w:val="20"/>
                <w:szCs w:val="20"/>
                <w:color w:val="auto"/>
              </w:rPr>
            </w:pPr>
            <w:r>
              <w:rPr>
                <w:rFonts w:ascii="Arial" w:cs="Arial" w:eastAsia="Arial" w:hAnsi="Arial"/>
                <w:sz w:val="13"/>
                <w:szCs w:val="13"/>
                <w:color w:val="6C767B"/>
              </w:rPr>
              <w:t>John A. Fees</w:t>
            </w:r>
          </w:p>
        </w:tc>
        <w:tc>
          <w:tcPr>
            <w:tcW w:w="2280" w:type="dxa"/>
            <w:vAlign w:val="bottom"/>
          </w:tcPr>
          <w:p>
            <w:pPr>
              <w:ind w:left="660"/>
              <w:spacing w:after="0"/>
              <w:rPr>
                <w:sz w:val="20"/>
                <w:szCs w:val="20"/>
                <w:color w:val="auto"/>
              </w:rPr>
            </w:pPr>
            <w:r>
              <w:rPr>
                <w:rFonts w:ascii="Arial" w:cs="Arial" w:eastAsia="Arial" w:hAnsi="Arial"/>
                <w:sz w:val="13"/>
                <w:szCs w:val="13"/>
                <w:b w:val="1"/>
                <w:bCs w:val="1"/>
                <w:color w:val="6C767B"/>
              </w:rPr>
              <w:t>Chairman &amp; CEO:</w:t>
            </w:r>
          </w:p>
        </w:tc>
        <w:tc>
          <w:tcPr>
            <w:tcW w:w="1360" w:type="dxa"/>
            <w:vAlign w:val="bottom"/>
          </w:tcPr>
          <w:p>
            <w:pPr>
              <w:ind w:left="100"/>
              <w:spacing w:after="0"/>
              <w:rPr>
                <w:sz w:val="20"/>
                <w:szCs w:val="20"/>
                <w:color w:val="auto"/>
              </w:rPr>
            </w:pPr>
            <w:r>
              <w:rPr>
                <w:rFonts w:ascii="Arial" w:cs="Arial" w:eastAsia="Arial" w:hAnsi="Arial"/>
                <w:sz w:val="13"/>
                <w:szCs w:val="13"/>
                <w:color w:val="6C767B"/>
              </w:rPr>
              <w:t>E. James Ferland</w:t>
            </w:r>
          </w:p>
        </w:tc>
      </w:tr>
      <w:tr>
        <w:trPr>
          <w:trHeight w:val="184"/>
        </w:trPr>
        <w:tc>
          <w:tcPr>
            <w:tcW w:w="1620" w:type="dxa"/>
            <w:vAlign w:val="bottom"/>
          </w:tcPr>
          <w:p>
            <w:pPr>
              <w:spacing w:after="0"/>
              <w:rPr>
                <w:sz w:val="20"/>
                <w:szCs w:val="20"/>
                <w:color w:val="auto"/>
              </w:rPr>
            </w:pPr>
            <w:r>
              <w:rPr>
                <w:rFonts w:ascii="Arial" w:cs="Arial" w:eastAsia="Arial" w:hAnsi="Arial"/>
                <w:sz w:val="13"/>
                <w:szCs w:val="13"/>
                <w:b w:val="1"/>
                <w:bCs w:val="1"/>
                <w:color w:val="6C767B"/>
              </w:rPr>
              <w:t>CEO:</w:t>
            </w:r>
          </w:p>
        </w:tc>
        <w:tc>
          <w:tcPr>
            <w:tcW w:w="2000" w:type="dxa"/>
            <w:vAlign w:val="bottom"/>
          </w:tcPr>
          <w:p>
            <w:pPr>
              <w:ind w:left="100"/>
              <w:spacing w:after="0"/>
              <w:rPr>
                <w:sz w:val="20"/>
                <w:szCs w:val="20"/>
                <w:color w:val="auto"/>
              </w:rPr>
            </w:pPr>
            <w:r>
              <w:rPr>
                <w:rFonts w:ascii="Arial" w:cs="Arial" w:eastAsia="Arial" w:hAnsi="Arial"/>
                <w:sz w:val="13"/>
                <w:szCs w:val="13"/>
                <w:color w:val="6C767B"/>
              </w:rPr>
              <w:t>Peyton S. Baker</w:t>
            </w:r>
          </w:p>
        </w:tc>
        <w:tc>
          <w:tcPr>
            <w:tcW w:w="22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4"/>
        </w:trPr>
        <w:tc>
          <w:tcPr>
            <w:tcW w:w="1620" w:type="dxa"/>
            <w:vAlign w:val="bottom"/>
          </w:tcPr>
          <w:p>
            <w:pPr>
              <w:spacing w:after="0"/>
              <w:rPr>
                <w:sz w:val="20"/>
                <w:szCs w:val="20"/>
                <w:color w:val="auto"/>
              </w:rPr>
            </w:pPr>
            <w:r>
              <w:rPr>
                <w:rFonts w:ascii="Arial" w:cs="Arial" w:eastAsia="Arial" w:hAnsi="Arial"/>
                <w:sz w:val="13"/>
                <w:szCs w:val="13"/>
                <w:b w:val="1"/>
                <w:bCs w:val="1"/>
                <w:color w:val="6C767B"/>
              </w:rPr>
              <w:t>Projected 2015 revenue:</w:t>
            </w:r>
          </w:p>
        </w:tc>
        <w:tc>
          <w:tcPr>
            <w:tcW w:w="2000" w:type="dxa"/>
            <w:vAlign w:val="bottom"/>
          </w:tcPr>
          <w:p>
            <w:pPr>
              <w:ind w:left="100"/>
              <w:spacing w:after="0"/>
              <w:rPr>
                <w:sz w:val="20"/>
                <w:szCs w:val="20"/>
                <w:color w:val="auto"/>
              </w:rPr>
            </w:pPr>
            <w:r>
              <w:rPr>
                <w:rFonts w:ascii="Arial" w:cs="Arial" w:eastAsia="Arial" w:hAnsi="Arial"/>
                <w:sz w:val="13"/>
                <w:szCs w:val="13"/>
                <w:color w:val="6C767B"/>
              </w:rPr>
              <w:t>$1.4B</w:t>
            </w:r>
          </w:p>
        </w:tc>
        <w:tc>
          <w:tcPr>
            <w:tcW w:w="2280" w:type="dxa"/>
            <w:vAlign w:val="bottom"/>
          </w:tcPr>
          <w:p>
            <w:pPr>
              <w:ind w:left="660"/>
              <w:spacing w:after="0"/>
              <w:rPr>
                <w:sz w:val="20"/>
                <w:szCs w:val="20"/>
                <w:color w:val="auto"/>
              </w:rPr>
            </w:pPr>
            <w:r>
              <w:rPr>
                <w:rFonts w:ascii="Arial" w:cs="Arial" w:eastAsia="Arial" w:hAnsi="Arial"/>
                <w:sz w:val="13"/>
                <w:szCs w:val="13"/>
                <w:b w:val="1"/>
                <w:bCs w:val="1"/>
                <w:color w:val="6C767B"/>
              </w:rPr>
              <w:t>Projected 2015 revenue:</w:t>
            </w:r>
          </w:p>
        </w:tc>
        <w:tc>
          <w:tcPr>
            <w:tcW w:w="1360" w:type="dxa"/>
            <w:vAlign w:val="bottom"/>
          </w:tcPr>
          <w:p>
            <w:pPr>
              <w:ind w:left="100"/>
              <w:spacing w:after="0"/>
              <w:rPr>
                <w:sz w:val="20"/>
                <w:szCs w:val="20"/>
                <w:color w:val="auto"/>
              </w:rPr>
            </w:pPr>
            <w:r>
              <w:rPr>
                <w:rFonts w:ascii="Arial" w:cs="Arial" w:eastAsia="Arial" w:hAnsi="Arial"/>
                <w:sz w:val="13"/>
                <w:szCs w:val="13"/>
                <w:color w:val="6C767B"/>
              </w:rPr>
              <w:t>$1.7B</w:t>
            </w:r>
          </w:p>
        </w:tc>
      </w:tr>
      <w:tr>
        <w:trPr>
          <w:trHeight w:val="184"/>
        </w:trPr>
        <w:tc>
          <w:tcPr>
            <w:tcW w:w="1620" w:type="dxa"/>
            <w:vAlign w:val="bottom"/>
          </w:tcPr>
          <w:p>
            <w:pPr>
              <w:spacing w:after="0"/>
              <w:rPr>
                <w:sz w:val="20"/>
                <w:szCs w:val="20"/>
                <w:color w:val="auto"/>
              </w:rPr>
            </w:pPr>
            <w:r>
              <w:rPr>
                <w:rFonts w:ascii="Arial" w:cs="Arial" w:eastAsia="Arial" w:hAnsi="Arial"/>
                <w:sz w:val="13"/>
                <w:szCs w:val="13"/>
                <w:b w:val="1"/>
                <w:bCs w:val="1"/>
                <w:color w:val="6C767B"/>
              </w:rPr>
              <w:t># of Employees:</w:t>
            </w:r>
          </w:p>
        </w:tc>
        <w:tc>
          <w:tcPr>
            <w:tcW w:w="2000" w:type="dxa"/>
            <w:vAlign w:val="bottom"/>
          </w:tcPr>
          <w:p>
            <w:pPr>
              <w:ind w:left="100"/>
              <w:spacing w:after="0"/>
              <w:rPr>
                <w:sz w:val="20"/>
                <w:szCs w:val="20"/>
                <w:color w:val="auto"/>
              </w:rPr>
            </w:pPr>
            <w:r>
              <w:rPr>
                <w:rFonts w:ascii="Arial" w:cs="Arial" w:eastAsia="Arial" w:hAnsi="Arial"/>
                <w:sz w:val="13"/>
                <w:szCs w:val="13"/>
                <w:color w:val="6C767B"/>
              </w:rPr>
              <w:t>~5,300</w:t>
            </w:r>
          </w:p>
        </w:tc>
        <w:tc>
          <w:tcPr>
            <w:tcW w:w="2280" w:type="dxa"/>
            <w:vAlign w:val="bottom"/>
          </w:tcPr>
          <w:p>
            <w:pPr>
              <w:ind w:left="660"/>
              <w:spacing w:after="0"/>
              <w:rPr>
                <w:sz w:val="20"/>
                <w:szCs w:val="20"/>
                <w:color w:val="auto"/>
              </w:rPr>
            </w:pPr>
            <w:r>
              <w:rPr>
                <w:rFonts w:ascii="Arial" w:cs="Arial" w:eastAsia="Arial" w:hAnsi="Arial"/>
                <w:sz w:val="13"/>
                <w:szCs w:val="13"/>
                <w:b w:val="1"/>
                <w:bCs w:val="1"/>
                <w:color w:val="6C767B"/>
              </w:rPr>
              <w:t># of Employees:</w:t>
            </w:r>
          </w:p>
        </w:tc>
        <w:tc>
          <w:tcPr>
            <w:tcW w:w="1360" w:type="dxa"/>
            <w:vAlign w:val="bottom"/>
          </w:tcPr>
          <w:p>
            <w:pPr>
              <w:ind w:left="100"/>
              <w:spacing w:after="0"/>
              <w:rPr>
                <w:sz w:val="20"/>
                <w:szCs w:val="20"/>
                <w:color w:val="auto"/>
              </w:rPr>
            </w:pPr>
            <w:r>
              <w:rPr>
                <w:rFonts w:ascii="Arial" w:cs="Arial" w:eastAsia="Arial" w:hAnsi="Arial"/>
                <w:sz w:val="13"/>
                <w:szCs w:val="13"/>
                <w:color w:val="6C767B"/>
              </w:rPr>
              <w:t>~5,700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899"/>
        <w:spacing w:after="0"/>
        <w:rPr>
          <w:sz w:val="20"/>
          <w:szCs w:val="20"/>
          <w:color w:val="auto"/>
        </w:rPr>
      </w:pPr>
      <w:r>
        <w:rPr>
          <w:rFonts w:ascii="Arial" w:cs="Arial" w:eastAsia="Arial" w:hAnsi="Arial"/>
          <w:sz w:val="12"/>
          <w:szCs w:val="12"/>
          <w:color w:val="949CA1"/>
        </w:rPr>
        <w:t>8</w:t>
      </w:r>
    </w:p>
    <w:p>
      <w:pPr>
        <w:spacing w:after="0" w:line="200" w:lineRule="exact"/>
        <w:rPr>
          <w:sz w:val="20"/>
          <w:szCs w:val="20"/>
          <w:color w:val="auto"/>
        </w:rPr>
      </w:pPr>
    </w:p>
    <w:p>
      <w:pPr>
        <w:spacing w:after="0" w:line="324" w:lineRule="exact"/>
        <w:rPr>
          <w:sz w:val="20"/>
          <w:szCs w:val="20"/>
          <w:color w:val="auto"/>
        </w:rPr>
      </w:pPr>
    </w:p>
    <w:p>
      <w:pPr>
        <w:ind w:left="320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39"/>
          </w:cols>
          <w:pgMar w:left="820" w:top="1293" w:right="1440" w:bottom="1440" w:gutter="0" w:footer="0" w:header="0"/>
        </w:sectPr>
      </w:pPr>
    </w:p>
    <w:bookmarkStart w:id="10" w:name="page11"/>
    <w:bookmarkEnd w:id="10"/>
    <w:p>
      <w:pPr>
        <w:spacing w:after="0"/>
        <w:rPr>
          <w:sz w:val="20"/>
          <w:szCs w:val="20"/>
          <w:color w:val="auto"/>
        </w:rPr>
      </w:pPr>
      <w:r>
        <w:rPr>
          <w:rFonts w:ascii="Arial" w:cs="Arial" w:eastAsia="Arial" w:hAnsi="Arial"/>
          <w:sz w:val="29"/>
          <w:szCs w:val="29"/>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8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8375" cy="4818380"/>
                    </a:xfrm>
                    <a:prstGeom prst="rect">
                      <a:avLst/>
                    </a:prstGeom>
                    <a:noFill/>
                  </pic:spPr>
                </pic:pic>
              </a:graphicData>
            </a:graphic>
          </wp:anchor>
        </w:drawing>
        <w:t>Executive Compensation Program Puts Majority of Pay at Risk</w:t>
      </w:r>
    </w:p>
    <w:p>
      <w:pPr>
        <w:spacing w:after="0" w:line="287" w:lineRule="exact"/>
        <w:rPr>
          <w:sz w:val="20"/>
          <w:szCs w:val="20"/>
          <w:color w:val="auto"/>
        </w:rPr>
      </w:pPr>
    </w:p>
    <w:p>
      <w:pPr>
        <w:jc w:val="center"/>
        <w:ind w:right="659"/>
        <w:spacing w:after="0"/>
        <w:rPr>
          <w:sz w:val="20"/>
          <w:szCs w:val="20"/>
          <w:color w:val="auto"/>
        </w:rPr>
      </w:pPr>
      <w:r>
        <w:rPr>
          <w:rFonts w:ascii="Arial" w:cs="Arial" w:eastAsia="Arial" w:hAnsi="Arial"/>
          <w:sz w:val="19"/>
          <w:szCs w:val="19"/>
          <w:b w:val="1"/>
          <w:bCs w:val="1"/>
          <w:i w:val="1"/>
          <w:iCs w:val="1"/>
          <w:color w:val="FFFFFF"/>
        </w:rPr>
        <w:t>B&amp;W seeks to provide reasonable and competitive compensation</w:t>
      </w:r>
    </w:p>
    <w:p>
      <w:pPr>
        <w:spacing w:after="0" w:line="39" w:lineRule="exact"/>
        <w:rPr>
          <w:sz w:val="20"/>
          <w:szCs w:val="20"/>
          <w:color w:val="auto"/>
        </w:rPr>
      </w:pPr>
    </w:p>
    <w:p>
      <w:pPr>
        <w:jc w:val="center"/>
        <w:ind w:right="759"/>
        <w:spacing w:after="0"/>
        <w:rPr>
          <w:sz w:val="20"/>
          <w:szCs w:val="20"/>
          <w:color w:val="auto"/>
        </w:rPr>
      </w:pPr>
      <w:r>
        <w:rPr>
          <w:rFonts w:ascii="Arial" w:cs="Arial" w:eastAsia="Arial" w:hAnsi="Arial"/>
          <w:sz w:val="19"/>
          <w:szCs w:val="19"/>
          <w:b w:val="1"/>
          <w:bCs w:val="1"/>
          <w:i w:val="1"/>
          <w:iCs w:val="1"/>
          <w:color w:val="FFFFFF"/>
        </w:rPr>
        <w:t>within a “pay-for-performance” framework</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Compensation program is designed to:</w:t>
      </w:r>
    </w:p>
    <w:p>
      <w:pPr>
        <w:spacing w:after="0" w:line="213" w:lineRule="exact"/>
        <w:rPr>
          <w:sz w:val="20"/>
          <w:szCs w:val="20"/>
          <w:color w:val="auto"/>
        </w:rPr>
      </w:pPr>
    </w:p>
    <w:p>
      <w:pPr>
        <w:ind w:left="900"/>
        <w:spacing w:after="0"/>
        <w:rPr>
          <w:sz w:val="20"/>
          <w:szCs w:val="20"/>
          <w:color w:val="auto"/>
        </w:rPr>
      </w:pPr>
      <w:r>
        <w:rPr>
          <w:rFonts w:ascii="Arial" w:cs="Arial" w:eastAsia="Arial" w:hAnsi="Arial"/>
          <w:sz w:val="15"/>
          <w:szCs w:val="15"/>
          <w:color w:val="005298"/>
        </w:rPr>
        <w:t>Incent and reward annual-and long-term performance</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5"/>
          <w:szCs w:val="15"/>
          <w:color w:val="005298"/>
        </w:rPr>
        <w:t>Align interests of B&amp;W executives with shareholders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005298"/>
        </w:rPr>
        <w:t>Attract and retain well-qualified executives</w:t>
      </w:r>
    </w:p>
    <w:p>
      <w:pPr>
        <w:sectPr>
          <w:pgSz w:w="11900" w:h="16838" w:orient="portrait"/>
          <w:cols w:equalWidth="0" w:num="1">
            <w:col w:w="9639"/>
          </w:cols>
          <w:pgMar w:left="820" w:top="1282" w:right="1440" w:bottom="1440" w:gutter="0" w:footer="0" w:header="0"/>
        </w:sectPr>
      </w:pPr>
    </w:p>
    <w:p>
      <w:pPr>
        <w:spacing w:after="0" w:line="37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05298"/>
        </w:rPr>
        <w:t>2014 CEO Target Total Direct Compensation</w:t>
      </w:r>
    </w:p>
    <w:p>
      <w:pPr>
        <w:spacing w:after="0" w:line="103"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2020" w:type="dxa"/>
            <w:vAlign w:val="bottom"/>
          </w:tcPr>
          <w:p>
            <w:pPr>
              <w:jc w:val="center"/>
              <w:ind w:left="511"/>
              <w:spacing w:after="0"/>
              <w:rPr>
                <w:sz w:val="20"/>
                <w:szCs w:val="20"/>
                <w:color w:val="auto"/>
              </w:rPr>
            </w:pPr>
            <w:r>
              <w:rPr>
                <w:rFonts w:ascii="Arial" w:cs="Arial" w:eastAsia="Arial" w:hAnsi="Arial"/>
                <w:sz w:val="15"/>
                <w:szCs w:val="15"/>
                <w:b w:val="1"/>
                <w:bCs w:val="1"/>
                <w:i w:val="1"/>
                <w:iCs w:val="1"/>
                <w:color w:val="005298"/>
              </w:rPr>
              <w:t>68% of CEO Pay is</w:t>
            </w:r>
          </w:p>
        </w:tc>
      </w:tr>
      <w:tr>
        <w:trPr>
          <w:trHeight w:val="203"/>
        </w:trPr>
        <w:tc>
          <w:tcPr>
            <w:tcW w:w="1100" w:type="dxa"/>
            <w:vAlign w:val="bottom"/>
          </w:tcPr>
          <w:p>
            <w:pPr>
              <w:spacing w:after="0"/>
              <w:rPr>
                <w:sz w:val="17"/>
                <w:szCs w:val="17"/>
                <w:color w:val="auto"/>
              </w:rPr>
            </w:pPr>
          </w:p>
        </w:tc>
        <w:tc>
          <w:tcPr>
            <w:tcW w:w="2020" w:type="dxa"/>
            <w:vAlign w:val="bottom"/>
          </w:tcPr>
          <w:p>
            <w:pPr>
              <w:jc w:val="center"/>
              <w:ind w:left="511"/>
              <w:spacing w:after="0"/>
              <w:rPr>
                <w:sz w:val="20"/>
                <w:szCs w:val="20"/>
                <w:color w:val="auto"/>
              </w:rPr>
            </w:pPr>
            <w:r>
              <w:rPr>
                <w:rFonts w:ascii="Arial" w:cs="Arial" w:eastAsia="Arial" w:hAnsi="Arial"/>
                <w:sz w:val="15"/>
                <w:szCs w:val="15"/>
                <w:b w:val="1"/>
                <w:bCs w:val="1"/>
                <w:i w:val="1"/>
                <w:iCs w:val="1"/>
                <w:color w:val="005298"/>
              </w:rPr>
              <w:t>Performance Based</w:t>
            </w:r>
          </w:p>
        </w:tc>
      </w:tr>
      <w:tr>
        <w:trPr>
          <w:trHeight w:val="379"/>
        </w:trPr>
        <w:tc>
          <w:tcPr>
            <w:tcW w:w="1100" w:type="dxa"/>
            <w:vAlign w:val="bottom"/>
          </w:tcPr>
          <w:p>
            <w:pPr>
              <w:ind w:left="300"/>
              <w:spacing w:after="0"/>
              <w:rPr>
                <w:sz w:val="20"/>
                <w:szCs w:val="20"/>
                <w:color w:val="auto"/>
              </w:rPr>
            </w:pPr>
            <w:r>
              <w:rPr>
                <w:rFonts w:ascii="Arial" w:cs="Arial" w:eastAsia="Arial" w:hAnsi="Arial"/>
                <w:sz w:val="12"/>
                <w:szCs w:val="12"/>
                <w:color w:val="FFFFFF"/>
              </w:rPr>
              <w:t>Options 17%</w:t>
            </w:r>
          </w:p>
        </w:tc>
        <w:tc>
          <w:tcPr>
            <w:tcW w:w="2020" w:type="dxa"/>
            <w:vAlign w:val="bottom"/>
          </w:tcPr>
          <w:p>
            <w:pPr>
              <w:spacing w:after="0"/>
              <w:rPr>
                <w:sz w:val="24"/>
                <w:szCs w:val="24"/>
                <w:color w:val="auto"/>
              </w:rPr>
            </w:pPr>
          </w:p>
        </w:tc>
      </w:tr>
      <w:tr>
        <w:trPr>
          <w:trHeight w:val="426"/>
        </w:trPr>
        <w:tc>
          <w:tcPr>
            <w:tcW w:w="1100" w:type="dxa"/>
            <w:vAlign w:val="bottom"/>
          </w:tcPr>
          <w:p>
            <w:pPr>
              <w:spacing w:after="0"/>
              <w:rPr>
                <w:sz w:val="24"/>
                <w:szCs w:val="24"/>
                <w:color w:val="auto"/>
              </w:rPr>
            </w:pPr>
          </w:p>
        </w:tc>
        <w:tc>
          <w:tcPr>
            <w:tcW w:w="2020" w:type="dxa"/>
            <w:vAlign w:val="bottom"/>
          </w:tcPr>
          <w:p>
            <w:pPr>
              <w:jc w:val="center"/>
              <w:ind w:right="1091"/>
              <w:spacing w:after="0"/>
              <w:rPr>
                <w:sz w:val="20"/>
                <w:szCs w:val="20"/>
                <w:color w:val="auto"/>
              </w:rPr>
            </w:pPr>
            <w:r>
              <w:rPr>
                <w:rFonts w:ascii="Arial" w:cs="Arial" w:eastAsia="Arial" w:hAnsi="Arial"/>
                <w:sz w:val="12"/>
                <w:szCs w:val="12"/>
                <w:color w:val="FFFFFF"/>
              </w:rPr>
              <w:t>Performance</w:t>
            </w:r>
          </w:p>
        </w:tc>
      </w:tr>
      <w:tr>
        <w:trPr>
          <w:trHeight w:val="168"/>
        </w:trPr>
        <w:tc>
          <w:tcPr>
            <w:tcW w:w="1100" w:type="dxa"/>
            <w:vAlign w:val="bottom"/>
          </w:tcPr>
          <w:p>
            <w:pPr>
              <w:spacing w:after="0"/>
              <w:rPr>
                <w:sz w:val="20"/>
                <w:szCs w:val="20"/>
                <w:color w:val="auto"/>
              </w:rPr>
            </w:pPr>
            <w:r>
              <w:rPr>
                <w:rFonts w:ascii="Arial" w:cs="Arial" w:eastAsia="Arial" w:hAnsi="Arial"/>
                <w:sz w:val="12"/>
                <w:szCs w:val="12"/>
                <w:color w:val="FFFFFF"/>
              </w:rPr>
              <w:t>RSUs 17%</w:t>
            </w:r>
          </w:p>
        </w:tc>
        <w:tc>
          <w:tcPr>
            <w:tcW w:w="2020" w:type="dxa"/>
            <w:vAlign w:val="bottom"/>
          </w:tcPr>
          <w:p>
            <w:pPr>
              <w:jc w:val="center"/>
              <w:ind w:right="1071"/>
              <w:spacing w:after="0"/>
              <w:rPr>
                <w:sz w:val="20"/>
                <w:szCs w:val="20"/>
                <w:color w:val="auto"/>
              </w:rPr>
            </w:pPr>
            <w:r>
              <w:rPr>
                <w:rFonts w:ascii="Arial" w:cs="Arial" w:eastAsia="Arial" w:hAnsi="Arial"/>
                <w:sz w:val="12"/>
                <w:szCs w:val="12"/>
                <w:color w:val="FFFFFF"/>
              </w:rPr>
              <w:t>RSUs 35%</w:t>
            </w:r>
          </w:p>
        </w:tc>
      </w:tr>
    </w:tbl>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005298"/>
        </w:rPr>
        <w:t>2014 All Other NEOs Total Direct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60"/>
        <w:spacing w:after="0"/>
        <w:rPr>
          <w:sz w:val="20"/>
          <w:szCs w:val="20"/>
          <w:color w:val="auto"/>
        </w:rPr>
      </w:pPr>
      <w:r>
        <w:rPr>
          <w:rFonts w:ascii="Arial" w:cs="Arial" w:eastAsia="Arial" w:hAnsi="Arial"/>
          <w:sz w:val="12"/>
          <w:szCs w:val="12"/>
          <w:color w:val="FFFFFF"/>
        </w:rPr>
        <w:t>Annual</w:t>
      </w:r>
    </w:p>
    <w:p>
      <w:pPr>
        <w:spacing w:after="0" w:line="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2"/>
          <w:szCs w:val="12"/>
          <w:color w:val="FFFFFF"/>
        </w:rPr>
        <w:t>Incentive 21%</w:t>
      </w:r>
      <w:r>
        <w:rPr>
          <w:sz w:val="20"/>
          <w:szCs w:val="20"/>
          <w:color w:val="auto"/>
        </w:rPr>
        <w:tab/>
      </w:r>
      <w:r>
        <w:rPr>
          <w:rFonts w:ascii="Arial" w:cs="Arial" w:eastAsia="Arial" w:hAnsi="Arial"/>
          <w:sz w:val="13"/>
          <w:szCs w:val="13"/>
          <w:color w:val="FFFFFF"/>
        </w:rPr>
        <w:t>Base Salary</w:t>
      </w:r>
    </w:p>
    <w:p>
      <w:pPr>
        <w:spacing w:after="0" w:line="35" w:lineRule="exact"/>
        <w:rPr>
          <w:sz w:val="20"/>
          <w:szCs w:val="20"/>
          <w:color w:val="auto"/>
        </w:rPr>
      </w:pPr>
    </w:p>
    <w:p>
      <w:pPr>
        <w:ind w:left="2080"/>
        <w:spacing w:after="0"/>
        <w:rPr>
          <w:sz w:val="20"/>
          <w:szCs w:val="20"/>
          <w:color w:val="auto"/>
        </w:rPr>
      </w:pPr>
      <w:r>
        <w:rPr>
          <w:rFonts w:ascii="Arial" w:cs="Arial" w:eastAsia="Arial" w:hAnsi="Arial"/>
          <w:sz w:val="12"/>
          <w:szCs w:val="12"/>
          <w:color w:val="FFFFFF"/>
        </w:rPr>
        <w:t>33%</w:t>
      </w:r>
    </w:p>
    <w:p>
      <w:pPr>
        <w:spacing w:after="0" w:line="210" w:lineRule="exact"/>
        <w:rPr>
          <w:sz w:val="20"/>
          <w:szCs w:val="20"/>
          <w:color w:val="auto"/>
        </w:rPr>
      </w:pPr>
    </w:p>
    <w:p>
      <w:pPr>
        <w:sectPr>
          <w:pgSz w:w="11900" w:h="16838" w:orient="portrait"/>
          <w:cols w:equalWidth="0" w:num="2">
            <w:col w:w="4200" w:space="720"/>
            <w:col w:w="4719"/>
          </w:cols>
          <w:pgMar w:left="820" w:top="1282" w:right="1440" w:bottom="1440" w:gutter="0" w:footer="0" w:header="0"/>
          <w:type w:val="continuous"/>
        </w:sectPr>
      </w:pPr>
    </w:p>
    <w:p>
      <w:pPr>
        <w:spacing w:after="0" w:line="307" w:lineRule="exact"/>
        <w:rPr>
          <w:sz w:val="20"/>
          <w:szCs w:val="20"/>
          <w:color w:val="auto"/>
        </w:rPr>
      </w:pPr>
    </w:p>
    <w:p>
      <w:pPr>
        <w:ind w:left="1220"/>
        <w:spacing w:after="0"/>
        <w:tabs>
          <w:tab w:leader="none" w:pos="2080" w:val="left"/>
        </w:tabs>
        <w:rPr>
          <w:sz w:val="20"/>
          <w:szCs w:val="20"/>
          <w:color w:val="auto"/>
        </w:rPr>
      </w:pPr>
      <w:r>
        <w:rPr>
          <w:rFonts w:ascii="Arial" w:cs="Arial" w:eastAsia="Arial" w:hAnsi="Arial"/>
          <w:sz w:val="12"/>
          <w:szCs w:val="12"/>
          <w:color w:val="FFFFFF"/>
        </w:rPr>
        <w:t>Base Salary</w:t>
      </w:r>
      <w:r>
        <w:rPr>
          <w:sz w:val="20"/>
          <w:szCs w:val="20"/>
          <w:color w:val="auto"/>
        </w:rPr>
        <w:tab/>
      </w:r>
      <w:r>
        <w:rPr>
          <w:rFonts w:ascii="Arial" w:cs="Arial" w:eastAsia="Arial" w:hAnsi="Arial"/>
          <w:sz w:val="12"/>
          <w:szCs w:val="12"/>
          <w:color w:val="FFFFFF"/>
        </w:rPr>
        <w:t>Annual</w:t>
      </w:r>
    </w:p>
    <w:p>
      <w:pPr>
        <w:spacing w:after="0" w:line="5" w:lineRule="exact"/>
        <w:rPr>
          <w:sz w:val="20"/>
          <w:szCs w:val="20"/>
          <w:color w:val="auto"/>
        </w:rPr>
      </w:pPr>
    </w:p>
    <w:p>
      <w:pPr>
        <w:jc w:val="both"/>
        <w:ind w:left="1420"/>
        <w:spacing w:after="0"/>
        <w:tabs>
          <w:tab w:leader="none" w:pos="1880" w:val="left"/>
        </w:tabs>
        <w:rPr>
          <w:sz w:val="20"/>
          <w:szCs w:val="20"/>
          <w:color w:val="auto"/>
        </w:rPr>
      </w:pPr>
      <w:r>
        <w:rPr>
          <w:rFonts w:ascii="Arial" w:cs="Arial" w:eastAsia="Arial" w:hAnsi="Arial"/>
          <w:sz w:val="12"/>
          <w:szCs w:val="12"/>
          <w:color w:val="FFFFFF"/>
        </w:rPr>
        <w:t>16%</w:t>
      </w:r>
      <w:r>
        <w:rPr>
          <w:sz w:val="20"/>
          <w:szCs w:val="20"/>
          <w:color w:val="auto"/>
        </w:rPr>
        <w:tab/>
      </w:r>
      <w:r>
        <w:rPr>
          <w:rFonts w:ascii="Arial" w:cs="Arial" w:eastAsia="Arial" w:hAnsi="Arial"/>
          <w:sz w:val="12"/>
          <w:szCs w:val="12"/>
          <w:color w:val="FFFFFF"/>
        </w:rPr>
        <w:t>Incentive 15%</w:t>
      </w:r>
    </w:p>
    <w:p>
      <w:pPr>
        <w:spacing w:after="0" w:line="20" w:lineRule="exact"/>
        <w:rPr>
          <w:sz w:val="20"/>
          <w:szCs w:val="20"/>
          <w:color w:val="auto"/>
        </w:rPr>
      </w:pPr>
      <w:r>
        <w:rPr>
          <w:sz w:val="20"/>
          <w:szCs w:val="20"/>
          <w:color w:val="auto"/>
        </w:rPr>
        <w:br w:type="column"/>
      </w:r>
    </w:p>
    <w:p>
      <w:pPr>
        <w:jc w:val="right"/>
        <w:ind w:right="420"/>
        <w:spacing w:after="0"/>
        <w:rPr>
          <w:sz w:val="20"/>
          <w:szCs w:val="20"/>
          <w:color w:val="auto"/>
        </w:rPr>
      </w:pPr>
      <w:r>
        <w:rPr>
          <w:rFonts w:ascii="Arial" w:cs="Arial" w:eastAsia="Arial" w:hAnsi="Arial"/>
          <w:sz w:val="12"/>
          <w:szCs w:val="12"/>
          <w:color w:val="FFFFFF"/>
        </w:rPr>
        <w:t>Performance</w:t>
      </w:r>
    </w:p>
    <w:p>
      <w:pPr>
        <w:spacing w:after="0" w:line="5" w:lineRule="exact"/>
        <w:rPr>
          <w:sz w:val="20"/>
          <w:szCs w:val="20"/>
          <w:color w:val="auto"/>
        </w:rPr>
      </w:pPr>
    </w:p>
    <w:p>
      <w:pPr>
        <w:jc w:val="right"/>
        <w:ind w:right="460"/>
        <w:spacing w:after="0"/>
        <w:rPr>
          <w:sz w:val="20"/>
          <w:szCs w:val="20"/>
          <w:color w:val="auto"/>
        </w:rPr>
      </w:pPr>
      <w:r>
        <w:rPr>
          <w:rFonts w:ascii="Arial" w:cs="Arial" w:eastAsia="Arial" w:hAnsi="Arial"/>
          <w:sz w:val="12"/>
          <w:szCs w:val="12"/>
          <w:color w:val="FFFFFF"/>
        </w:rPr>
        <w:t>RSUs 23%</w:t>
      </w:r>
    </w:p>
    <w:p>
      <w:pPr>
        <w:spacing w:after="0" w:line="312" w:lineRule="exact"/>
        <w:rPr>
          <w:sz w:val="20"/>
          <w:szCs w:val="20"/>
          <w:color w:val="auto"/>
        </w:rPr>
      </w:pPr>
    </w:p>
    <w:p>
      <w:pPr>
        <w:ind w:left="2000"/>
        <w:spacing w:after="0"/>
        <w:rPr>
          <w:sz w:val="20"/>
          <w:szCs w:val="20"/>
          <w:color w:val="auto"/>
        </w:rPr>
      </w:pPr>
      <w:r>
        <w:rPr>
          <w:rFonts w:ascii="Arial" w:cs="Arial" w:eastAsia="Arial" w:hAnsi="Arial"/>
          <w:sz w:val="12"/>
          <w:szCs w:val="12"/>
          <w:color w:val="FFFFFF"/>
        </w:rPr>
        <w:t>Options</w:t>
      </w:r>
    </w:p>
    <w:p>
      <w:pPr>
        <w:spacing w:after="0" w:line="5"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5"/>
          <w:szCs w:val="15"/>
          <w:b w:val="1"/>
          <w:bCs w:val="1"/>
          <w:i w:val="1"/>
          <w:iCs w:val="1"/>
          <w:color w:val="005298"/>
        </w:rPr>
        <w:t>56% of NEO Pay is</w:t>
      </w:r>
      <w:r>
        <w:rPr>
          <w:sz w:val="20"/>
          <w:szCs w:val="20"/>
          <w:color w:val="auto"/>
        </w:rPr>
        <w:tab/>
      </w:r>
      <w:r>
        <w:rPr>
          <w:rFonts w:ascii="Arial" w:cs="Arial" w:eastAsia="Arial" w:hAnsi="Arial"/>
          <w:sz w:val="17"/>
          <w:szCs w:val="17"/>
          <w:color w:val="FFFFFF"/>
          <w:vertAlign w:val="superscript"/>
        </w:rPr>
        <w:t>12%</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5298"/>
        </w:rPr>
        <w:t>Performance Based</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color w:val="FFFFFF"/>
        </w:rPr>
        <w:t>RSUs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2"/>
          <w:szCs w:val="12"/>
          <w:color w:val="FFFFFF"/>
        </w:rPr>
        <w:t>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899"/>
        <w:spacing w:after="0"/>
        <w:rPr>
          <w:sz w:val="20"/>
          <w:szCs w:val="20"/>
          <w:color w:val="auto"/>
        </w:rPr>
      </w:pPr>
      <w:r>
        <w:rPr>
          <w:rFonts w:ascii="Arial" w:cs="Arial" w:eastAsia="Arial" w:hAnsi="Arial"/>
          <w:sz w:val="12"/>
          <w:szCs w:val="12"/>
          <w:color w:val="949CA1"/>
        </w:rPr>
        <w:t>9</w:t>
      </w:r>
    </w:p>
    <w:p>
      <w:pPr>
        <w:spacing w:after="0" w:line="200" w:lineRule="exact"/>
        <w:rPr>
          <w:sz w:val="20"/>
          <w:szCs w:val="20"/>
          <w:color w:val="auto"/>
        </w:rPr>
      </w:pPr>
    </w:p>
    <w:p>
      <w:pPr>
        <w:sectPr>
          <w:pgSz w:w="11900" w:h="16838" w:orient="portrait"/>
          <w:cols w:equalWidth="0" w:num="3">
            <w:col w:w="3720" w:space="720"/>
            <w:col w:w="2420" w:space="140"/>
            <w:col w:w="2639"/>
          </w:cols>
          <w:pgMar w:left="820" w:top="1282" w:right="1440" w:bottom="1440" w:gutter="0" w:footer="0" w:header="0"/>
          <w:type w:val="continuous"/>
        </w:sectPr>
      </w:pPr>
    </w:p>
    <w:p>
      <w:pPr>
        <w:spacing w:after="0" w:line="324" w:lineRule="exact"/>
        <w:rPr>
          <w:sz w:val="20"/>
          <w:szCs w:val="20"/>
          <w:color w:val="auto"/>
        </w:rPr>
      </w:pPr>
    </w:p>
    <w:p>
      <w:pPr>
        <w:ind w:left="320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39"/>
          </w:cols>
          <w:pgMar w:left="820" w:top="1282"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9"/>
          <w:szCs w:val="29"/>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25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8375" cy="4825365"/>
                    </a:xfrm>
                    <a:prstGeom prst="rect">
                      <a:avLst/>
                    </a:prstGeom>
                    <a:noFill/>
                  </pic:spPr>
                </pic:pic>
              </a:graphicData>
            </a:graphic>
          </wp:anchor>
        </w:drawing>
        <w:t>2014 Elements of Executive Compensation Program</w:t>
      </w:r>
    </w:p>
    <w:p>
      <w:pPr>
        <w:sectPr>
          <w:pgSz w:w="11900" w:h="16838" w:orient="portrait"/>
          <w:cols w:equalWidth="0" w:num="1">
            <w:col w:w="9639"/>
          </w:cols>
          <w:pgMar w:left="820" w:top="1221" w:right="1440" w:bottom="1440" w:gutter="0" w:footer="0" w:header="0"/>
        </w:sectPr>
      </w:pPr>
    </w:p>
    <w:p>
      <w:pPr>
        <w:spacing w:after="0" w:line="394" w:lineRule="exact"/>
        <w:rPr>
          <w:sz w:val="20"/>
          <w:szCs w:val="20"/>
          <w:color w:val="auto"/>
        </w:rPr>
      </w:pPr>
    </w:p>
    <w:p>
      <w:pPr>
        <w:ind w:left="260"/>
        <w:spacing w:after="0"/>
        <w:tabs>
          <w:tab w:leader="none" w:pos="2020" w:val="left"/>
        </w:tabs>
        <w:rPr>
          <w:sz w:val="20"/>
          <w:szCs w:val="20"/>
          <w:color w:val="auto"/>
        </w:rPr>
      </w:pPr>
      <w:r>
        <w:rPr>
          <w:rFonts w:ascii="Arial" w:cs="Arial" w:eastAsia="Arial" w:hAnsi="Arial"/>
          <w:sz w:val="15"/>
          <w:szCs w:val="15"/>
          <w:b w:val="1"/>
          <w:bCs w:val="1"/>
          <w:color w:val="1F497D"/>
        </w:rPr>
        <w:t>Element</w:t>
      </w:r>
      <w:r>
        <w:rPr>
          <w:sz w:val="20"/>
          <w:szCs w:val="20"/>
          <w:color w:val="auto"/>
        </w:rPr>
        <w:tab/>
      </w:r>
      <w:r>
        <w:rPr>
          <w:rFonts w:ascii="Arial" w:cs="Arial" w:eastAsia="Arial" w:hAnsi="Arial"/>
          <w:sz w:val="15"/>
          <w:szCs w:val="15"/>
          <w:b w:val="1"/>
          <w:bCs w:val="1"/>
          <w:color w:val="1F497D"/>
        </w:rPr>
        <w:t>Description / Characteristics</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1F497D"/>
        </w:rPr>
        <w:t>Primary Objectives</w:t>
      </w:r>
    </w:p>
    <w:p>
      <w:pPr>
        <w:spacing w:after="0" w:line="200" w:lineRule="exact"/>
        <w:rPr>
          <w:sz w:val="20"/>
          <w:szCs w:val="20"/>
          <w:color w:val="auto"/>
        </w:rPr>
      </w:pPr>
    </w:p>
    <w:p>
      <w:pPr>
        <w:sectPr>
          <w:pgSz w:w="11900" w:h="16838" w:orient="portrait"/>
          <w:cols w:equalWidth="0" w:num="2">
            <w:col w:w="5780" w:space="720"/>
            <w:col w:w="3139"/>
          </w:cols>
          <w:pgMar w:left="820" w:top="1221" w:right="1440" w:bottom="1440" w:gutter="0" w:footer="0" w:header="0"/>
          <w:type w:val="continuous"/>
        </w:sectPr>
      </w:pPr>
    </w:p>
    <w:p>
      <w:pPr>
        <w:spacing w:after="0" w:line="242"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497D"/>
        </w:rPr>
        <w:t>Base Salary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1F497D"/>
        </w:rPr>
        <w:t>Annual</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1F497D"/>
        </w:rPr>
        <w:t>Incentive</w:t>
      </w:r>
    </w:p>
    <w:p>
      <w:pPr>
        <w:spacing w:after="0" w:line="200" w:lineRule="exact"/>
        <w:rPr>
          <w:sz w:val="20"/>
          <w:szCs w:val="20"/>
          <w:color w:val="auto"/>
        </w:rPr>
      </w:pPr>
    </w:p>
    <w:p>
      <w:pPr>
        <w:spacing w:after="0" w:line="358" w:lineRule="exact"/>
        <w:rPr>
          <w:sz w:val="20"/>
          <w:szCs w:val="20"/>
          <w:color w:val="auto"/>
        </w:rPr>
      </w:pPr>
    </w:p>
    <w:p>
      <w:pPr>
        <w:ind w:left="260" w:right="100" w:hanging="60"/>
        <w:spacing w:after="0" w:line="330" w:lineRule="auto"/>
        <w:rPr>
          <w:sz w:val="20"/>
          <w:szCs w:val="20"/>
          <w:color w:val="auto"/>
        </w:rPr>
      </w:pPr>
      <w:r>
        <w:rPr>
          <w:rFonts w:ascii="Arial" w:cs="Arial" w:eastAsia="Arial" w:hAnsi="Arial"/>
          <w:sz w:val="14"/>
          <w:szCs w:val="14"/>
          <w:b w:val="1"/>
          <w:bCs w:val="1"/>
          <w:color w:val="1F497D"/>
        </w:rPr>
        <w:t>Long-Term Incentive</w:t>
      </w: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1F497D"/>
        </w:rPr>
        <w:t>Retirement</w:t>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1F497D"/>
        </w:rPr>
        <w:t>Benefits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1F497D"/>
        </w:rPr>
        <w:t>Other Benefits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05" w:hanging="205"/>
        <w:spacing w:after="0"/>
        <w:tabs>
          <w:tab w:leader="none" w:pos="205" w:val="left"/>
        </w:tabs>
        <w:numPr>
          <w:ilvl w:val="0"/>
          <w:numId w:val="12"/>
        </w:numPr>
        <w:rPr>
          <w:rFonts w:ascii="Arial" w:cs="Arial" w:eastAsia="Arial" w:hAnsi="Arial"/>
          <w:sz w:val="13"/>
          <w:szCs w:val="13"/>
          <w:color w:val="1F497D"/>
        </w:rPr>
      </w:pPr>
      <w:r>
        <w:rPr>
          <w:rFonts w:ascii="Arial" w:cs="Arial" w:eastAsia="Arial" w:hAnsi="Arial"/>
          <w:sz w:val="13"/>
          <w:szCs w:val="13"/>
          <w:color w:val="auto"/>
        </w:rPr>
        <w:t>Annual fixed cash compensation</w:t>
      </w:r>
    </w:p>
    <w:p>
      <w:pPr>
        <w:spacing w:after="0" w:line="200" w:lineRule="exact"/>
        <w:rPr>
          <w:rFonts w:ascii="Arial" w:cs="Arial" w:eastAsia="Arial" w:hAnsi="Arial"/>
          <w:sz w:val="13"/>
          <w:szCs w:val="13"/>
          <w:color w:val="1F497D"/>
        </w:rPr>
      </w:pPr>
    </w:p>
    <w:p>
      <w:pPr>
        <w:spacing w:after="0" w:line="366" w:lineRule="exact"/>
        <w:rPr>
          <w:rFonts w:ascii="Arial" w:cs="Arial" w:eastAsia="Arial" w:hAnsi="Arial"/>
          <w:sz w:val="13"/>
          <w:szCs w:val="13"/>
          <w:color w:val="1F497D"/>
        </w:rPr>
      </w:pPr>
    </w:p>
    <w:p>
      <w:pPr>
        <w:ind w:left="185" w:hanging="185"/>
        <w:spacing w:after="0"/>
        <w:tabs>
          <w:tab w:leader="none" w:pos="185" w:val="left"/>
        </w:tabs>
        <w:numPr>
          <w:ilvl w:val="0"/>
          <w:numId w:val="12"/>
        </w:numPr>
        <w:rPr>
          <w:rFonts w:ascii="Arial" w:cs="Arial" w:eastAsia="Arial" w:hAnsi="Arial"/>
          <w:sz w:val="13"/>
          <w:szCs w:val="13"/>
          <w:color w:val="1F497D"/>
        </w:rPr>
      </w:pPr>
      <w:r>
        <w:rPr>
          <w:rFonts w:ascii="Arial" w:cs="Arial" w:eastAsia="Arial" w:hAnsi="Arial"/>
          <w:sz w:val="13"/>
          <w:szCs w:val="13"/>
          <w:color w:val="auto"/>
        </w:rPr>
        <w:t>Cash-based compensation</w:t>
      </w:r>
    </w:p>
    <w:p>
      <w:pPr>
        <w:spacing w:after="0" w:line="55" w:lineRule="exact"/>
        <w:rPr>
          <w:rFonts w:ascii="Arial" w:cs="Arial" w:eastAsia="Arial" w:hAnsi="Arial"/>
          <w:sz w:val="13"/>
          <w:szCs w:val="13"/>
          <w:color w:val="1F497D"/>
        </w:rPr>
      </w:pPr>
    </w:p>
    <w:p>
      <w:pPr>
        <w:ind w:left="185" w:hanging="185"/>
        <w:spacing w:after="0"/>
        <w:tabs>
          <w:tab w:leader="none" w:pos="185" w:val="left"/>
        </w:tabs>
        <w:numPr>
          <w:ilvl w:val="0"/>
          <w:numId w:val="12"/>
        </w:numPr>
        <w:rPr>
          <w:rFonts w:ascii="Arial" w:cs="Arial" w:eastAsia="Arial" w:hAnsi="Arial"/>
          <w:sz w:val="12"/>
          <w:szCs w:val="12"/>
          <w:color w:val="1F497D"/>
        </w:rPr>
      </w:pPr>
      <w:r>
        <w:rPr>
          <w:rFonts w:ascii="Arial" w:cs="Arial" w:eastAsia="Arial" w:hAnsi="Arial"/>
          <w:sz w:val="12"/>
          <w:szCs w:val="12"/>
          <w:color w:val="auto"/>
        </w:rPr>
        <w:t>Based on a mix of financial, safety and individual goals</w:t>
      </w:r>
    </w:p>
    <w:p>
      <w:pPr>
        <w:spacing w:after="0" w:line="66" w:lineRule="exact"/>
        <w:rPr>
          <w:rFonts w:ascii="Arial" w:cs="Arial" w:eastAsia="Arial" w:hAnsi="Arial"/>
          <w:sz w:val="12"/>
          <w:szCs w:val="12"/>
          <w:color w:val="1F497D"/>
        </w:rPr>
      </w:pPr>
    </w:p>
    <w:p>
      <w:pPr>
        <w:ind w:left="185" w:hanging="185"/>
        <w:spacing w:after="0"/>
        <w:tabs>
          <w:tab w:leader="none" w:pos="185" w:val="left"/>
        </w:tabs>
        <w:numPr>
          <w:ilvl w:val="0"/>
          <w:numId w:val="12"/>
        </w:numPr>
        <w:rPr>
          <w:rFonts w:ascii="Arial" w:cs="Arial" w:eastAsia="Arial" w:hAnsi="Arial"/>
          <w:sz w:val="13"/>
          <w:szCs w:val="13"/>
          <w:color w:val="1F497D"/>
        </w:rPr>
      </w:pPr>
      <w:r>
        <w:rPr>
          <w:rFonts w:ascii="Arial" w:cs="Arial" w:eastAsia="Arial" w:hAnsi="Arial"/>
          <w:sz w:val="13"/>
          <w:szCs w:val="13"/>
          <w:color w:val="auto"/>
        </w:rPr>
        <w:t>100% performance-based</w:t>
      </w:r>
    </w:p>
    <w:p>
      <w:pPr>
        <w:spacing w:after="0" w:line="310" w:lineRule="exact"/>
        <w:rPr>
          <w:rFonts w:ascii="Arial" w:cs="Arial" w:eastAsia="Arial" w:hAnsi="Arial"/>
          <w:sz w:val="13"/>
          <w:szCs w:val="13"/>
          <w:color w:val="1F497D"/>
        </w:rPr>
      </w:pPr>
    </w:p>
    <w:p>
      <w:pPr>
        <w:ind w:left="185" w:hanging="185"/>
        <w:spacing w:after="0"/>
        <w:tabs>
          <w:tab w:leader="none" w:pos="185" w:val="left"/>
        </w:tabs>
        <w:numPr>
          <w:ilvl w:val="0"/>
          <w:numId w:val="12"/>
        </w:numPr>
        <w:rPr>
          <w:rFonts w:ascii="Arial" w:cs="Arial" w:eastAsia="Arial" w:hAnsi="Arial"/>
          <w:sz w:val="12"/>
          <w:szCs w:val="12"/>
          <w:color w:val="1F497D"/>
        </w:rPr>
      </w:pPr>
      <w:r>
        <w:rPr>
          <w:rFonts w:ascii="Arial" w:cs="Arial" w:eastAsia="Arial" w:hAnsi="Arial"/>
          <w:sz w:val="12"/>
          <w:szCs w:val="12"/>
          <w:color w:val="auto"/>
        </w:rPr>
        <w:t>Long-term (typically 3 years) stock-based compensation</w:t>
      </w:r>
    </w:p>
    <w:p>
      <w:pPr>
        <w:spacing w:after="0" w:line="66" w:lineRule="exact"/>
        <w:rPr>
          <w:rFonts w:ascii="Arial" w:cs="Arial" w:eastAsia="Arial" w:hAnsi="Arial"/>
          <w:sz w:val="12"/>
          <w:szCs w:val="12"/>
          <w:color w:val="1F497D"/>
        </w:rPr>
      </w:pPr>
    </w:p>
    <w:p>
      <w:pPr>
        <w:ind w:left="185" w:right="440" w:hanging="185"/>
        <w:spacing w:after="0" w:line="277" w:lineRule="auto"/>
        <w:tabs>
          <w:tab w:leader="none" w:pos="216" w:val="left"/>
        </w:tabs>
        <w:numPr>
          <w:ilvl w:val="0"/>
          <w:numId w:val="12"/>
        </w:numPr>
        <w:rPr>
          <w:rFonts w:ascii="Arial" w:cs="Arial" w:eastAsia="Arial" w:hAnsi="Arial"/>
          <w:sz w:val="13"/>
          <w:szCs w:val="13"/>
          <w:color w:val="1F497D"/>
        </w:rPr>
      </w:pPr>
      <w:r>
        <w:rPr>
          <w:rFonts w:ascii="Arial" w:cs="Arial" w:eastAsia="Arial" w:hAnsi="Arial"/>
          <w:sz w:val="13"/>
          <w:szCs w:val="13"/>
          <w:color w:val="auto"/>
        </w:rPr>
        <w:t>Mix of performance-based awards (performance restricted stock units and stock options) and time-based awards (restricted stock units)</w:t>
      </w:r>
    </w:p>
    <w:p>
      <w:pPr>
        <w:spacing w:after="0" w:line="188" w:lineRule="exact"/>
        <w:rPr>
          <w:rFonts w:ascii="Arial" w:cs="Arial" w:eastAsia="Arial" w:hAnsi="Arial"/>
          <w:sz w:val="13"/>
          <w:szCs w:val="13"/>
          <w:color w:val="1F497D"/>
        </w:rPr>
      </w:pPr>
    </w:p>
    <w:p>
      <w:pPr>
        <w:ind w:left="185" w:right="440" w:hanging="185"/>
        <w:spacing w:after="0" w:line="293" w:lineRule="auto"/>
        <w:tabs>
          <w:tab w:leader="none" w:pos="185" w:val="left"/>
        </w:tabs>
        <w:numPr>
          <w:ilvl w:val="0"/>
          <w:numId w:val="12"/>
        </w:numPr>
        <w:rPr>
          <w:rFonts w:ascii="Arial" w:cs="Arial" w:eastAsia="Arial" w:hAnsi="Arial"/>
          <w:sz w:val="13"/>
          <w:szCs w:val="13"/>
          <w:color w:val="1F497D"/>
        </w:rPr>
      </w:pPr>
      <w:r>
        <w:rPr>
          <w:rFonts w:ascii="Arial" w:cs="Arial" w:eastAsia="Arial" w:hAnsi="Arial"/>
          <w:sz w:val="13"/>
          <w:szCs w:val="13"/>
          <w:color w:val="auto"/>
        </w:rPr>
        <w:t>Defined benefit pension plan (closed to new participants in 2006; benefits to be frozen 12/31/15)</w:t>
      </w:r>
    </w:p>
    <w:p>
      <w:pPr>
        <w:spacing w:after="0" w:line="3" w:lineRule="exact"/>
        <w:rPr>
          <w:rFonts w:ascii="Arial" w:cs="Arial" w:eastAsia="Arial" w:hAnsi="Arial"/>
          <w:sz w:val="13"/>
          <w:szCs w:val="13"/>
          <w:color w:val="1F497D"/>
        </w:rPr>
      </w:pPr>
    </w:p>
    <w:p>
      <w:pPr>
        <w:ind w:left="205" w:hanging="205"/>
        <w:spacing w:after="0"/>
        <w:tabs>
          <w:tab w:leader="none" w:pos="205" w:val="left"/>
        </w:tabs>
        <w:numPr>
          <w:ilvl w:val="0"/>
          <w:numId w:val="12"/>
        </w:numPr>
        <w:rPr>
          <w:rFonts w:ascii="Arial" w:cs="Arial" w:eastAsia="Arial" w:hAnsi="Arial"/>
          <w:sz w:val="13"/>
          <w:szCs w:val="13"/>
          <w:color w:val="1F497D"/>
        </w:rPr>
      </w:pPr>
      <w:r>
        <w:rPr>
          <w:rFonts w:ascii="Arial" w:cs="Arial" w:eastAsia="Arial" w:hAnsi="Arial"/>
          <w:sz w:val="13"/>
          <w:szCs w:val="13"/>
          <w:color w:val="auto"/>
        </w:rPr>
        <w:t>401(k) plans</w:t>
      </w:r>
    </w:p>
    <w:p>
      <w:pPr>
        <w:spacing w:after="0" w:line="55" w:lineRule="exact"/>
        <w:rPr>
          <w:rFonts w:ascii="Arial" w:cs="Arial" w:eastAsia="Arial" w:hAnsi="Arial"/>
          <w:sz w:val="13"/>
          <w:szCs w:val="13"/>
          <w:color w:val="1F497D"/>
        </w:rPr>
      </w:pPr>
    </w:p>
    <w:p>
      <w:pPr>
        <w:ind w:left="205" w:hanging="205"/>
        <w:spacing w:after="0"/>
        <w:tabs>
          <w:tab w:leader="none" w:pos="205" w:val="left"/>
        </w:tabs>
        <w:numPr>
          <w:ilvl w:val="0"/>
          <w:numId w:val="12"/>
        </w:numPr>
        <w:rPr>
          <w:rFonts w:ascii="Arial" w:cs="Arial" w:eastAsia="Arial" w:hAnsi="Arial"/>
          <w:sz w:val="13"/>
          <w:szCs w:val="13"/>
          <w:color w:val="1F497D"/>
        </w:rPr>
      </w:pPr>
      <w:r>
        <w:rPr>
          <w:rFonts w:ascii="Arial" w:cs="Arial" w:eastAsia="Arial" w:hAnsi="Arial"/>
          <w:sz w:val="13"/>
          <w:szCs w:val="13"/>
          <w:color w:val="auto"/>
        </w:rPr>
        <w:t>Supplemental Executive Retirement Plan</w:t>
      </w:r>
    </w:p>
    <w:p>
      <w:pPr>
        <w:spacing w:after="0" w:line="208" w:lineRule="exact"/>
        <w:rPr>
          <w:rFonts w:ascii="Arial" w:cs="Arial" w:eastAsia="Arial" w:hAnsi="Arial"/>
          <w:sz w:val="13"/>
          <w:szCs w:val="13"/>
          <w:color w:val="1F497D"/>
        </w:rPr>
      </w:pPr>
    </w:p>
    <w:p>
      <w:pPr>
        <w:ind w:left="185" w:hanging="185"/>
        <w:spacing w:after="0"/>
        <w:tabs>
          <w:tab w:leader="none" w:pos="185" w:val="left"/>
        </w:tabs>
        <w:numPr>
          <w:ilvl w:val="0"/>
          <w:numId w:val="12"/>
        </w:numPr>
        <w:rPr>
          <w:rFonts w:ascii="Arial" w:cs="Arial" w:eastAsia="Arial" w:hAnsi="Arial"/>
          <w:sz w:val="13"/>
          <w:szCs w:val="13"/>
          <w:color w:val="1F497D"/>
        </w:rPr>
      </w:pPr>
      <w:r>
        <w:rPr>
          <w:rFonts w:ascii="Arial" w:cs="Arial" w:eastAsia="Arial" w:hAnsi="Arial"/>
          <w:sz w:val="13"/>
          <w:szCs w:val="13"/>
          <w:color w:val="auto"/>
        </w:rPr>
        <w:t>Financial planning and executive physical</w:t>
      </w:r>
    </w:p>
    <w:p>
      <w:pPr>
        <w:spacing w:after="0" w:line="55" w:lineRule="exact"/>
        <w:rPr>
          <w:rFonts w:ascii="Arial" w:cs="Arial" w:eastAsia="Arial" w:hAnsi="Arial"/>
          <w:sz w:val="13"/>
          <w:szCs w:val="13"/>
          <w:color w:val="1F497D"/>
        </w:rPr>
      </w:pPr>
    </w:p>
    <w:p>
      <w:pPr>
        <w:ind w:left="185" w:right="760" w:hanging="185"/>
        <w:spacing w:after="0" w:line="293" w:lineRule="auto"/>
        <w:tabs>
          <w:tab w:leader="none" w:pos="185" w:val="left"/>
        </w:tabs>
        <w:numPr>
          <w:ilvl w:val="0"/>
          <w:numId w:val="12"/>
        </w:numPr>
        <w:rPr>
          <w:rFonts w:ascii="Arial" w:cs="Arial" w:eastAsia="Arial" w:hAnsi="Arial"/>
          <w:sz w:val="13"/>
          <w:szCs w:val="13"/>
          <w:color w:val="1F497D"/>
        </w:rPr>
      </w:pPr>
      <w:r>
        <w:rPr>
          <w:rFonts w:ascii="Arial" w:cs="Arial" w:eastAsia="Arial" w:hAnsi="Arial"/>
          <w:sz w:val="13"/>
          <w:szCs w:val="13"/>
          <w:color w:val="auto"/>
        </w:rPr>
        <w:t>Company-subsidized medical; employee-paid dental, vision, disability and life insurance</w:t>
      </w:r>
    </w:p>
    <w:p>
      <w:pPr>
        <w:spacing w:after="0" w:line="3" w:lineRule="exact"/>
        <w:rPr>
          <w:rFonts w:ascii="Arial" w:cs="Arial" w:eastAsia="Arial" w:hAnsi="Arial"/>
          <w:sz w:val="13"/>
          <w:szCs w:val="13"/>
          <w:color w:val="1F497D"/>
        </w:rPr>
      </w:pPr>
    </w:p>
    <w:p>
      <w:pPr>
        <w:ind w:left="185" w:hanging="185"/>
        <w:spacing w:after="0"/>
        <w:tabs>
          <w:tab w:leader="none" w:pos="185" w:val="left"/>
        </w:tabs>
        <w:numPr>
          <w:ilvl w:val="0"/>
          <w:numId w:val="12"/>
        </w:numPr>
        <w:rPr>
          <w:rFonts w:ascii="Arial" w:cs="Arial" w:eastAsia="Arial" w:hAnsi="Arial"/>
          <w:sz w:val="13"/>
          <w:szCs w:val="13"/>
          <w:color w:val="1F497D"/>
        </w:rPr>
      </w:pPr>
      <w:r>
        <w:rPr>
          <w:rFonts w:ascii="Arial" w:cs="Arial" w:eastAsia="Arial" w:hAnsi="Arial"/>
          <w:sz w:val="13"/>
          <w:szCs w:val="13"/>
          <w:color w:val="auto"/>
        </w:rPr>
        <w:t>Change-in-control agreements and severance plan</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20" w:hanging="216"/>
        <w:spacing w:after="0"/>
        <w:tabs>
          <w:tab w:leader="none" w:pos="220" w:val="left"/>
        </w:tabs>
        <w:numPr>
          <w:ilvl w:val="0"/>
          <w:numId w:val="13"/>
        </w:numPr>
        <w:rPr>
          <w:rFonts w:ascii="Arial" w:cs="Arial" w:eastAsia="Arial" w:hAnsi="Arial"/>
          <w:sz w:val="13"/>
          <w:szCs w:val="13"/>
          <w:color w:val="1F497D"/>
        </w:rPr>
      </w:pPr>
      <w:r>
        <w:rPr>
          <w:rFonts w:ascii="Arial" w:cs="Arial" w:eastAsia="Arial" w:hAnsi="Arial"/>
          <w:sz w:val="13"/>
          <w:szCs w:val="13"/>
          <w:color w:val="auto"/>
        </w:rPr>
        <w:t>Attract and retain qualified talent</w:t>
      </w:r>
    </w:p>
    <w:p>
      <w:pPr>
        <w:spacing w:after="0" w:line="200" w:lineRule="exact"/>
        <w:rPr>
          <w:rFonts w:ascii="Arial" w:cs="Arial" w:eastAsia="Arial" w:hAnsi="Arial"/>
          <w:sz w:val="13"/>
          <w:szCs w:val="13"/>
          <w:color w:val="1F497D"/>
        </w:rPr>
      </w:pPr>
    </w:p>
    <w:p>
      <w:pPr>
        <w:spacing w:after="0" w:line="200" w:lineRule="exact"/>
        <w:rPr>
          <w:rFonts w:ascii="Arial" w:cs="Arial" w:eastAsia="Arial" w:hAnsi="Arial"/>
          <w:sz w:val="13"/>
          <w:szCs w:val="13"/>
          <w:color w:val="1F497D"/>
        </w:rPr>
      </w:pPr>
    </w:p>
    <w:p>
      <w:pPr>
        <w:spacing w:after="0" w:line="370" w:lineRule="exact"/>
        <w:rPr>
          <w:rFonts w:ascii="Arial" w:cs="Arial" w:eastAsia="Arial" w:hAnsi="Arial"/>
          <w:sz w:val="13"/>
          <w:szCs w:val="13"/>
          <w:color w:val="1F497D"/>
        </w:rPr>
      </w:pPr>
    </w:p>
    <w:p>
      <w:pPr>
        <w:ind w:left="180" w:hanging="176"/>
        <w:spacing w:after="0"/>
        <w:tabs>
          <w:tab w:leader="none" w:pos="180" w:val="left"/>
        </w:tabs>
        <w:numPr>
          <w:ilvl w:val="0"/>
          <w:numId w:val="13"/>
        </w:numPr>
        <w:rPr>
          <w:rFonts w:ascii="Arial" w:cs="Arial" w:eastAsia="Arial" w:hAnsi="Arial"/>
          <w:sz w:val="13"/>
          <w:szCs w:val="13"/>
          <w:color w:val="1F497D"/>
        </w:rPr>
      </w:pPr>
      <w:r>
        <w:rPr>
          <w:rFonts w:ascii="Arial" w:cs="Arial" w:eastAsia="Arial" w:hAnsi="Arial"/>
          <w:sz w:val="13"/>
          <w:szCs w:val="13"/>
          <w:color w:val="auto"/>
        </w:rPr>
        <w:t>Incent/reward annual performance</w:t>
      </w:r>
    </w:p>
    <w:p>
      <w:pPr>
        <w:spacing w:after="0" w:line="200" w:lineRule="exact"/>
        <w:rPr>
          <w:rFonts w:ascii="Arial" w:cs="Arial" w:eastAsia="Arial" w:hAnsi="Arial"/>
          <w:sz w:val="13"/>
          <w:szCs w:val="13"/>
          <w:color w:val="1F497D"/>
        </w:rPr>
      </w:pPr>
    </w:p>
    <w:p>
      <w:pPr>
        <w:spacing w:after="0" w:line="397" w:lineRule="exact"/>
        <w:rPr>
          <w:rFonts w:ascii="Arial" w:cs="Arial" w:eastAsia="Arial" w:hAnsi="Arial"/>
          <w:sz w:val="13"/>
          <w:szCs w:val="13"/>
          <w:color w:val="1F497D"/>
        </w:rPr>
      </w:pPr>
    </w:p>
    <w:p>
      <w:pPr>
        <w:ind w:left="180" w:hanging="176"/>
        <w:spacing w:after="0"/>
        <w:tabs>
          <w:tab w:leader="none" w:pos="180" w:val="left"/>
        </w:tabs>
        <w:numPr>
          <w:ilvl w:val="0"/>
          <w:numId w:val="13"/>
        </w:numPr>
        <w:rPr>
          <w:rFonts w:ascii="Arial" w:cs="Arial" w:eastAsia="Arial" w:hAnsi="Arial"/>
          <w:sz w:val="13"/>
          <w:szCs w:val="13"/>
          <w:color w:val="1F497D"/>
        </w:rPr>
      </w:pPr>
      <w:r>
        <w:rPr>
          <w:rFonts w:ascii="Arial" w:cs="Arial" w:eastAsia="Arial" w:hAnsi="Arial"/>
          <w:sz w:val="13"/>
          <w:szCs w:val="13"/>
          <w:color w:val="auto"/>
        </w:rPr>
        <w:t>Incent/reward long-term performance</w:t>
      </w:r>
    </w:p>
    <w:p>
      <w:pPr>
        <w:spacing w:after="0" w:line="55" w:lineRule="exact"/>
        <w:rPr>
          <w:rFonts w:ascii="Arial" w:cs="Arial" w:eastAsia="Arial" w:hAnsi="Arial"/>
          <w:sz w:val="13"/>
          <w:szCs w:val="13"/>
          <w:color w:val="1F497D"/>
        </w:rPr>
      </w:pPr>
    </w:p>
    <w:p>
      <w:pPr>
        <w:ind w:left="180" w:right="1239" w:hanging="176"/>
        <w:spacing w:after="0" w:line="337" w:lineRule="auto"/>
        <w:tabs>
          <w:tab w:leader="none" w:pos="180" w:val="left"/>
        </w:tabs>
        <w:numPr>
          <w:ilvl w:val="0"/>
          <w:numId w:val="13"/>
        </w:numPr>
        <w:rPr>
          <w:rFonts w:ascii="Arial" w:cs="Arial" w:eastAsia="Arial" w:hAnsi="Arial"/>
          <w:sz w:val="12"/>
          <w:szCs w:val="12"/>
          <w:color w:val="1F497D"/>
        </w:rPr>
      </w:pPr>
      <w:r>
        <w:rPr>
          <w:rFonts w:ascii="Arial" w:cs="Arial" w:eastAsia="Arial" w:hAnsi="Arial"/>
          <w:sz w:val="12"/>
          <w:szCs w:val="12"/>
          <w:color w:val="auto"/>
        </w:rPr>
        <w:t>Align interest of executive with stockholders via opportunities to build stock ownership</w:t>
      </w:r>
    </w:p>
    <w:p>
      <w:pPr>
        <w:spacing w:after="0" w:line="200" w:lineRule="exact"/>
        <w:rPr>
          <w:rFonts w:ascii="Arial" w:cs="Arial" w:eastAsia="Arial" w:hAnsi="Arial"/>
          <w:sz w:val="12"/>
          <w:szCs w:val="12"/>
          <w:color w:val="1F497D"/>
        </w:rPr>
      </w:pPr>
    </w:p>
    <w:p>
      <w:pPr>
        <w:spacing w:after="0" w:line="240" w:lineRule="exact"/>
        <w:rPr>
          <w:rFonts w:ascii="Arial" w:cs="Arial" w:eastAsia="Arial" w:hAnsi="Arial"/>
          <w:sz w:val="12"/>
          <w:szCs w:val="12"/>
          <w:color w:val="1F497D"/>
        </w:rPr>
      </w:pPr>
    </w:p>
    <w:p>
      <w:pPr>
        <w:ind w:left="180" w:right="1359" w:hanging="176"/>
        <w:spacing w:after="0" w:line="337" w:lineRule="auto"/>
        <w:tabs>
          <w:tab w:leader="none" w:pos="180" w:val="left"/>
        </w:tabs>
        <w:numPr>
          <w:ilvl w:val="0"/>
          <w:numId w:val="13"/>
        </w:numPr>
        <w:rPr>
          <w:rFonts w:ascii="Arial" w:cs="Arial" w:eastAsia="Arial" w:hAnsi="Arial"/>
          <w:sz w:val="12"/>
          <w:szCs w:val="12"/>
          <w:color w:val="1F497D"/>
        </w:rPr>
      </w:pPr>
      <w:r>
        <w:rPr>
          <w:rFonts w:ascii="Arial" w:cs="Arial" w:eastAsia="Arial" w:hAnsi="Arial"/>
          <w:sz w:val="12"/>
          <w:szCs w:val="12"/>
          <w:color w:val="auto"/>
        </w:rPr>
        <w:t>Provide means for participants to build retirement savings over long B&amp;W careers</w:t>
      </w:r>
    </w:p>
    <w:p>
      <w:pPr>
        <w:spacing w:after="0" w:line="200" w:lineRule="exact"/>
        <w:rPr>
          <w:rFonts w:ascii="Arial" w:cs="Arial" w:eastAsia="Arial" w:hAnsi="Arial"/>
          <w:sz w:val="12"/>
          <w:szCs w:val="12"/>
          <w:color w:val="1F497D"/>
        </w:rPr>
      </w:pPr>
    </w:p>
    <w:p>
      <w:pPr>
        <w:spacing w:after="0" w:line="200" w:lineRule="exact"/>
        <w:rPr>
          <w:rFonts w:ascii="Arial" w:cs="Arial" w:eastAsia="Arial" w:hAnsi="Arial"/>
          <w:sz w:val="12"/>
          <w:szCs w:val="12"/>
          <w:color w:val="1F497D"/>
        </w:rPr>
      </w:pPr>
    </w:p>
    <w:p>
      <w:pPr>
        <w:spacing w:after="0" w:line="224" w:lineRule="exact"/>
        <w:rPr>
          <w:rFonts w:ascii="Arial" w:cs="Arial" w:eastAsia="Arial" w:hAnsi="Arial"/>
          <w:sz w:val="12"/>
          <w:szCs w:val="12"/>
          <w:color w:val="1F497D"/>
        </w:rPr>
      </w:pPr>
    </w:p>
    <w:p>
      <w:pPr>
        <w:ind w:left="180" w:hanging="176"/>
        <w:spacing w:after="0"/>
        <w:tabs>
          <w:tab w:leader="none" w:pos="180" w:val="left"/>
        </w:tabs>
        <w:numPr>
          <w:ilvl w:val="0"/>
          <w:numId w:val="13"/>
        </w:numPr>
        <w:rPr>
          <w:rFonts w:ascii="Arial" w:cs="Arial" w:eastAsia="Arial" w:hAnsi="Arial"/>
          <w:sz w:val="13"/>
          <w:szCs w:val="13"/>
          <w:color w:val="1F497D"/>
        </w:rPr>
      </w:pPr>
      <w:r>
        <w:rPr>
          <w:rFonts w:ascii="Arial" w:cs="Arial" w:eastAsia="Arial" w:hAnsi="Arial"/>
          <w:sz w:val="13"/>
          <w:szCs w:val="13"/>
          <w:color w:val="auto"/>
        </w:rPr>
        <w:t>Promote productivity and well being</w:t>
      </w:r>
    </w:p>
    <w:p>
      <w:pPr>
        <w:spacing w:after="0" w:line="200" w:lineRule="exact"/>
        <w:rPr>
          <w:sz w:val="20"/>
          <w:szCs w:val="20"/>
          <w:color w:val="auto"/>
        </w:rPr>
      </w:pPr>
    </w:p>
    <w:p>
      <w:pPr>
        <w:spacing w:after="0" w:line="282"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949CA1"/>
        </w:rPr>
        <w:t>10</w:t>
      </w:r>
    </w:p>
    <w:p>
      <w:pPr>
        <w:spacing w:after="0" w:line="200" w:lineRule="exact"/>
        <w:rPr>
          <w:sz w:val="20"/>
          <w:szCs w:val="20"/>
          <w:color w:val="auto"/>
        </w:rPr>
      </w:pPr>
    </w:p>
    <w:p>
      <w:pPr>
        <w:sectPr>
          <w:pgSz w:w="11900" w:h="16838" w:orient="portrait"/>
          <w:cols w:equalWidth="0" w:num="3">
            <w:col w:w="1040" w:space="295"/>
            <w:col w:w="3765" w:space="720"/>
            <w:col w:w="3819"/>
          </w:cols>
          <w:pgMar w:left="820" w:top="1221" w:right="1440" w:bottom="1440" w:gutter="0" w:footer="0" w:header="0"/>
          <w:type w:val="continuous"/>
        </w:sectPr>
      </w:pPr>
    </w:p>
    <w:p>
      <w:pPr>
        <w:spacing w:after="0" w:line="324" w:lineRule="exact"/>
        <w:rPr>
          <w:sz w:val="20"/>
          <w:szCs w:val="20"/>
          <w:color w:val="auto"/>
        </w:rPr>
      </w:pPr>
    </w:p>
    <w:p>
      <w:pPr>
        <w:ind w:left="320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39"/>
          </w:cols>
          <w:pgMar w:left="820" w:top="1221" w:right="1440" w:bottom="1440" w:gutter="0" w:footer="0" w:header="0"/>
          <w:type w:val="continuous"/>
        </w:sectPr>
      </w:pPr>
    </w:p>
    <w:bookmarkStart w:id="12" w:name="page13"/>
    <w:bookmarkEnd w:id="12"/>
    <w:p>
      <w:pPr>
        <w:ind w:right="1599"/>
        <w:spacing w:after="0" w:line="264" w:lineRule="auto"/>
        <w:rPr>
          <w:sz w:val="20"/>
          <w:szCs w:val="20"/>
          <w:color w:val="auto"/>
        </w:rPr>
      </w:pPr>
      <w:r>
        <w:rPr>
          <w:rFonts w:ascii="Arial" w:cs="Arial" w:eastAsia="Arial" w:hAnsi="Arial"/>
          <w:sz w:val="30"/>
          <w:szCs w:val="30"/>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25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8375" cy="4825365"/>
                    </a:xfrm>
                    <a:prstGeom prst="rect">
                      <a:avLst/>
                    </a:prstGeom>
                    <a:noFill/>
                  </pic:spPr>
                </pic:pic>
              </a:graphicData>
            </a:graphic>
          </wp:anchor>
        </w:drawing>
        <w:t>2014 Incentive Plan Structure Links Executive Compensation to Financial and Stock Performance</w:t>
      </w:r>
    </w:p>
    <w:p>
      <w:pPr>
        <w:sectPr>
          <w:pgSz w:w="11900" w:h="16838" w:orient="portrait"/>
          <w:cols w:equalWidth="0" w:num="1">
            <w:col w:w="9639"/>
          </w:cols>
          <w:pgMar w:left="820" w:top="1109" w:right="1440" w:bottom="1440" w:gutter="0" w:footer="0" w:header="0"/>
        </w:sectPr>
      </w:pPr>
    </w:p>
    <w:p>
      <w:pPr>
        <w:spacing w:after="0" w:line="148" w:lineRule="exact"/>
        <w:rPr>
          <w:sz w:val="20"/>
          <w:szCs w:val="20"/>
          <w:color w:val="auto"/>
        </w:rPr>
      </w:pPr>
    </w:p>
    <w:p>
      <w:pPr>
        <w:ind w:left="200"/>
        <w:spacing w:after="0"/>
        <w:tabs>
          <w:tab w:leader="none" w:pos="2260" w:val="left"/>
        </w:tabs>
        <w:rPr>
          <w:sz w:val="20"/>
          <w:szCs w:val="20"/>
          <w:color w:val="auto"/>
        </w:rPr>
      </w:pPr>
      <w:r>
        <w:rPr>
          <w:rFonts w:ascii="Arial" w:cs="Arial" w:eastAsia="Arial" w:hAnsi="Arial"/>
          <w:sz w:val="19"/>
          <w:szCs w:val="19"/>
          <w:b w:val="1"/>
          <w:bCs w:val="1"/>
          <w:color w:val="005298"/>
        </w:rPr>
        <w:t>Pay Element</w:t>
      </w:r>
      <w:r>
        <w:rPr>
          <w:sz w:val="20"/>
          <w:szCs w:val="20"/>
          <w:color w:val="auto"/>
        </w:rPr>
        <w:tab/>
      </w:r>
      <w:r>
        <w:rPr>
          <w:rFonts w:ascii="Arial" w:cs="Arial" w:eastAsia="Arial" w:hAnsi="Arial"/>
          <w:sz w:val="19"/>
          <w:szCs w:val="19"/>
          <w:b w:val="1"/>
          <w:bCs w:val="1"/>
          <w:color w:val="005298"/>
        </w:rPr>
        <w:t>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FFFFFF"/>
        </w:rPr>
        <w:t>Annual</w:t>
      </w:r>
    </w:p>
    <w:p>
      <w:pPr>
        <w:ind w:left="420"/>
        <w:spacing w:after="0" w:line="192" w:lineRule="auto"/>
        <w:tabs>
          <w:tab w:leader="none" w:pos="2620" w:val="left"/>
        </w:tabs>
        <w:rPr>
          <w:sz w:val="20"/>
          <w:szCs w:val="20"/>
          <w:color w:val="auto"/>
        </w:rPr>
      </w:pPr>
      <w:r>
        <w:rPr>
          <w:rFonts w:ascii="Arial" w:cs="Arial" w:eastAsia="Arial" w:hAnsi="Arial"/>
          <w:sz w:val="16"/>
          <w:szCs w:val="16"/>
          <w:b w:val="1"/>
          <w:bCs w:val="1"/>
          <w:color w:val="FFFFFF"/>
        </w:rPr>
        <w:t>Incentive</w:t>
      </w:r>
      <w:r>
        <w:rPr>
          <w:sz w:val="20"/>
          <w:szCs w:val="20"/>
          <w:color w:val="auto"/>
        </w:rPr>
        <w:tab/>
      </w:r>
      <w:r>
        <w:rPr>
          <w:rFonts w:ascii="Arial" w:cs="Arial" w:eastAsia="Arial" w:hAnsi="Arial"/>
          <w:sz w:val="33"/>
          <w:szCs w:val="33"/>
          <w:b w:val="1"/>
          <w:bCs w:val="1"/>
          <w:color w:val="auto"/>
          <w:vertAlign w:val="superscript"/>
        </w:rPr>
        <w:t>Cash</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005298"/>
        </w:rPr>
        <w:t>Performance Link</w:t>
      </w: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Operating Income</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(45% weighting)</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Annual ROIC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(25%)</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Individual (20%)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Safety Performance (10%)</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Pre-Set Measurable Goals</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Three-Year Average ROIC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79"/>
        <w:spacing w:after="0"/>
        <w:rPr>
          <w:sz w:val="20"/>
          <w:szCs w:val="20"/>
          <w:color w:val="auto"/>
        </w:rPr>
      </w:pPr>
      <w:r>
        <w:rPr>
          <w:rFonts w:ascii="Arial" w:cs="Arial" w:eastAsia="Arial" w:hAnsi="Arial"/>
          <w:sz w:val="15"/>
          <w:szCs w:val="15"/>
          <w:b w:val="1"/>
          <w:bCs w:val="1"/>
          <w:i w:val="1"/>
          <w:iCs w:val="1"/>
          <w:color w:val="005298"/>
        </w:rPr>
        <w:t>If Operating Income is</w:t>
      </w:r>
    </w:p>
    <w:p>
      <w:pPr>
        <w:spacing w:after="0" w:line="19" w:lineRule="exact"/>
        <w:rPr>
          <w:sz w:val="20"/>
          <w:szCs w:val="20"/>
          <w:color w:val="auto"/>
        </w:rPr>
      </w:pPr>
    </w:p>
    <w:p>
      <w:pPr>
        <w:jc w:val="center"/>
        <w:ind w:right="779"/>
        <w:spacing w:after="0"/>
        <w:rPr>
          <w:sz w:val="20"/>
          <w:szCs w:val="20"/>
          <w:color w:val="auto"/>
        </w:rPr>
      </w:pPr>
      <w:r>
        <w:rPr>
          <w:rFonts w:ascii="Arial" w:cs="Arial" w:eastAsia="Arial" w:hAnsi="Arial"/>
          <w:sz w:val="15"/>
          <w:szCs w:val="15"/>
          <w:b w:val="1"/>
          <w:bCs w:val="1"/>
          <w:i w:val="1"/>
          <w:iCs w:val="1"/>
          <w:color w:val="005298"/>
        </w:rPr>
        <w:t>not achieved at</w:t>
      </w:r>
    </w:p>
    <w:p>
      <w:pPr>
        <w:spacing w:after="0" w:line="12" w:lineRule="exact"/>
        <w:rPr>
          <w:sz w:val="20"/>
          <w:szCs w:val="20"/>
          <w:color w:val="auto"/>
        </w:rPr>
      </w:pPr>
    </w:p>
    <w:p>
      <w:pPr>
        <w:jc w:val="center"/>
        <w:ind w:right="779"/>
        <w:spacing w:after="0"/>
        <w:rPr>
          <w:sz w:val="20"/>
          <w:szCs w:val="20"/>
          <w:color w:val="auto"/>
        </w:rPr>
      </w:pPr>
      <w:r>
        <w:rPr>
          <w:rFonts w:ascii="Arial" w:cs="Arial" w:eastAsia="Arial" w:hAnsi="Arial"/>
          <w:sz w:val="15"/>
          <w:szCs w:val="15"/>
          <w:b w:val="1"/>
          <w:bCs w:val="1"/>
          <w:i w:val="1"/>
          <w:iCs w:val="1"/>
          <w:color w:val="005298"/>
        </w:rPr>
        <w:t>threshold performance,</w:t>
      </w:r>
    </w:p>
    <w:p>
      <w:pPr>
        <w:spacing w:after="0" w:line="12" w:lineRule="exact"/>
        <w:rPr>
          <w:sz w:val="20"/>
          <w:szCs w:val="20"/>
          <w:color w:val="auto"/>
        </w:rPr>
      </w:pPr>
    </w:p>
    <w:p>
      <w:pPr>
        <w:jc w:val="center"/>
        <w:ind w:right="779"/>
        <w:spacing w:after="0"/>
        <w:rPr>
          <w:sz w:val="20"/>
          <w:szCs w:val="20"/>
          <w:color w:val="auto"/>
        </w:rPr>
      </w:pPr>
      <w:r>
        <w:rPr>
          <w:rFonts w:ascii="Arial" w:cs="Arial" w:eastAsia="Arial" w:hAnsi="Arial"/>
          <w:sz w:val="15"/>
          <w:szCs w:val="15"/>
          <w:b w:val="1"/>
          <w:bCs w:val="1"/>
          <w:i w:val="1"/>
          <w:iCs w:val="1"/>
          <w:color w:val="005298"/>
        </w:rPr>
        <w:t>no bonus plan is paid</w:t>
      </w:r>
    </w:p>
    <w:p>
      <w:pPr>
        <w:spacing w:after="0" w:line="1139" w:lineRule="exact"/>
        <w:rPr>
          <w:sz w:val="20"/>
          <w:szCs w:val="20"/>
          <w:color w:val="auto"/>
        </w:rPr>
      </w:pPr>
    </w:p>
    <w:p>
      <w:pPr>
        <w:sectPr>
          <w:pgSz w:w="11900" w:h="16838" w:orient="portrait"/>
          <w:cols w:equalWidth="0" w:num="3">
            <w:col w:w="3720" w:space="720"/>
            <w:col w:w="2020" w:space="700"/>
            <w:col w:w="2479"/>
          </w:cols>
          <w:pgMar w:left="820" w:top="1109" w:right="1440" w:bottom="1440" w:gutter="0" w:footer="0" w:header="0"/>
          <w:type w:val="continuous"/>
        </w:sect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FFFFF"/>
        </w:rPr>
        <w:t>Long-Term</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FFFFF"/>
        </w:rPr>
        <w:t>Equity Based</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Incentives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b w:val="1"/>
          <w:bCs w:val="1"/>
          <w:color w:val="auto"/>
        </w:rPr>
        <w:t>Performance-Based RSUs</w:t>
      </w:r>
    </w:p>
    <w:p>
      <w:pPr>
        <w:spacing w:after="0" w:line="19" w:lineRule="exact"/>
        <w:rPr>
          <w:sz w:val="20"/>
          <w:szCs w:val="20"/>
          <w:color w:val="auto"/>
        </w:rPr>
      </w:pPr>
    </w:p>
    <w:p>
      <w:pPr>
        <w:jc w:val="center"/>
        <w:ind w:left="-19"/>
        <w:spacing w:after="0"/>
        <w:rPr>
          <w:sz w:val="20"/>
          <w:szCs w:val="20"/>
          <w:color w:val="auto"/>
        </w:rPr>
      </w:pPr>
      <w:r>
        <w:rPr>
          <w:rFonts w:ascii="Arial" w:cs="Arial" w:eastAsia="Arial" w:hAnsi="Arial"/>
          <w:sz w:val="16"/>
          <w:szCs w:val="16"/>
          <w:b w:val="1"/>
          <w:bCs w:val="1"/>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RSUs (25%)</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Stock Options (25%)</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3199"/>
        <w:spacing w:after="0"/>
        <w:rPr>
          <w:sz w:val="20"/>
          <w:szCs w:val="20"/>
          <w:color w:val="auto"/>
        </w:rPr>
      </w:pPr>
      <w:r>
        <w:rPr>
          <w:rFonts w:ascii="Arial" w:cs="Arial" w:eastAsia="Arial" w:hAnsi="Arial"/>
          <w:sz w:val="16"/>
          <w:szCs w:val="16"/>
          <w:b w:val="1"/>
          <w:bCs w:val="1"/>
          <w:color w:val="auto"/>
        </w:rPr>
        <w:t>Cumulative EPS (40%)</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3-Year Relative TSR (20%)</w:t>
      </w:r>
    </w:p>
    <w:p>
      <w:pPr>
        <w:spacing w:after="0" w:line="378" w:lineRule="exact"/>
        <w:rPr>
          <w:sz w:val="20"/>
          <w:szCs w:val="20"/>
          <w:color w:val="auto"/>
        </w:rPr>
      </w:pPr>
    </w:p>
    <w:p>
      <w:pPr>
        <w:jc w:val="center"/>
        <w:ind w:right="3199"/>
        <w:spacing w:after="0"/>
        <w:rPr>
          <w:sz w:val="20"/>
          <w:szCs w:val="20"/>
          <w:color w:val="auto"/>
        </w:rPr>
      </w:pPr>
      <w:r>
        <w:rPr>
          <w:rFonts w:ascii="Arial" w:cs="Arial" w:eastAsia="Arial" w:hAnsi="Arial"/>
          <w:sz w:val="16"/>
          <w:szCs w:val="16"/>
          <w:b w:val="1"/>
          <w:bCs w:val="1"/>
          <w:color w:val="auto"/>
        </w:rPr>
        <w:t>Long-Term Stock</w:t>
      </w:r>
    </w:p>
    <w:p>
      <w:pPr>
        <w:spacing w:after="0" w:line="30" w:lineRule="exact"/>
        <w:rPr>
          <w:sz w:val="20"/>
          <w:szCs w:val="20"/>
          <w:color w:val="auto"/>
        </w:rPr>
      </w:pPr>
    </w:p>
    <w:p>
      <w:pPr>
        <w:jc w:val="center"/>
        <w:ind w:right="3199"/>
        <w:spacing w:after="0"/>
        <w:rPr>
          <w:sz w:val="20"/>
          <w:szCs w:val="20"/>
          <w:color w:val="auto"/>
        </w:rPr>
      </w:pPr>
      <w:r>
        <w:rPr>
          <w:rFonts w:ascii="Arial" w:cs="Arial" w:eastAsia="Arial" w:hAnsi="Arial"/>
          <w:sz w:val="16"/>
          <w:szCs w:val="16"/>
          <w:b w:val="1"/>
          <w:bCs w:val="1"/>
          <w:color w:val="auto"/>
        </w:rPr>
        <w:t>Performance</w:t>
      </w:r>
    </w:p>
    <w:p>
      <w:pPr>
        <w:spacing w:after="0" w:line="282" w:lineRule="exact"/>
        <w:rPr>
          <w:sz w:val="20"/>
          <w:szCs w:val="20"/>
          <w:color w:val="auto"/>
        </w:rPr>
      </w:pPr>
    </w:p>
    <w:p>
      <w:pPr>
        <w:sectPr>
          <w:pgSz w:w="11900" w:h="16838" w:orient="portrait"/>
          <w:cols w:equalWidth="0" w:num="3">
            <w:col w:w="1280" w:space="560"/>
            <w:col w:w="2040" w:space="540"/>
            <w:col w:w="5219"/>
          </w:cols>
          <w:pgMar w:left="820" w:top="1109" w:right="1440" w:bottom="1440" w:gutter="0" w:footer="0" w:header="0"/>
          <w:type w:val="continuous"/>
        </w:sectPr>
      </w:pPr>
    </w:p>
    <w:p>
      <w:pPr>
        <w:spacing w:after="0" w:line="246"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949CA1"/>
        </w:rPr>
        <w:t>11</w:t>
      </w:r>
    </w:p>
    <w:p>
      <w:pPr>
        <w:spacing w:after="0" w:line="200" w:lineRule="exact"/>
        <w:rPr>
          <w:sz w:val="20"/>
          <w:szCs w:val="20"/>
          <w:color w:val="auto"/>
        </w:rPr>
      </w:pPr>
    </w:p>
    <w:p>
      <w:pPr>
        <w:spacing w:after="0" w:line="324" w:lineRule="exact"/>
        <w:rPr>
          <w:sz w:val="20"/>
          <w:szCs w:val="20"/>
          <w:color w:val="auto"/>
        </w:rPr>
      </w:pPr>
    </w:p>
    <w:p>
      <w:pPr>
        <w:ind w:left="320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39"/>
          </w:cols>
          <w:pgMar w:left="820" w:top="1109"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30"/>
          <w:szCs w:val="30"/>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8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8375" cy="4818380"/>
                    </a:xfrm>
                    <a:prstGeom prst="rect">
                      <a:avLst/>
                    </a:prstGeom>
                    <a:noFill/>
                  </pic:spPr>
                </pic:pic>
              </a:graphicData>
            </a:graphic>
          </wp:anchor>
        </w:drawing>
        <w:t>2014 Pay Outcomes Demonstrate Alignment with Performance</w:t>
      </w:r>
    </w:p>
    <w:p>
      <w:pPr>
        <w:spacing w:after="0" w:line="320" w:lineRule="exact"/>
        <w:rPr>
          <w:sz w:val="20"/>
          <w:szCs w:val="20"/>
          <w:color w:val="auto"/>
        </w:rPr>
      </w:pPr>
    </w:p>
    <w:p>
      <w:pPr>
        <w:ind w:left="420" w:right="1259"/>
        <w:spacing w:after="0" w:line="264" w:lineRule="auto"/>
        <w:rPr>
          <w:sz w:val="20"/>
          <w:szCs w:val="20"/>
          <w:color w:val="auto"/>
        </w:rPr>
      </w:pPr>
      <w:r>
        <w:rPr>
          <w:rFonts w:ascii="Arial" w:cs="Arial" w:eastAsia="Arial" w:hAnsi="Arial"/>
          <w:sz w:val="19"/>
          <w:szCs w:val="19"/>
          <w:color w:val="0065A4"/>
        </w:rPr>
        <w:t>CEO’s 2012-14 long-term performance share grant did not vest after three-year performance period ended 2014 when performance targets were not achieved</w:t>
      </w:r>
    </w:p>
    <w:p>
      <w:pPr>
        <w:spacing w:after="0" w:line="215" w:lineRule="exact"/>
        <w:rPr>
          <w:sz w:val="20"/>
          <w:szCs w:val="20"/>
          <w:color w:val="auto"/>
        </w:rPr>
      </w:pPr>
    </w:p>
    <w:p>
      <w:pPr>
        <w:ind w:left="420" w:right="959"/>
        <w:spacing w:after="0" w:line="275" w:lineRule="auto"/>
        <w:rPr>
          <w:sz w:val="20"/>
          <w:szCs w:val="20"/>
          <w:color w:val="auto"/>
        </w:rPr>
      </w:pPr>
      <w:r>
        <w:rPr>
          <w:rFonts w:ascii="Arial" w:cs="Arial" w:eastAsia="Arial" w:hAnsi="Arial"/>
          <w:sz w:val="19"/>
          <w:szCs w:val="19"/>
          <w:color w:val="0065A4"/>
        </w:rPr>
        <w:t>CEO’s 4-year vesting restricted stock, one-time sign-on grant (granted in 2012) is tracking in line with company’s lower stock price through 2014</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9"/>
          <w:szCs w:val="19"/>
          <w:color w:val="0065A4"/>
        </w:rPr>
        <w:t>Annual bonus pool does not fund if threshold financial metric (operating income) is not achieved</w:t>
      </w:r>
    </w:p>
    <w:p>
      <w:pPr>
        <w:spacing w:after="0" w:line="252" w:lineRule="exact"/>
        <w:rPr>
          <w:sz w:val="20"/>
          <w:szCs w:val="20"/>
          <w:color w:val="auto"/>
        </w:rPr>
      </w:pPr>
    </w:p>
    <w:p>
      <w:pPr>
        <w:ind w:left="420" w:right="1499"/>
        <w:spacing w:after="0" w:line="264" w:lineRule="auto"/>
        <w:rPr>
          <w:sz w:val="20"/>
          <w:szCs w:val="20"/>
          <w:color w:val="auto"/>
        </w:rPr>
      </w:pPr>
      <w:r>
        <w:rPr>
          <w:rFonts w:ascii="Arial" w:cs="Arial" w:eastAsia="Arial" w:hAnsi="Arial"/>
          <w:sz w:val="19"/>
          <w:szCs w:val="19"/>
          <w:color w:val="0065A4"/>
        </w:rPr>
        <w:t>Board has authority to apply negative discretion to the annual bonus program within 162m framework, and has used it historically including in 2014</w:t>
      </w:r>
    </w:p>
    <w:p>
      <w:pPr>
        <w:spacing w:after="0" w:line="205" w:lineRule="exact"/>
        <w:rPr>
          <w:sz w:val="20"/>
          <w:szCs w:val="20"/>
          <w:color w:val="auto"/>
        </w:rPr>
      </w:pPr>
    </w:p>
    <w:p>
      <w:pPr>
        <w:ind w:left="420" w:right="1299"/>
        <w:spacing w:after="0" w:line="264" w:lineRule="auto"/>
        <w:rPr>
          <w:sz w:val="20"/>
          <w:szCs w:val="20"/>
          <w:color w:val="auto"/>
        </w:rPr>
      </w:pPr>
      <w:r>
        <w:rPr>
          <w:rFonts w:ascii="Arial" w:cs="Arial" w:eastAsia="Arial" w:hAnsi="Arial"/>
          <w:sz w:val="19"/>
          <w:szCs w:val="19"/>
          <w:color w:val="0065A4"/>
        </w:rPr>
        <w:t>Performance targets were selected and set at challenging levels through rigorous process to reflect rapidly changing markets and company transformation</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6"/>
          <w:szCs w:val="16"/>
          <w:color w:val="0065A4"/>
        </w:rPr>
        <w:t>Bottoms up process that starts with management teams</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6"/>
          <w:szCs w:val="16"/>
          <w:color w:val="0065A4"/>
        </w:rPr>
        <w:t>Top down review by senior management and Board to create challenging targets</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6"/>
          <w:szCs w:val="16"/>
          <w:color w:val="0065A4"/>
        </w:rPr>
        <w:t>Process is aligned and benchmarked with peer group plan structure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79"/>
        <w:spacing w:after="0" w:line="305" w:lineRule="auto"/>
        <w:rPr>
          <w:sz w:val="20"/>
          <w:szCs w:val="20"/>
          <w:color w:val="auto"/>
        </w:rPr>
      </w:pPr>
      <w:r>
        <w:rPr>
          <w:rFonts w:ascii="Arial" w:cs="Arial" w:eastAsia="Arial" w:hAnsi="Arial"/>
          <w:sz w:val="17"/>
          <w:szCs w:val="17"/>
          <w:b w:val="1"/>
          <w:bCs w:val="1"/>
          <w:i w:val="1"/>
          <w:iCs w:val="1"/>
          <w:color w:val="FFFFFF"/>
        </w:rPr>
        <w:t>2012-14 Long-Term Equity Grants Paid Out at Zero After Missing 3-Year Performance Targets on Average ROIC and Cumulative Adjusted EPS</w:t>
      </w:r>
    </w:p>
    <w:p>
      <w:pPr>
        <w:spacing w:after="0" w:line="224"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949CA1"/>
        </w:rPr>
        <w:t>12</w:t>
      </w:r>
    </w:p>
    <w:p>
      <w:pPr>
        <w:spacing w:after="0" w:line="200" w:lineRule="exact"/>
        <w:rPr>
          <w:sz w:val="20"/>
          <w:szCs w:val="20"/>
          <w:color w:val="auto"/>
        </w:rPr>
      </w:pPr>
    </w:p>
    <w:p>
      <w:pPr>
        <w:spacing w:after="0" w:line="324" w:lineRule="exact"/>
        <w:rPr>
          <w:sz w:val="20"/>
          <w:szCs w:val="20"/>
          <w:color w:val="auto"/>
        </w:rPr>
      </w:pPr>
    </w:p>
    <w:p>
      <w:pPr>
        <w:ind w:left="320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39"/>
          </w:cols>
          <w:pgMar w:left="820" w:top="1231" w:right="1440" w:bottom="1440" w:gutter="0" w:footer="0" w:header="0"/>
        </w:sectPr>
      </w:pPr>
    </w:p>
    <w:bookmarkStart w:id="14" w:name="page15"/>
    <w:bookmarkEnd w:id="14"/>
    <w:p>
      <w:pPr>
        <w:ind w:right="2059"/>
        <w:spacing w:after="0" w:line="274" w:lineRule="auto"/>
        <w:rPr>
          <w:sz w:val="20"/>
          <w:szCs w:val="20"/>
          <w:color w:val="auto"/>
        </w:rPr>
      </w:pPr>
      <w:r>
        <w:rPr>
          <w:rFonts w:ascii="Arial" w:cs="Arial" w:eastAsia="Arial" w:hAnsi="Arial"/>
          <w:sz w:val="29"/>
          <w:szCs w:val="29"/>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8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8375" cy="4818380"/>
                    </a:xfrm>
                    <a:prstGeom prst="rect">
                      <a:avLst/>
                    </a:prstGeom>
                    <a:noFill/>
                  </pic:spPr>
                </pic:pic>
              </a:graphicData>
            </a:graphic>
          </wp:anchor>
        </w:drawing>
        <w:t>Thorough Process for Setting Compensation that Reflects Challenging Metrics and Rapidly Changing Market</w:t>
      </w:r>
    </w:p>
    <w:p>
      <w:pPr>
        <w:spacing w:after="0" w:line="56" w:lineRule="exact"/>
        <w:rPr>
          <w:sz w:val="20"/>
          <w:szCs w:val="20"/>
          <w:color w:val="auto"/>
        </w:rPr>
      </w:pPr>
    </w:p>
    <w:p>
      <w:pPr>
        <w:jc w:val="center"/>
        <w:ind w:right="799"/>
        <w:spacing w:after="0"/>
        <w:rPr>
          <w:sz w:val="20"/>
          <w:szCs w:val="20"/>
          <w:color w:val="auto"/>
        </w:rPr>
      </w:pPr>
      <w:r>
        <w:rPr>
          <w:rFonts w:ascii="Arial" w:cs="Arial" w:eastAsia="Arial" w:hAnsi="Arial"/>
          <w:sz w:val="17"/>
          <w:szCs w:val="17"/>
          <w:b w:val="1"/>
          <w:bCs w:val="1"/>
          <w:i w:val="1"/>
          <w:iCs w:val="1"/>
          <w:color w:val="FFFFFF"/>
        </w:rPr>
        <w:t>Compensation Levels are Benchmarked to Reasonably Sized Peers in Relevant Industries;</w:t>
      </w:r>
    </w:p>
    <w:p>
      <w:pPr>
        <w:spacing w:after="0" w:line="34" w:lineRule="exact"/>
        <w:rPr>
          <w:sz w:val="20"/>
          <w:szCs w:val="20"/>
          <w:color w:val="auto"/>
        </w:rPr>
      </w:pPr>
    </w:p>
    <w:p>
      <w:pPr>
        <w:jc w:val="center"/>
        <w:ind w:right="879"/>
        <w:spacing w:after="0"/>
        <w:rPr>
          <w:sz w:val="20"/>
          <w:szCs w:val="20"/>
          <w:color w:val="auto"/>
        </w:rPr>
      </w:pPr>
      <w:r>
        <w:rPr>
          <w:rFonts w:ascii="Arial" w:cs="Arial" w:eastAsia="Arial" w:hAnsi="Arial"/>
          <w:sz w:val="17"/>
          <w:szCs w:val="17"/>
          <w:b w:val="1"/>
          <w:bCs w:val="1"/>
          <w:i w:val="1"/>
          <w:iCs w:val="1"/>
          <w:color w:val="FFFFFF"/>
        </w:rPr>
        <w:t>Significantly Larger Peers Are Used for Benchmarking Pay Practices,</w:t>
      </w:r>
    </w:p>
    <w:p>
      <w:pPr>
        <w:spacing w:after="0" w:line="14" w:lineRule="exact"/>
        <w:rPr>
          <w:sz w:val="20"/>
          <w:szCs w:val="20"/>
          <w:color w:val="auto"/>
        </w:rPr>
      </w:pPr>
    </w:p>
    <w:p>
      <w:pPr>
        <w:ind w:left="3120"/>
        <w:spacing w:after="0"/>
        <w:rPr>
          <w:sz w:val="20"/>
          <w:szCs w:val="20"/>
          <w:color w:val="auto"/>
        </w:rPr>
      </w:pPr>
      <w:r>
        <w:rPr>
          <w:rFonts w:ascii="Arial" w:cs="Arial" w:eastAsia="Arial" w:hAnsi="Arial"/>
          <w:sz w:val="17"/>
          <w:szCs w:val="17"/>
          <w:b w:val="1"/>
          <w:bCs w:val="1"/>
          <w:i w:val="1"/>
          <w:iCs w:val="1"/>
          <w:color w:val="FFFFFF"/>
        </w:rPr>
        <w:t>And Not For Setting Pay Levels</w:t>
      </w:r>
    </w:p>
    <w:p>
      <w:pPr>
        <w:spacing w:after="0" w:line="181" w:lineRule="exact"/>
        <w:rPr>
          <w:sz w:val="20"/>
          <w:szCs w:val="20"/>
          <w:color w:val="auto"/>
        </w:rPr>
      </w:pPr>
    </w:p>
    <w:p>
      <w:pPr>
        <w:ind w:left="2360"/>
        <w:spacing w:after="0"/>
        <w:rPr>
          <w:sz w:val="20"/>
          <w:szCs w:val="20"/>
          <w:color w:val="auto"/>
        </w:rPr>
      </w:pPr>
      <w:r>
        <w:rPr>
          <w:rFonts w:ascii="Arial" w:cs="Arial" w:eastAsia="Arial" w:hAnsi="Arial"/>
          <w:sz w:val="19"/>
          <w:szCs w:val="19"/>
          <w:b w:val="1"/>
          <w:bCs w:val="1"/>
          <w:color w:val="005298"/>
        </w:rPr>
        <w:t>Approach to Setting Executive Compensation</w:t>
      </w:r>
    </w:p>
    <w:p>
      <w:pPr>
        <w:spacing w:after="0" w:line="116" w:lineRule="exact"/>
        <w:rPr>
          <w:sz w:val="20"/>
          <w:szCs w:val="20"/>
          <w:color w:val="auto"/>
        </w:rPr>
      </w:pPr>
    </w:p>
    <w:p>
      <w:pPr>
        <w:ind w:left="300" w:hanging="193"/>
        <w:spacing w:after="0"/>
        <w:tabs>
          <w:tab w:leader="none" w:pos="300" w:val="left"/>
        </w:tabs>
        <w:numPr>
          <w:ilvl w:val="0"/>
          <w:numId w:val="14"/>
        </w:numPr>
        <w:rPr>
          <w:rFonts w:ascii="Arial" w:cs="Arial" w:eastAsia="Arial" w:hAnsi="Arial"/>
          <w:sz w:val="20"/>
          <w:szCs w:val="20"/>
          <w:color w:val="0065A4"/>
        </w:rPr>
      </w:pPr>
      <w:r>
        <w:rPr>
          <w:rFonts w:ascii="Arial" w:cs="Arial" w:eastAsia="Arial" w:hAnsi="Arial"/>
          <w:sz w:val="16"/>
          <w:szCs w:val="16"/>
          <w:b w:val="1"/>
          <w:bCs w:val="1"/>
          <w:color w:val="0065A4"/>
        </w:rPr>
        <w:t>Compensation Value – Broad Peer Group of 300 industrial companies</w:t>
      </w:r>
    </w:p>
    <w:p>
      <w:pPr>
        <w:spacing w:after="0" w:line="28" w:lineRule="exact"/>
        <w:rPr>
          <w:sz w:val="20"/>
          <w:szCs w:val="20"/>
          <w:color w:val="auto"/>
        </w:rPr>
      </w:pPr>
    </w:p>
    <w:p>
      <w:pPr>
        <w:ind w:left="720" w:right="1259"/>
        <w:spacing w:after="0" w:line="238" w:lineRule="auto"/>
        <w:rPr>
          <w:sz w:val="20"/>
          <w:szCs w:val="20"/>
          <w:color w:val="auto"/>
        </w:rPr>
      </w:pPr>
      <w:r>
        <w:rPr>
          <w:rFonts w:ascii="Arial" w:cs="Arial" w:eastAsia="Arial" w:hAnsi="Arial"/>
          <w:sz w:val="15"/>
          <w:szCs w:val="15"/>
          <w:color w:val="0065A4"/>
        </w:rPr>
        <w:t>Total direct compensation for NEOs targeted at median of a broadsurvey of over 300 general industrial companies Data is adjusted using regression analysis based on revenues to account for company size</w:t>
      </w:r>
    </w:p>
    <w:p>
      <w:pPr>
        <w:spacing w:after="0" w:line="3" w:lineRule="exact"/>
        <w:rPr>
          <w:sz w:val="20"/>
          <w:szCs w:val="20"/>
          <w:color w:val="auto"/>
        </w:rPr>
      </w:pPr>
    </w:p>
    <w:p>
      <w:pPr>
        <w:ind w:left="300" w:hanging="193"/>
        <w:spacing w:after="0"/>
        <w:tabs>
          <w:tab w:leader="none" w:pos="300" w:val="left"/>
        </w:tabs>
        <w:numPr>
          <w:ilvl w:val="0"/>
          <w:numId w:val="15"/>
        </w:numPr>
        <w:rPr>
          <w:rFonts w:ascii="Arial" w:cs="Arial" w:eastAsia="Arial" w:hAnsi="Arial"/>
          <w:sz w:val="20"/>
          <w:szCs w:val="20"/>
          <w:color w:val="0065A4"/>
        </w:rPr>
      </w:pPr>
      <w:r>
        <w:rPr>
          <w:rFonts w:ascii="Arial" w:cs="Arial" w:eastAsia="Arial" w:hAnsi="Arial"/>
          <w:sz w:val="16"/>
          <w:szCs w:val="16"/>
          <w:b w:val="1"/>
          <w:bCs w:val="1"/>
          <w:color w:val="0065A4"/>
        </w:rPr>
        <w:t>Compensation Structure – Custom Peer Group of 16 Companies</w:t>
      </w:r>
    </w:p>
    <w:p>
      <w:pPr>
        <w:spacing w:after="0" w:line="48" w:lineRule="exact"/>
        <w:rPr>
          <w:sz w:val="20"/>
          <w:szCs w:val="20"/>
          <w:color w:val="auto"/>
        </w:rPr>
      </w:pPr>
    </w:p>
    <w:p>
      <w:pPr>
        <w:ind w:left="720"/>
        <w:spacing w:after="0"/>
        <w:rPr>
          <w:sz w:val="20"/>
          <w:szCs w:val="20"/>
          <w:color w:val="auto"/>
        </w:rPr>
      </w:pPr>
      <w:r>
        <w:rPr>
          <w:rFonts w:ascii="Arial" w:cs="Arial" w:eastAsia="Arial" w:hAnsi="Arial"/>
          <w:sz w:val="15"/>
          <w:szCs w:val="15"/>
          <w:color w:val="0065A4"/>
        </w:rPr>
        <w:t>Supports decisions around pay design and metrics</w:t>
      </w:r>
    </w:p>
    <w:p>
      <w:pPr>
        <w:spacing w:after="0" w:line="12" w:lineRule="exact"/>
        <w:rPr>
          <w:sz w:val="20"/>
          <w:szCs w:val="20"/>
          <w:color w:val="auto"/>
        </w:rPr>
      </w:pPr>
    </w:p>
    <w:p>
      <w:pPr>
        <w:ind w:left="720"/>
        <w:spacing w:after="0"/>
        <w:rPr>
          <w:sz w:val="20"/>
          <w:szCs w:val="20"/>
          <w:color w:val="auto"/>
        </w:rPr>
      </w:pPr>
      <w:r>
        <w:rPr>
          <w:rFonts w:ascii="Arial" w:cs="Arial" w:eastAsia="Arial" w:hAnsi="Arial"/>
          <w:sz w:val="15"/>
          <w:szCs w:val="15"/>
          <w:color w:val="0065A4"/>
        </w:rPr>
        <w:t>Includes companies where we compete for talent in the engineering and construction, aerospace and defense, heavy</w:t>
      </w:r>
    </w:p>
    <w:p>
      <w:pPr>
        <w:spacing w:after="0" w:line="3" w:lineRule="exact"/>
        <w:rPr>
          <w:sz w:val="20"/>
          <w:szCs w:val="20"/>
          <w:color w:val="auto"/>
        </w:rPr>
      </w:pPr>
    </w:p>
    <w:p>
      <w:pPr>
        <w:ind w:left="720"/>
        <w:spacing w:after="0"/>
        <w:rPr>
          <w:sz w:val="20"/>
          <w:szCs w:val="20"/>
          <w:color w:val="auto"/>
        </w:rPr>
      </w:pPr>
      <w:r>
        <w:rPr>
          <w:rFonts w:ascii="Arial" w:cs="Arial" w:eastAsia="Arial" w:hAnsi="Arial"/>
          <w:sz w:val="15"/>
          <w:szCs w:val="15"/>
          <w:color w:val="0065A4"/>
        </w:rPr>
        <w:t>electrical equipment and industrial machinery industries</w:t>
      </w:r>
    </w:p>
    <w:p>
      <w:pPr>
        <w:ind w:left="720"/>
        <w:spacing w:after="0"/>
        <w:rPr>
          <w:sz w:val="20"/>
          <w:szCs w:val="20"/>
          <w:color w:val="auto"/>
        </w:rPr>
      </w:pPr>
      <w:r>
        <w:rPr>
          <w:rFonts w:ascii="Arial" w:cs="Arial" w:eastAsia="Arial" w:hAnsi="Arial"/>
          <w:sz w:val="15"/>
          <w:szCs w:val="15"/>
          <w:color w:val="0065A4"/>
        </w:rPr>
        <w:t>Reviewed peer group for 2014; two companies were removed due to higher revenue and/or market cap</w:t>
      </w:r>
    </w:p>
    <w:p>
      <w:pPr>
        <w:spacing w:after="0" w:line="257" w:lineRule="exact"/>
        <w:rPr>
          <w:sz w:val="20"/>
          <w:szCs w:val="20"/>
          <w:color w:val="auto"/>
        </w:rPr>
      </w:pPr>
    </w:p>
    <w:p>
      <w:pPr>
        <w:ind w:left="2880"/>
        <w:spacing w:after="0"/>
        <w:rPr>
          <w:sz w:val="20"/>
          <w:szCs w:val="20"/>
          <w:color w:val="auto"/>
        </w:rPr>
      </w:pPr>
      <w:r>
        <w:rPr>
          <w:rFonts w:ascii="Arial" w:cs="Arial" w:eastAsia="Arial" w:hAnsi="Arial"/>
          <w:sz w:val="19"/>
          <w:szCs w:val="19"/>
          <w:b w:val="1"/>
          <w:bCs w:val="1"/>
          <w:color w:val="005298"/>
        </w:rPr>
        <w:t>Why We Choose Financial Metrics</w:t>
      </w:r>
    </w:p>
    <w:p>
      <w:pPr>
        <w:sectPr>
          <w:pgSz w:w="11900" w:h="16838" w:orient="portrait"/>
          <w:cols w:equalWidth="0" w:num="1">
            <w:col w:w="9639"/>
          </w:cols>
          <w:pgMar w:left="820" w:top="1129" w:right="1440" w:bottom="1440" w:gutter="0" w:footer="0" w:header="0"/>
        </w:sectPr>
      </w:pPr>
    </w:p>
    <w:p>
      <w:pPr>
        <w:spacing w:after="0" w:line="16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5298"/>
        </w:rPr>
        <w:t>Operating Income</w:t>
      </w:r>
    </w:p>
    <w:p>
      <w:pPr>
        <w:spacing w:after="0" w:line="50" w:lineRule="exact"/>
        <w:rPr>
          <w:sz w:val="20"/>
          <w:szCs w:val="20"/>
          <w:color w:val="auto"/>
        </w:rPr>
      </w:pPr>
    </w:p>
    <w:p>
      <w:pPr>
        <w:ind w:left="600" w:right="720"/>
        <w:spacing w:after="0" w:line="249" w:lineRule="auto"/>
        <w:rPr>
          <w:sz w:val="20"/>
          <w:szCs w:val="20"/>
          <w:color w:val="auto"/>
        </w:rPr>
      </w:pPr>
      <w:r>
        <w:rPr>
          <w:rFonts w:ascii="Arial" w:cs="Arial" w:eastAsia="Arial" w:hAnsi="Arial"/>
          <w:sz w:val="15"/>
          <w:szCs w:val="15"/>
          <w:color w:val="auto"/>
        </w:rPr>
        <w:t>Overall profitability of enterprise Aligned with share price movement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5298"/>
        </w:rPr>
        <w:t>Return on Invested Capital</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Maximum utilization of company assets</w:t>
      </w:r>
    </w:p>
    <w:p>
      <w:pPr>
        <w:ind w:left="100"/>
        <w:spacing w:after="0"/>
        <w:rPr>
          <w:sz w:val="20"/>
          <w:szCs w:val="20"/>
          <w:color w:val="auto"/>
        </w:rPr>
      </w:pPr>
      <w:r>
        <w:rPr>
          <w:rFonts w:ascii="Arial" w:cs="Arial" w:eastAsia="Arial" w:hAnsi="Arial"/>
          <w:sz w:val="16"/>
          <w:szCs w:val="16"/>
          <w:b w:val="1"/>
          <w:bCs w:val="1"/>
          <w:color w:val="005298"/>
        </w:rPr>
        <w:t>Cumulative Earnings per Share</w:t>
      </w:r>
    </w:p>
    <w:p>
      <w:pPr>
        <w:spacing w:after="0" w:line="20" w:lineRule="exact"/>
        <w:rPr>
          <w:sz w:val="20"/>
          <w:szCs w:val="20"/>
          <w:color w:val="auto"/>
        </w:rPr>
      </w:pPr>
    </w:p>
    <w:p>
      <w:pPr>
        <w:ind w:left="600" w:right="620"/>
        <w:spacing w:after="0" w:line="287" w:lineRule="auto"/>
        <w:rPr>
          <w:sz w:val="20"/>
          <w:szCs w:val="20"/>
          <w:color w:val="auto"/>
        </w:rPr>
      </w:pPr>
      <w:r>
        <w:rPr>
          <w:rFonts w:ascii="Arial" w:cs="Arial" w:eastAsia="Arial" w:hAnsi="Arial"/>
          <w:sz w:val="15"/>
          <w:szCs w:val="15"/>
          <w:color w:val="auto"/>
        </w:rPr>
        <w:t>Commonly used performance metric Correlation to stock price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05298"/>
        </w:rPr>
        <w:t>Total Shareholder Return</w:t>
      </w:r>
    </w:p>
    <w:p>
      <w:pPr>
        <w:spacing w:after="0" w:line="4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Prevalent performance measure</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Increases alignment with shareholders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Responsive to shareholder input on metric selection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005298"/>
        </w:rPr>
        <w:t>Metrics Benchmarked to Industry Peers</w:t>
      </w:r>
    </w:p>
    <w:p>
      <w:pPr>
        <w:spacing w:after="0" w:line="20" w:lineRule="exact"/>
        <w:rPr>
          <w:sz w:val="20"/>
          <w:szCs w:val="20"/>
          <w:color w:val="auto"/>
        </w:rPr>
      </w:pPr>
    </w:p>
    <w:p>
      <w:pPr>
        <w:ind w:left="500" w:right="979"/>
        <w:spacing w:after="0" w:line="273" w:lineRule="auto"/>
        <w:rPr>
          <w:sz w:val="20"/>
          <w:szCs w:val="20"/>
          <w:color w:val="auto"/>
        </w:rPr>
      </w:pPr>
      <w:r>
        <w:rPr>
          <w:rFonts w:ascii="Arial" w:cs="Arial" w:eastAsia="Arial" w:hAnsi="Arial"/>
          <w:sz w:val="15"/>
          <w:szCs w:val="15"/>
          <w:color w:val="auto"/>
        </w:rPr>
        <w:t>Metrics and process for setting goals are benchmarked against peer group practices</w:t>
      </w:r>
    </w:p>
    <w:p>
      <w:pPr>
        <w:spacing w:after="0" w:line="249"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949CA1"/>
        </w:rPr>
        <w:t>13</w:t>
      </w:r>
    </w:p>
    <w:p>
      <w:pPr>
        <w:spacing w:after="0" w:line="200" w:lineRule="exact"/>
        <w:rPr>
          <w:sz w:val="20"/>
          <w:szCs w:val="20"/>
          <w:color w:val="auto"/>
        </w:rPr>
      </w:pPr>
    </w:p>
    <w:p>
      <w:pPr>
        <w:sectPr>
          <w:pgSz w:w="11900" w:h="16838" w:orient="portrait"/>
          <w:cols w:equalWidth="0" w:num="2">
            <w:col w:w="3700" w:space="720"/>
            <w:col w:w="5219"/>
          </w:cols>
          <w:pgMar w:left="820" w:top="1129" w:right="1440" w:bottom="1440" w:gutter="0" w:footer="0" w:header="0"/>
          <w:type w:val="continuous"/>
        </w:sectPr>
      </w:pPr>
    </w:p>
    <w:p>
      <w:pPr>
        <w:spacing w:after="0" w:line="324" w:lineRule="exact"/>
        <w:rPr>
          <w:sz w:val="20"/>
          <w:szCs w:val="20"/>
          <w:color w:val="auto"/>
        </w:rPr>
      </w:pPr>
    </w:p>
    <w:p>
      <w:pPr>
        <w:ind w:left="320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39"/>
          </w:cols>
          <w:pgMar w:left="820" w:top="1129"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30"/>
          <w:szCs w:val="30"/>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25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8375" cy="4825365"/>
                    </a:xfrm>
                    <a:prstGeom prst="rect">
                      <a:avLst/>
                    </a:prstGeom>
                    <a:noFill/>
                  </pic:spPr>
                </pic:pic>
              </a:graphicData>
            </a:graphic>
          </wp:anchor>
        </w:drawing>
        <w:t>Executive Compensation Governance in Shareholders’ Interests</w:t>
      </w:r>
    </w:p>
    <w:p>
      <w:pPr>
        <w:spacing w:after="0" w:line="200" w:lineRule="exact"/>
        <w:rPr>
          <w:sz w:val="20"/>
          <w:szCs w:val="20"/>
          <w:color w:val="auto"/>
        </w:rPr>
      </w:pPr>
    </w:p>
    <w:p>
      <w:pPr>
        <w:spacing w:after="0" w:line="357" w:lineRule="exact"/>
        <w:rPr>
          <w:sz w:val="20"/>
          <w:szCs w:val="20"/>
          <w:color w:val="auto"/>
        </w:rPr>
      </w:pPr>
    </w:p>
    <w:p>
      <w:pPr>
        <w:ind w:left="640" w:hanging="431"/>
        <w:spacing w:after="0"/>
        <w:tabs>
          <w:tab w:leader="none" w:pos="640" w:val="left"/>
        </w:tabs>
        <w:numPr>
          <w:ilvl w:val="0"/>
          <w:numId w:val="16"/>
        </w:numPr>
        <w:rPr>
          <w:rFonts w:ascii="Arial" w:cs="Arial" w:eastAsia="Arial" w:hAnsi="Arial"/>
          <w:sz w:val="19"/>
          <w:szCs w:val="19"/>
          <w:b w:val="1"/>
          <w:bCs w:val="1"/>
          <w:color w:val="FFFFFF"/>
        </w:rPr>
      </w:pPr>
      <w:r>
        <w:rPr>
          <w:rFonts w:ascii="Arial" w:cs="Arial" w:eastAsia="Arial" w:hAnsi="Arial"/>
          <w:sz w:val="21"/>
          <w:szCs w:val="21"/>
          <w:color w:val="5C5C5C"/>
        </w:rPr>
        <w:t>Align pay with performance</w:t>
      </w:r>
    </w:p>
    <w:p>
      <w:pPr>
        <w:spacing w:after="0" w:line="280" w:lineRule="exact"/>
        <w:rPr>
          <w:sz w:val="20"/>
          <w:szCs w:val="20"/>
          <w:color w:val="auto"/>
        </w:rPr>
      </w:pPr>
    </w:p>
    <w:p>
      <w:pPr>
        <w:ind w:left="640" w:hanging="431"/>
        <w:spacing w:after="0"/>
        <w:tabs>
          <w:tab w:leader="none" w:pos="640" w:val="left"/>
        </w:tabs>
        <w:numPr>
          <w:ilvl w:val="0"/>
          <w:numId w:val="17"/>
        </w:numPr>
        <w:rPr>
          <w:rFonts w:ascii="Arial" w:cs="Arial" w:eastAsia="Arial" w:hAnsi="Arial"/>
          <w:sz w:val="19"/>
          <w:szCs w:val="19"/>
          <w:b w:val="1"/>
          <w:bCs w:val="1"/>
          <w:color w:val="FFFFFF"/>
        </w:rPr>
      </w:pPr>
      <w:r>
        <w:rPr>
          <w:rFonts w:ascii="Arial" w:cs="Arial" w:eastAsia="Arial" w:hAnsi="Arial"/>
          <w:sz w:val="21"/>
          <w:szCs w:val="21"/>
          <w:color w:val="5C5C5C"/>
        </w:rPr>
        <w:t>Strong stock ownership guidelines (5x base salary for CEO)</w:t>
      </w:r>
    </w:p>
    <w:p>
      <w:pPr>
        <w:spacing w:after="0" w:line="280" w:lineRule="exact"/>
        <w:rPr>
          <w:sz w:val="20"/>
          <w:szCs w:val="20"/>
          <w:color w:val="auto"/>
        </w:rPr>
      </w:pPr>
    </w:p>
    <w:p>
      <w:pPr>
        <w:ind w:left="640" w:hanging="431"/>
        <w:spacing w:after="0"/>
        <w:tabs>
          <w:tab w:leader="none" w:pos="640" w:val="left"/>
        </w:tabs>
        <w:numPr>
          <w:ilvl w:val="0"/>
          <w:numId w:val="18"/>
        </w:numPr>
        <w:rPr>
          <w:rFonts w:ascii="Arial" w:cs="Arial" w:eastAsia="Arial" w:hAnsi="Arial"/>
          <w:sz w:val="19"/>
          <w:szCs w:val="19"/>
          <w:b w:val="1"/>
          <w:bCs w:val="1"/>
          <w:color w:val="FFFFFF"/>
        </w:rPr>
      </w:pPr>
      <w:r>
        <w:rPr>
          <w:rFonts w:ascii="Arial" w:cs="Arial" w:eastAsia="Arial" w:hAnsi="Arial"/>
          <w:sz w:val="21"/>
          <w:szCs w:val="21"/>
          <w:color w:val="5C5C5C"/>
        </w:rPr>
        <w:t>Limited perquisites, each with direct business purpose</w:t>
      </w:r>
    </w:p>
    <w:p>
      <w:pPr>
        <w:spacing w:after="0" w:line="280" w:lineRule="exact"/>
        <w:rPr>
          <w:sz w:val="20"/>
          <w:szCs w:val="20"/>
          <w:color w:val="auto"/>
        </w:rPr>
      </w:pPr>
    </w:p>
    <w:p>
      <w:pPr>
        <w:ind w:left="640" w:hanging="431"/>
        <w:spacing w:after="0"/>
        <w:tabs>
          <w:tab w:leader="none" w:pos="640" w:val="left"/>
        </w:tabs>
        <w:numPr>
          <w:ilvl w:val="0"/>
          <w:numId w:val="19"/>
        </w:numPr>
        <w:rPr>
          <w:rFonts w:ascii="Arial" w:cs="Arial" w:eastAsia="Arial" w:hAnsi="Arial"/>
          <w:sz w:val="19"/>
          <w:szCs w:val="19"/>
          <w:b w:val="1"/>
          <w:bCs w:val="1"/>
          <w:color w:val="FFFFFF"/>
        </w:rPr>
      </w:pPr>
      <w:r>
        <w:rPr>
          <w:rFonts w:ascii="Arial" w:cs="Arial" w:eastAsia="Arial" w:hAnsi="Arial"/>
          <w:sz w:val="21"/>
          <w:szCs w:val="21"/>
          <w:color w:val="5C5C5C"/>
        </w:rPr>
        <w:t>Clawback provisions in annual and long-term incentive compensation</w:t>
      </w:r>
    </w:p>
    <w:p>
      <w:pPr>
        <w:spacing w:after="0" w:line="280" w:lineRule="exact"/>
        <w:rPr>
          <w:sz w:val="20"/>
          <w:szCs w:val="20"/>
          <w:color w:val="auto"/>
        </w:rPr>
      </w:pPr>
    </w:p>
    <w:p>
      <w:pPr>
        <w:ind w:left="640" w:hanging="431"/>
        <w:spacing w:after="0"/>
        <w:tabs>
          <w:tab w:leader="none" w:pos="640" w:val="left"/>
        </w:tabs>
        <w:numPr>
          <w:ilvl w:val="0"/>
          <w:numId w:val="20"/>
        </w:numPr>
        <w:rPr>
          <w:rFonts w:ascii="Arial" w:cs="Arial" w:eastAsia="Arial" w:hAnsi="Arial"/>
          <w:sz w:val="19"/>
          <w:szCs w:val="19"/>
          <w:b w:val="1"/>
          <w:bCs w:val="1"/>
          <w:color w:val="FFFFFF"/>
        </w:rPr>
      </w:pPr>
      <w:r>
        <w:rPr>
          <w:rFonts w:ascii="Arial" w:cs="Arial" w:eastAsia="Arial" w:hAnsi="Arial"/>
          <w:sz w:val="21"/>
          <w:szCs w:val="21"/>
          <w:color w:val="5C5C5C"/>
        </w:rPr>
        <w:t>Robust anti-hedging and pledging provisions</w:t>
      </w:r>
    </w:p>
    <w:p>
      <w:pPr>
        <w:spacing w:after="0" w:line="280" w:lineRule="exact"/>
        <w:rPr>
          <w:sz w:val="20"/>
          <w:szCs w:val="20"/>
          <w:color w:val="auto"/>
        </w:rPr>
      </w:pPr>
    </w:p>
    <w:p>
      <w:pPr>
        <w:ind w:left="640" w:right="1619" w:hanging="431"/>
        <w:spacing w:after="0" w:line="270" w:lineRule="auto"/>
        <w:tabs>
          <w:tab w:leader="none" w:pos="640" w:val="left"/>
        </w:tabs>
        <w:numPr>
          <w:ilvl w:val="0"/>
          <w:numId w:val="21"/>
        </w:numPr>
        <w:rPr>
          <w:rFonts w:ascii="Arial" w:cs="Arial" w:eastAsia="Arial" w:hAnsi="Arial"/>
          <w:sz w:val="19"/>
          <w:szCs w:val="19"/>
          <w:b w:val="1"/>
          <w:bCs w:val="1"/>
          <w:color w:val="FFFFFF"/>
        </w:rPr>
      </w:pPr>
      <w:r>
        <w:rPr>
          <w:rFonts w:ascii="Arial" w:cs="Arial" w:eastAsia="Arial" w:hAnsi="Arial"/>
          <w:sz w:val="21"/>
          <w:szCs w:val="21"/>
          <w:color w:val="5C5C5C"/>
        </w:rPr>
        <w:t>Double-trigger change-in-control severance arrangements for executives; with exception for broad-based employee stock program</w:t>
      </w:r>
    </w:p>
    <w:p>
      <w:pPr>
        <w:spacing w:after="0" w:line="213" w:lineRule="exact"/>
        <w:rPr>
          <w:sz w:val="20"/>
          <w:szCs w:val="20"/>
          <w:color w:val="auto"/>
        </w:rPr>
      </w:pPr>
    </w:p>
    <w:p>
      <w:pPr>
        <w:ind w:left="640" w:hanging="431"/>
        <w:spacing w:after="0"/>
        <w:tabs>
          <w:tab w:leader="none" w:pos="640" w:val="left"/>
        </w:tabs>
        <w:numPr>
          <w:ilvl w:val="0"/>
          <w:numId w:val="22"/>
        </w:numPr>
        <w:rPr>
          <w:rFonts w:ascii="Arial" w:cs="Arial" w:eastAsia="Arial" w:hAnsi="Arial"/>
          <w:sz w:val="19"/>
          <w:szCs w:val="19"/>
          <w:b w:val="1"/>
          <w:bCs w:val="1"/>
          <w:color w:val="FFFFFF"/>
        </w:rPr>
      </w:pPr>
      <w:r>
        <w:rPr>
          <w:rFonts w:ascii="Arial" w:cs="Arial" w:eastAsia="Arial" w:hAnsi="Arial"/>
          <w:sz w:val="21"/>
          <w:szCs w:val="21"/>
          <w:color w:val="5C5C5C"/>
        </w:rPr>
        <w:t>No tax gross-ups on change-in-control benefits</w:t>
      </w:r>
    </w:p>
    <w:p>
      <w:pPr>
        <w:spacing w:after="0" w:line="280" w:lineRule="exact"/>
        <w:rPr>
          <w:sz w:val="20"/>
          <w:szCs w:val="20"/>
          <w:color w:val="auto"/>
        </w:rPr>
      </w:pPr>
    </w:p>
    <w:p>
      <w:pPr>
        <w:ind w:left="640" w:hanging="431"/>
        <w:spacing w:after="0"/>
        <w:tabs>
          <w:tab w:leader="none" w:pos="640" w:val="left"/>
        </w:tabs>
        <w:numPr>
          <w:ilvl w:val="0"/>
          <w:numId w:val="23"/>
        </w:numPr>
        <w:rPr>
          <w:rFonts w:ascii="Arial" w:cs="Arial" w:eastAsia="Arial" w:hAnsi="Arial"/>
          <w:sz w:val="19"/>
          <w:szCs w:val="19"/>
          <w:b w:val="1"/>
          <w:bCs w:val="1"/>
          <w:color w:val="FFFFFF"/>
        </w:rPr>
      </w:pPr>
      <w:r>
        <w:rPr>
          <w:rFonts w:ascii="Arial" w:cs="Arial" w:eastAsia="Arial" w:hAnsi="Arial"/>
          <w:sz w:val="21"/>
          <w:szCs w:val="21"/>
          <w:color w:val="5C5C5C"/>
        </w:rPr>
        <w:t>Fully independent compensation committee and compensation consultant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949CA1"/>
        </w:rPr>
        <w:t>14</w:t>
      </w:r>
    </w:p>
    <w:p>
      <w:pPr>
        <w:spacing w:after="0" w:line="200" w:lineRule="exact"/>
        <w:rPr>
          <w:sz w:val="20"/>
          <w:szCs w:val="20"/>
          <w:color w:val="auto"/>
        </w:rPr>
      </w:pPr>
    </w:p>
    <w:p>
      <w:pPr>
        <w:spacing w:after="0" w:line="324" w:lineRule="exact"/>
        <w:rPr>
          <w:sz w:val="20"/>
          <w:szCs w:val="20"/>
          <w:color w:val="auto"/>
        </w:rPr>
      </w:pPr>
    </w:p>
    <w:p>
      <w:pPr>
        <w:ind w:left="322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59"/>
          </w:cols>
          <w:pgMar w:left="800" w:top="1242" w:right="1440" w:bottom="1440" w:gutter="0" w:footer="0" w:header="0"/>
        </w:sectPr>
      </w:pPr>
    </w:p>
    <w:bookmarkStart w:id="16" w:name="page17"/>
    <w:bookmarkEnd w:id="16"/>
    <w:p>
      <w:pPr>
        <w:spacing w:after="0"/>
        <w:rPr>
          <w:sz w:val="20"/>
          <w:szCs w:val="20"/>
          <w:color w:val="auto"/>
        </w:rPr>
      </w:pPr>
      <w:r>
        <w:rPr>
          <w:rFonts w:ascii="Arial" w:cs="Arial" w:eastAsia="Arial" w:hAnsi="Arial"/>
          <w:sz w:val="30"/>
          <w:szCs w:val="30"/>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25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8375" cy="4825365"/>
                    </a:xfrm>
                    <a:prstGeom prst="rect">
                      <a:avLst/>
                    </a:prstGeom>
                    <a:noFill/>
                  </pic:spPr>
                </pic:pic>
              </a:graphicData>
            </a:graphic>
          </wp:anchor>
        </w:drawing>
        <w:t>Highly Qualified, Independent Board and Sound Governance</w:t>
      </w:r>
    </w:p>
    <w:p>
      <w:pPr>
        <w:spacing w:after="0" w:line="200" w:lineRule="exact"/>
        <w:rPr>
          <w:sz w:val="20"/>
          <w:szCs w:val="20"/>
          <w:color w:val="auto"/>
        </w:rPr>
      </w:pPr>
    </w:p>
    <w:p>
      <w:pPr>
        <w:spacing w:after="0" w:line="241"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4100" w:type="dxa"/>
            <w:vAlign w:val="bottom"/>
          </w:tcPr>
          <w:p>
            <w:pPr>
              <w:jc w:val="right"/>
              <w:ind w:right="1662"/>
              <w:spacing w:after="0"/>
              <w:rPr>
                <w:sz w:val="20"/>
                <w:szCs w:val="20"/>
                <w:color w:val="auto"/>
              </w:rPr>
            </w:pPr>
            <w:r>
              <w:rPr>
                <w:rFonts w:ascii="Arial" w:cs="Arial" w:eastAsia="Arial" w:hAnsi="Arial"/>
                <w:sz w:val="16"/>
                <w:szCs w:val="16"/>
                <w:b w:val="1"/>
                <w:bCs w:val="1"/>
                <w:color w:val="005298"/>
              </w:rPr>
              <w:t>Majority of Board Independent</w:t>
            </w:r>
          </w:p>
        </w:tc>
        <w:tc>
          <w:tcPr>
            <w:tcW w:w="4020" w:type="dxa"/>
            <w:vAlign w:val="bottom"/>
          </w:tcPr>
          <w:p>
            <w:pPr>
              <w:ind w:left="820"/>
              <w:spacing w:after="0"/>
              <w:rPr>
                <w:sz w:val="20"/>
                <w:szCs w:val="20"/>
                <w:color w:val="auto"/>
              </w:rPr>
            </w:pPr>
            <w:r>
              <w:rPr>
                <w:rFonts w:ascii="Arial" w:cs="Arial" w:eastAsia="Arial" w:hAnsi="Arial"/>
                <w:sz w:val="16"/>
                <w:szCs w:val="16"/>
                <w:b w:val="1"/>
                <w:bCs w:val="1"/>
                <w:color w:val="005298"/>
              </w:rPr>
              <w:t>Key Governance Attributes</w:t>
            </w:r>
          </w:p>
        </w:tc>
      </w:tr>
      <w:tr>
        <w:trPr>
          <w:trHeight w:val="304"/>
        </w:trPr>
        <w:tc>
          <w:tcPr>
            <w:tcW w:w="4100" w:type="dxa"/>
            <w:vAlign w:val="bottom"/>
          </w:tcPr>
          <w:p>
            <w:pPr>
              <w:jc w:val="right"/>
              <w:spacing w:after="0"/>
              <w:rPr>
                <w:sz w:val="20"/>
                <w:szCs w:val="20"/>
                <w:color w:val="auto"/>
              </w:rPr>
            </w:pPr>
            <w:r>
              <w:rPr>
                <w:rFonts w:ascii="Arial" w:cs="Arial" w:eastAsia="Arial" w:hAnsi="Arial"/>
                <w:sz w:val="15"/>
                <w:szCs w:val="15"/>
                <w:color w:val="005298"/>
              </w:rPr>
              <w:t>1.</w:t>
            </w:r>
          </w:p>
        </w:tc>
        <w:tc>
          <w:tcPr>
            <w:tcW w:w="4020" w:type="dxa"/>
            <w:vAlign w:val="bottom"/>
          </w:tcPr>
          <w:p>
            <w:pPr>
              <w:ind w:left="60"/>
              <w:spacing w:after="0"/>
              <w:rPr>
                <w:sz w:val="20"/>
                <w:szCs w:val="20"/>
                <w:color w:val="auto"/>
              </w:rPr>
            </w:pPr>
            <w:r>
              <w:rPr>
                <w:rFonts w:ascii="Arial" w:cs="Arial" w:eastAsia="Arial" w:hAnsi="Arial"/>
                <w:sz w:val="15"/>
                <w:szCs w:val="15"/>
                <w:color w:val="005298"/>
              </w:rPr>
              <w:t>Focus on Board renewal, 3 new Directors over the past</w:t>
            </w:r>
          </w:p>
        </w:tc>
      </w:tr>
      <w:tr>
        <w:trPr>
          <w:trHeight w:val="185"/>
        </w:trPr>
        <w:tc>
          <w:tcPr>
            <w:tcW w:w="4100" w:type="dxa"/>
            <w:vAlign w:val="bottom"/>
          </w:tcPr>
          <w:p>
            <w:pPr>
              <w:spacing w:after="0"/>
              <w:rPr>
                <w:sz w:val="16"/>
                <w:szCs w:val="16"/>
                <w:color w:val="auto"/>
              </w:rPr>
            </w:pPr>
          </w:p>
        </w:tc>
        <w:tc>
          <w:tcPr>
            <w:tcW w:w="4020" w:type="dxa"/>
            <w:vAlign w:val="bottom"/>
          </w:tcPr>
          <w:p>
            <w:pPr>
              <w:ind w:left="60"/>
              <w:spacing w:after="0"/>
              <w:rPr>
                <w:sz w:val="20"/>
                <w:szCs w:val="20"/>
                <w:color w:val="auto"/>
              </w:rPr>
            </w:pPr>
            <w:r>
              <w:rPr>
                <w:rFonts w:ascii="Arial" w:cs="Arial" w:eastAsia="Arial" w:hAnsi="Arial"/>
                <w:sz w:val="15"/>
                <w:szCs w:val="15"/>
                <w:color w:val="005298"/>
              </w:rPr>
              <w:t>two years bringing fresh perspective to the boardroom</w:t>
            </w:r>
          </w:p>
        </w:tc>
      </w:tr>
      <w:tr>
        <w:trPr>
          <w:trHeight w:val="255"/>
        </w:trPr>
        <w:tc>
          <w:tcPr>
            <w:tcW w:w="4100" w:type="dxa"/>
            <w:vAlign w:val="bottom"/>
          </w:tcPr>
          <w:p>
            <w:pPr>
              <w:jc w:val="right"/>
              <w:spacing w:after="0"/>
              <w:rPr>
                <w:sz w:val="20"/>
                <w:szCs w:val="20"/>
                <w:color w:val="auto"/>
              </w:rPr>
            </w:pPr>
            <w:r>
              <w:rPr>
                <w:rFonts w:ascii="Arial" w:cs="Arial" w:eastAsia="Arial" w:hAnsi="Arial"/>
                <w:sz w:val="15"/>
                <w:szCs w:val="15"/>
                <w:color w:val="005298"/>
              </w:rPr>
              <w:t>2.</w:t>
            </w:r>
          </w:p>
        </w:tc>
        <w:tc>
          <w:tcPr>
            <w:tcW w:w="4020" w:type="dxa"/>
            <w:vAlign w:val="bottom"/>
          </w:tcPr>
          <w:p>
            <w:pPr>
              <w:ind w:left="60"/>
              <w:spacing w:after="0"/>
              <w:rPr>
                <w:sz w:val="20"/>
                <w:szCs w:val="20"/>
                <w:color w:val="auto"/>
              </w:rPr>
            </w:pPr>
            <w:r>
              <w:rPr>
                <w:rFonts w:ascii="Arial" w:cs="Arial" w:eastAsia="Arial" w:hAnsi="Arial"/>
                <w:sz w:val="15"/>
                <w:szCs w:val="15"/>
                <w:color w:val="005298"/>
              </w:rPr>
              <w:t>Strong Lead Independent Director provides additional</w:t>
            </w:r>
          </w:p>
        </w:tc>
      </w:tr>
      <w:tr>
        <w:trPr>
          <w:trHeight w:val="185"/>
        </w:trPr>
        <w:tc>
          <w:tcPr>
            <w:tcW w:w="4100" w:type="dxa"/>
            <w:vAlign w:val="bottom"/>
          </w:tcPr>
          <w:p>
            <w:pPr>
              <w:spacing w:after="0"/>
              <w:rPr>
                <w:sz w:val="16"/>
                <w:szCs w:val="16"/>
                <w:color w:val="auto"/>
              </w:rPr>
            </w:pPr>
          </w:p>
        </w:tc>
        <w:tc>
          <w:tcPr>
            <w:tcW w:w="4020" w:type="dxa"/>
            <w:vAlign w:val="bottom"/>
          </w:tcPr>
          <w:p>
            <w:pPr>
              <w:ind w:left="60"/>
              <w:spacing w:after="0"/>
              <w:rPr>
                <w:sz w:val="20"/>
                <w:szCs w:val="20"/>
                <w:color w:val="auto"/>
              </w:rPr>
            </w:pPr>
            <w:r>
              <w:rPr>
                <w:rFonts w:ascii="Arial" w:cs="Arial" w:eastAsia="Arial" w:hAnsi="Arial"/>
                <w:sz w:val="15"/>
                <w:szCs w:val="15"/>
                <w:color w:val="005298"/>
              </w:rPr>
              <w:t>independent oversight through a range of responsibilities</w:t>
            </w:r>
          </w:p>
        </w:tc>
      </w:tr>
      <w:tr>
        <w:trPr>
          <w:trHeight w:val="255"/>
        </w:trPr>
        <w:tc>
          <w:tcPr>
            <w:tcW w:w="4100" w:type="dxa"/>
            <w:vAlign w:val="bottom"/>
          </w:tcPr>
          <w:p>
            <w:pPr>
              <w:jc w:val="right"/>
              <w:spacing w:after="0"/>
              <w:rPr>
                <w:sz w:val="20"/>
                <w:szCs w:val="20"/>
                <w:color w:val="auto"/>
              </w:rPr>
            </w:pPr>
            <w:r>
              <w:rPr>
                <w:rFonts w:ascii="Arial" w:cs="Arial" w:eastAsia="Arial" w:hAnsi="Arial"/>
                <w:sz w:val="15"/>
                <w:szCs w:val="15"/>
                <w:color w:val="005298"/>
              </w:rPr>
              <w:t>3.</w:t>
            </w:r>
          </w:p>
        </w:tc>
        <w:tc>
          <w:tcPr>
            <w:tcW w:w="4020" w:type="dxa"/>
            <w:vAlign w:val="bottom"/>
          </w:tcPr>
          <w:p>
            <w:pPr>
              <w:ind w:left="60"/>
              <w:spacing w:after="0"/>
              <w:rPr>
                <w:sz w:val="20"/>
                <w:szCs w:val="20"/>
                <w:color w:val="auto"/>
              </w:rPr>
            </w:pPr>
            <w:r>
              <w:rPr>
                <w:rFonts w:ascii="Arial" w:cs="Arial" w:eastAsia="Arial" w:hAnsi="Arial"/>
                <w:sz w:val="15"/>
                <w:szCs w:val="15"/>
                <w:color w:val="005298"/>
              </w:rPr>
              <w:t>All directors own stock in accordance with our ownership</w:t>
            </w:r>
          </w:p>
        </w:tc>
      </w:tr>
      <w:tr>
        <w:trPr>
          <w:trHeight w:val="185"/>
        </w:trPr>
        <w:tc>
          <w:tcPr>
            <w:tcW w:w="4100" w:type="dxa"/>
            <w:vAlign w:val="bottom"/>
          </w:tcPr>
          <w:p>
            <w:pPr>
              <w:spacing w:after="0"/>
              <w:rPr>
                <w:sz w:val="16"/>
                <w:szCs w:val="16"/>
                <w:color w:val="auto"/>
              </w:rPr>
            </w:pPr>
          </w:p>
        </w:tc>
        <w:tc>
          <w:tcPr>
            <w:tcW w:w="4020" w:type="dxa"/>
            <w:vAlign w:val="bottom"/>
          </w:tcPr>
          <w:p>
            <w:pPr>
              <w:ind w:left="60"/>
              <w:spacing w:after="0"/>
              <w:rPr>
                <w:sz w:val="20"/>
                <w:szCs w:val="20"/>
                <w:color w:val="auto"/>
              </w:rPr>
            </w:pPr>
            <w:r>
              <w:rPr>
                <w:rFonts w:ascii="Arial" w:cs="Arial" w:eastAsia="Arial" w:hAnsi="Arial"/>
                <w:sz w:val="15"/>
                <w:szCs w:val="15"/>
                <w:color w:val="005298"/>
              </w:rPr>
              <w:t>guidelines (5x annual base retainer)</w:t>
            </w:r>
          </w:p>
        </w:tc>
      </w:tr>
      <w:tr>
        <w:trPr>
          <w:trHeight w:val="265"/>
        </w:trPr>
        <w:tc>
          <w:tcPr>
            <w:tcW w:w="4100" w:type="dxa"/>
            <w:vAlign w:val="bottom"/>
          </w:tcPr>
          <w:p>
            <w:pPr>
              <w:jc w:val="right"/>
              <w:spacing w:after="0"/>
              <w:rPr>
                <w:sz w:val="20"/>
                <w:szCs w:val="20"/>
                <w:color w:val="auto"/>
              </w:rPr>
            </w:pPr>
            <w:r>
              <w:rPr>
                <w:rFonts w:ascii="Arial" w:cs="Arial" w:eastAsia="Arial" w:hAnsi="Arial"/>
                <w:sz w:val="15"/>
                <w:szCs w:val="15"/>
                <w:color w:val="005298"/>
              </w:rPr>
              <w:t>4.</w:t>
            </w:r>
          </w:p>
        </w:tc>
        <w:tc>
          <w:tcPr>
            <w:tcW w:w="4020" w:type="dxa"/>
            <w:vAlign w:val="bottom"/>
          </w:tcPr>
          <w:p>
            <w:pPr>
              <w:ind w:left="60"/>
              <w:spacing w:after="0"/>
              <w:rPr>
                <w:sz w:val="20"/>
                <w:szCs w:val="20"/>
                <w:color w:val="auto"/>
              </w:rPr>
            </w:pPr>
            <w:r>
              <w:rPr>
                <w:rFonts w:ascii="Arial" w:cs="Arial" w:eastAsia="Arial" w:hAnsi="Arial"/>
                <w:sz w:val="15"/>
                <w:szCs w:val="15"/>
                <w:color w:val="005298"/>
              </w:rPr>
              <w:t>Majority voting policy for the election of directors increases</w:t>
            </w:r>
          </w:p>
        </w:tc>
      </w:tr>
      <w:tr>
        <w:trPr>
          <w:trHeight w:val="185"/>
        </w:trPr>
        <w:tc>
          <w:tcPr>
            <w:tcW w:w="4100" w:type="dxa"/>
            <w:vAlign w:val="bottom"/>
          </w:tcPr>
          <w:p>
            <w:pPr>
              <w:spacing w:after="0"/>
              <w:rPr>
                <w:sz w:val="16"/>
                <w:szCs w:val="16"/>
                <w:color w:val="auto"/>
              </w:rPr>
            </w:pPr>
          </w:p>
        </w:tc>
        <w:tc>
          <w:tcPr>
            <w:tcW w:w="4020" w:type="dxa"/>
            <w:vAlign w:val="bottom"/>
          </w:tcPr>
          <w:p>
            <w:pPr>
              <w:ind w:left="60"/>
              <w:spacing w:after="0"/>
              <w:rPr>
                <w:sz w:val="20"/>
                <w:szCs w:val="20"/>
                <w:color w:val="auto"/>
              </w:rPr>
            </w:pPr>
            <w:r>
              <w:rPr>
                <w:rFonts w:ascii="Arial" w:cs="Arial" w:eastAsia="Arial" w:hAnsi="Arial"/>
                <w:sz w:val="15"/>
                <w:szCs w:val="15"/>
                <w:color w:val="005298"/>
              </w:rPr>
              <w:t>accountability to shareholders</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005298"/>
        </w:rPr>
        <w:t>Directors Have Powerful Combined Skill Set</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1980" w:type="dxa"/>
            <w:vAlign w:val="bottom"/>
            <w:vMerge w:val="restart"/>
          </w:tcPr>
          <w:p>
            <w:pPr>
              <w:jc w:val="right"/>
              <w:ind w:right="903"/>
              <w:spacing w:after="0"/>
              <w:rPr>
                <w:sz w:val="20"/>
                <w:szCs w:val="20"/>
                <w:color w:val="auto"/>
              </w:rPr>
            </w:pPr>
            <w:r>
              <w:rPr>
                <w:rFonts w:ascii="Arial" w:cs="Arial" w:eastAsia="Arial" w:hAnsi="Arial"/>
                <w:sz w:val="15"/>
                <w:szCs w:val="15"/>
                <w:b w:val="1"/>
                <w:bCs w:val="1"/>
                <w:color w:val="005298"/>
              </w:rPr>
              <w:t>M&amp;A</w:t>
            </w:r>
          </w:p>
        </w:tc>
        <w:tc>
          <w:tcPr>
            <w:tcW w:w="2280" w:type="dxa"/>
            <w:vAlign w:val="bottom"/>
          </w:tcPr>
          <w:p>
            <w:pPr>
              <w:jc w:val="center"/>
              <w:spacing w:after="0"/>
              <w:rPr>
                <w:sz w:val="20"/>
                <w:szCs w:val="20"/>
                <w:color w:val="auto"/>
              </w:rPr>
            </w:pPr>
            <w:r>
              <w:rPr>
                <w:rFonts w:ascii="Arial" w:cs="Arial" w:eastAsia="Arial" w:hAnsi="Arial"/>
                <w:sz w:val="15"/>
                <w:szCs w:val="15"/>
                <w:b w:val="1"/>
                <w:bCs w:val="1"/>
                <w:color w:val="005298"/>
              </w:rPr>
              <w:t>Nuclear Power / Fossil</w:t>
            </w:r>
          </w:p>
        </w:tc>
        <w:tc>
          <w:tcPr>
            <w:tcW w:w="2320" w:type="dxa"/>
            <w:vAlign w:val="bottom"/>
            <w:vMerge w:val="restart"/>
          </w:tcPr>
          <w:p>
            <w:pPr>
              <w:jc w:val="center"/>
              <w:spacing w:after="0"/>
              <w:rPr>
                <w:sz w:val="20"/>
                <w:szCs w:val="20"/>
                <w:color w:val="auto"/>
              </w:rPr>
            </w:pPr>
            <w:r>
              <w:rPr>
                <w:rFonts w:ascii="Arial" w:cs="Arial" w:eastAsia="Arial" w:hAnsi="Arial"/>
                <w:sz w:val="15"/>
                <w:szCs w:val="15"/>
                <w:b w:val="1"/>
                <w:bCs w:val="1"/>
                <w:color w:val="005298"/>
              </w:rPr>
              <w:t>Engineering</w:t>
            </w:r>
          </w:p>
        </w:tc>
        <w:tc>
          <w:tcPr>
            <w:tcW w:w="1720" w:type="dxa"/>
            <w:vAlign w:val="bottom"/>
          </w:tcPr>
          <w:p>
            <w:pPr>
              <w:jc w:val="center"/>
              <w:ind w:left="223"/>
              <w:spacing w:after="0"/>
              <w:rPr>
                <w:sz w:val="20"/>
                <w:szCs w:val="20"/>
                <w:color w:val="auto"/>
              </w:rPr>
            </w:pPr>
            <w:r>
              <w:rPr>
                <w:rFonts w:ascii="Arial" w:cs="Arial" w:eastAsia="Arial" w:hAnsi="Arial"/>
                <w:sz w:val="15"/>
                <w:szCs w:val="15"/>
                <w:b w:val="1"/>
                <w:bCs w:val="1"/>
                <w:color w:val="005298"/>
              </w:rPr>
              <w:t>Multinational</w:t>
            </w:r>
          </w:p>
        </w:tc>
        <w:tc>
          <w:tcPr>
            <w:tcW w:w="0" w:type="dxa"/>
            <w:vAlign w:val="bottom"/>
          </w:tcPr>
          <w:p>
            <w:pPr>
              <w:spacing w:after="0"/>
              <w:rPr>
                <w:sz w:val="1"/>
                <w:szCs w:val="1"/>
                <w:color w:val="auto"/>
              </w:rPr>
            </w:pPr>
          </w:p>
        </w:tc>
      </w:tr>
      <w:tr>
        <w:trPr>
          <w:trHeight w:val="111"/>
        </w:trPr>
        <w:tc>
          <w:tcPr>
            <w:tcW w:w="1980" w:type="dxa"/>
            <w:vAlign w:val="bottom"/>
            <w:vMerge w:val="continue"/>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5"/>
                <w:szCs w:val="15"/>
                <w:b w:val="1"/>
                <w:bCs w:val="1"/>
                <w:color w:val="005298"/>
              </w:rPr>
              <w:t>Fuel Generation</w:t>
            </w:r>
          </w:p>
        </w:tc>
        <w:tc>
          <w:tcPr>
            <w:tcW w:w="2320" w:type="dxa"/>
            <w:vAlign w:val="bottom"/>
            <w:vMerge w:val="continue"/>
          </w:tcPr>
          <w:p>
            <w:pPr>
              <w:spacing w:after="0"/>
              <w:rPr>
                <w:sz w:val="9"/>
                <w:szCs w:val="9"/>
                <w:color w:val="auto"/>
              </w:rPr>
            </w:pPr>
          </w:p>
        </w:tc>
        <w:tc>
          <w:tcPr>
            <w:tcW w:w="1720" w:type="dxa"/>
            <w:vAlign w:val="bottom"/>
            <w:vMerge w:val="restart"/>
          </w:tcPr>
          <w:p>
            <w:pPr>
              <w:jc w:val="center"/>
              <w:ind w:left="223"/>
              <w:spacing w:after="0"/>
              <w:rPr>
                <w:sz w:val="20"/>
                <w:szCs w:val="20"/>
                <w:color w:val="auto"/>
              </w:rPr>
            </w:pPr>
            <w:r>
              <w:rPr>
                <w:rFonts w:ascii="Arial" w:cs="Arial" w:eastAsia="Arial" w:hAnsi="Arial"/>
                <w:sz w:val="15"/>
                <w:szCs w:val="15"/>
                <w:b w:val="1"/>
                <w:bCs w:val="1"/>
                <w:color w:val="005298"/>
              </w:rPr>
              <w:t>Operations</w:t>
            </w:r>
          </w:p>
        </w:tc>
        <w:tc>
          <w:tcPr>
            <w:tcW w:w="0" w:type="dxa"/>
            <w:vAlign w:val="bottom"/>
          </w:tcPr>
          <w:p>
            <w:pPr>
              <w:spacing w:after="0"/>
              <w:rPr>
                <w:sz w:val="1"/>
                <w:szCs w:val="1"/>
                <w:color w:val="auto"/>
              </w:rPr>
            </w:pPr>
          </w:p>
        </w:tc>
      </w:tr>
      <w:tr>
        <w:trPr>
          <w:trHeight w:val="92"/>
        </w:trPr>
        <w:tc>
          <w:tcPr>
            <w:tcW w:w="198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232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1"/>
        </w:trPr>
        <w:tc>
          <w:tcPr>
            <w:tcW w:w="1980" w:type="dxa"/>
            <w:vAlign w:val="bottom"/>
          </w:tcPr>
          <w:p>
            <w:pPr>
              <w:jc w:val="right"/>
              <w:ind w:right="243"/>
              <w:spacing w:after="0"/>
              <w:rPr>
                <w:sz w:val="20"/>
                <w:szCs w:val="20"/>
                <w:color w:val="auto"/>
              </w:rPr>
            </w:pPr>
            <w:r>
              <w:rPr>
                <w:rFonts w:ascii="Arial" w:cs="Arial" w:eastAsia="Arial" w:hAnsi="Arial"/>
                <w:sz w:val="15"/>
                <w:szCs w:val="15"/>
                <w:b w:val="1"/>
                <w:bCs w:val="1"/>
                <w:color w:val="005298"/>
              </w:rPr>
              <w:t>Corporate Governance</w:t>
            </w:r>
          </w:p>
        </w:tc>
        <w:tc>
          <w:tcPr>
            <w:tcW w:w="2280" w:type="dxa"/>
            <w:vAlign w:val="bottom"/>
          </w:tcPr>
          <w:p>
            <w:pPr>
              <w:jc w:val="center"/>
              <w:spacing w:after="0"/>
              <w:rPr>
                <w:sz w:val="20"/>
                <w:szCs w:val="20"/>
                <w:color w:val="auto"/>
              </w:rPr>
            </w:pPr>
            <w:r>
              <w:rPr>
                <w:rFonts w:ascii="Arial" w:cs="Arial" w:eastAsia="Arial" w:hAnsi="Arial"/>
                <w:sz w:val="15"/>
                <w:szCs w:val="15"/>
                <w:b w:val="1"/>
                <w:bCs w:val="1"/>
                <w:color w:val="005298"/>
              </w:rPr>
              <w:t>Manufacturing</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005298"/>
              </w:rPr>
              <w:t>Former CEOs &amp; CFOs</w:t>
            </w:r>
          </w:p>
        </w:tc>
        <w:tc>
          <w:tcPr>
            <w:tcW w:w="1720" w:type="dxa"/>
            <w:vAlign w:val="bottom"/>
          </w:tcPr>
          <w:p>
            <w:pPr>
              <w:jc w:val="center"/>
              <w:ind w:left="243"/>
              <w:spacing w:after="0"/>
              <w:rPr>
                <w:sz w:val="20"/>
                <w:szCs w:val="20"/>
                <w:color w:val="auto"/>
              </w:rPr>
            </w:pPr>
            <w:r>
              <w:rPr>
                <w:rFonts w:ascii="Arial" w:cs="Arial" w:eastAsia="Arial" w:hAnsi="Arial"/>
                <w:sz w:val="15"/>
                <w:szCs w:val="15"/>
                <w:b w:val="1"/>
                <w:bCs w:val="1"/>
                <w:color w:val="005298"/>
              </w:rPr>
              <w:t>Utility Generation</w:t>
            </w:r>
          </w:p>
        </w:tc>
        <w:tc>
          <w:tcPr>
            <w:tcW w:w="0" w:type="dxa"/>
            <w:vAlign w:val="bottom"/>
          </w:tcPr>
          <w:p>
            <w:pPr>
              <w:spacing w:after="0"/>
              <w:rPr>
                <w:sz w:val="1"/>
                <w:szCs w:val="1"/>
                <w:color w:val="auto"/>
              </w:rPr>
            </w:pPr>
          </w:p>
        </w:tc>
      </w:tr>
      <w:tr>
        <w:trPr>
          <w:trHeight w:val="493"/>
        </w:trPr>
        <w:tc>
          <w:tcPr>
            <w:tcW w:w="1980" w:type="dxa"/>
            <w:vAlign w:val="bottom"/>
            <w:vMerge w:val="restart"/>
          </w:tcPr>
          <w:p>
            <w:pPr>
              <w:jc w:val="right"/>
              <w:ind w:right="903"/>
              <w:spacing w:after="0"/>
              <w:rPr>
                <w:sz w:val="20"/>
                <w:szCs w:val="20"/>
                <w:color w:val="auto"/>
              </w:rPr>
            </w:pPr>
            <w:r>
              <w:rPr>
                <w:rFonts w:ascii="Arial" w:cs="Arial" w:eastAsia="Arial" w:hAnsi="Arial"/>
                <w:sz w:val="15"/>
                <w:szCs w:val="15"/>
                <w:b w:val="1"/>
                <w:bCs w:val="1"/>
                <w:color w:val="005298"/>
              </w:rPr>
              <w:t>Legal</w:t>
            </w:r>
          </w:p>
        </w:tc>
        <w:tc>
          <w:tcPr>
            <w:tcW w:w="2280" w:type="dxa"/>
            <w:vAlign w:val="bottom"/>
            <w:vMerge w:val="restart"/>
          </w:tcPr>
          <w:p>
            <w:pPr>
              <w:jc w:val="center"/>
              <w:spacing w:after="0"/>
              <w:rPr>
                <w:sz w:val="20"/>
                <w:szCs w:val="20"/>
                <w:color w:val="auto"/>
              </w:rPr>
            </w:pPr>
            <w:r>
              <w:rPr>
                <w:rFonts w:ascii="Arial" w:cs="Arial" w:eastAsia="Arial" w:hAnsi="Arial"/>
                <w:sz w:val="15"/>
                <w:szCs w:val="15"/>
                <w:b w:val="1"/>
                <w:bCs w:val="1"/>
                <w:color w:val="005298"/>
              </w:rPr>
              <w:t>Audit</w:t>
            </w:r>
          </w:p>
        </w:tc>
        <w:tc>
          <w:tcPr>
            <w:tcW w:w="2320" w:type="dxa"/>
            <w:vAlign w:val="bottom"/>
            <w:vMerge w:val="restart"/>
          </w:tcPr>
          <w:p>
            <w:pPr>
              <w:jc w:val="center"/>
              <w:spacing w:after="0"/>
              <w:rPr>
                <w:sz w:val="20"/>
                <w:szCs w:val="20"/>
                <w:color w:val="auto"/>
              </w:rPr>
            </w:pPr>
            <w:r>
              <w:rPr>
                <w:rFonts w:ascii="Arial" w:cs="Arial" w:eastAsia="Arial" w:hAnsi="Arial"/>
                <w:sz w:val="16"/>
                <w:szCs w:val="16"/>
                <w:b w:val="1"/>
                <w:bCs w:val="1"/>
                <w:color w:val="005298"/>
              </w:rPr>
              <w:t>Corporate Strategy</w:t>
            </w:r>
          </w:p>
        </w:tc>
        <w:tc>
          <w:tcPr>
            <w:tcW w:w="1720" w:type="dxa"/>
            <w:vAlign w:val="bottom"/>
          </w:tcPr>
          <w:p>
            <w:pPr>
              <w:jc w:val="center"/>
              <w:ind w:left="223"/>
              <w:spacing w:after="0"/>
              <w:rPr>
                <w:sz w:val="20"/>
                <w:szCs w:val="20"/>
                <w:color w:val="auto"/>
              </w:rPr>
            </w:pPr>
            <w:r>
              <w:rPr>
                <w:rFonts w:ascii="Arial" w:cs="Arial" w:eastAsia="Arial" w:hAnsi="Arial"/>
                <w:sz w:val="15"/>
                <w:szCs w:val="15"/>
                <w:b w:val="1"/>
                <w:bCs w:val="1"/>
                <w:color w:val="005298"/>
              </w:rPr>
              <w:t>Government Sector</w:t>
            </w:r>
          </w:p>
        </w:tc>
        <w:tc>
          <w:tcPr>
            <w:tcW w:w="0" w:type="dxa"/>
            <w:vAlign w:val="bottom"/>
          </w:tcPr>
          <w:p>
            <w:pPr>
              <w:spacing w:after="0"/>
              <w:rPr>
                <w:sz w:val="1"/>
                <w:szCs w:val="1"/>
                <w:color w:val="auto"/>
              </w:rPr>
            </w:pPr>
          </w:p>
        </w:tc>
      </w:tr>
      <w:tr>
        <w:trPr>
          <w:trHeight w:val="113"/>
        </w:trPr>
        <w:tc>
          <w:tcPr>
            <w:tcW w:w="198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1720" w:type="dxa"/>
            <w:vAlign w:val="bottom"/>
            <w:vMerge w:val="restart"/>
          </w:tcPr>
          <w:p>
            <w:pPr>
              <w:jc w:val="center"/>
              <w:ind w:left="223"/>
              <w:spacing w:after="0"/>
              <w:rPr>
                <w:sz w:val="20"/>
                <w:szCs w:val="20"/>
                <w:color w:val="auto"/>
              </w:rPr>
            </w:pPr>
            <w:r>
              <w:rPr>
                <w:rFonts w:ascii="Arial" w:cs="Arial" w:eastAsia="Arial" w:hAnsi="Arial"/>
                <w:sz w:val="15"/>
                <w:szCs w:val="15"/>
                <w:b w:val="1"/>
                <w:bCs w:val="1"/>
                <w:color w:val="005298"/>
              </w:rPr>
              <w:t>Experience</w:t>
            </w:r>
          </w:p>
        </w:tc>
        <w:tc>
          <w:tcPr>
            <w:tcW w:w="0" w:type="dxa"/>
            <w:vAlign w:val="bottom"/>
          </w:tcPr>
          <w:p>
            <w:pPr>
              <w:spacing w:after="0"/>
              <w:rPr>
                <w:sz w:val="1"/>
                <w:szCs w:val="1"/>
                <w:color w:val="auto"/>
              </w:rPr>
            </w:pPr>
          </w:p>
        </w:tc>
      </w:tr>
      <w:tr>
        <w:trPr>
          <w:trHeight w:val="90"/>
        </w:trPr>
        <w:tc>
          <w:tcPr>
            <w:tcW w:w="19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8620"/>
        <w:spacing w:after="0"/>
        <w:rPr>
          <w:sz w:val="20"/>
          <w:szCs w:val="20"/>
          <w:color w:val="auto"/>
        </w:rPr>
      </w:pPr>
      <w:r>
        <w:rPr>
          <w:rFonts w:ascii="Arial" w:cs="Arial" w:eastAsia="Arial" w:hAnsi="Arial"/>
          <w:sz w:val="12"/>
          <w:szCs w:val="12"/>
          <w:color w:val="949CA1"/>
        </w:rPr>
        <w:t>15</w:t>
      </w:r>
    </w:p>
    <w:p>
      <w:pPr>
        <w:spacing w:after="0" w:line="200" w:lineRule="exact"/>
        <w:rPr>
          <w:sz w:val="20"/>
          <w:szCs w:val="20"/>
          <w:color w:val="auto"/>
        </w:rPr>
      </w:pPr>
    </w:p>
    <w:p>
      <w:pPr>
        <w:spacing w:after="0" w:line="324" w:lineRule="exact"/>
        <w:rPr>
          <w:sz w:val="20"/>
          <w:szCs w:val="20"/>
          <w:color w:val="auto"/>
        </w:rPr>
      </w:pPr>
    </w:p>
    <w:p>
      <w:pPr>
        <w:ind w:left="320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39"/>
          </w:cols>
          <w:pgMar w:left="820" w:top="1201"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25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8375" cy="482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000"/>
        <w:spacing w:after="0"/>
        <w:rPr>
          <w:sz w:val="20"/>
          <w:szCs w:val="20"/>
          <w:color w:val="auto"/>
        </w:rPr>
      </w:pPr>
      <w:r>
        <w:rPr>
          <w:rFonts w:ascii="Arial" w:cs="Arial" w:eastAsia="Arial" w:hAnsi="Arial"/>
          <w:sz w:val="36"/>
          <w:szCs w:val="36"/>
          <w:b w:val="1"/>
          <w:bCs w:val="1"/>
          <w:color w:val="005298"/>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58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019"/>
          </w:cols>
          <w:pgMar w:left="1440" w:top="1440" w:right="1440" w:bottom="1440" w:gutter="0" w:footer="0" w:header="0"/>
        </w:sectPr>
      </w:pPr>
    </w:p>
    <w:bookmarkStart w:id="18" w:name="page19"/>
    <w:bookmarkEnd w:id="18"/>
    <w:p>
      <w:pPr>
        <w:spacing w:after="0"/>
        <w:rPr>
          <w:sz w:val="20"/>
          <w:szCs w:val="20"/>
          <w:color w:val="auto"/>
        </w:rPr>
      </w:pPr>
      <w:r>
        <w:rPr>
          <w:rFonts w:ascii="Arial" w:cs="Arial" w:eastAsia="Arial" w:hAnsi="Arial"/>
          <w:sz w:val="30"/>
          <w:szCs w:val="30"/>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25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8375" cy="4825365"/>
                    </a:xfrm>
                    <a:prstGeom prst="rect">
                      <a:avLst/>
                    </a:prstGeom>
                    <a:noFill/>
                  </pic:spPr>
                </pic:pic>
              </a:graphicData>
            </a:graphic>
          </wp:anchor>
        </w:drawing>
        <w:t>Reconciliation of Non-GAAP EPS and Operating Income</w:t>
      </w:r>
    </w:p>
    <w:p>
      <w:pPr>
        <w:spacing w:after="0" w:line="200" w:lineRule="exact"/>
        <w:rPr>
          <w:sz w:val="20"/>
          <w:szCs w:val="20"/>
          <w:color w:val="auto"/>
        </w:rPr>
      </w:pP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33"/>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20" w:type="dxa"/>
            <w:vAlign w:val="bottom"/>
            <w:gridSpan w:val="8"/>
          </w:tcPr>
          <w:p>
            <w:pPr>
              <w:ind w:left="20"/>
              <w:spacing w:after="0"/>
              <w:rPr>
                <w:sz w:val="20"/>
                <w:szCs w:val="20"/>
                <w:color w:val="auto"/>
              </w:rPr>
            </w:pPr>
            <w:r>
              <w:rPr>
                <w:rFonts w:ascii="Arial" w:cs="Arial" w:eastAsia="Arial" w:hAnsi="Arial"/>
                <w:sz w:val="11"/>
                <w:szCs w:val="11"/>
                <w:b w:val="1"/>
                <w:bCs w:val="1"/>
                <w:color w:val="auto"/>
              </w:rPr>
              <w:t>Twelve Months Ended December 31, 2014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3"/>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64"/>
              <w:spacing w:after="0"/>
              <w:rPr>
                <w:sz w:val="20"/>
                <w:szCs w:val="20"/>
                <w:color w:val="auto"/>
              </w:rPr>
            </w:pPr>
            <w:r>
              <w:rPr>
                <w:rFonts w:ascii="Arial" w:cs="Arial" w:eastAsia="Arial" w:hAnsi="Arial"/>
                <w:sz w:val="11"/>
                <w:szCs w:val="11"/>
                <w:b w:val="1"/>
                <w:bCs w:val="1"/>
                <w:color w:val="auto"/>
              </w:rPr>
              <w:t>Centrus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Pension &amp;</w:t>
            </w:r>
          </w:p>
        </w:tc>
        <w:tc>
          <w:tcPr>
            <w:tcW w:w="800" w:type="dxa"/>
            <w:vAlign w:val="bottom"/>
            <w:gridSpan w:val="3"/>
          </w:tcPr>
          <w:p>
            <w:pPr>
              <w:jc w:val="center"/>
              <w:ind w:right="4"/>
              <w:spacing w:after="0"/>
              <w:rPr>
                <w:sz w:val="20"/>
                <w:szCs w:val="20"/>
                <w:color w:val="auto"/>
              </w:rPr>
            </w:pPr>
            <w:r>
              <w:rPr>
                <w:rFonts w:ascii="Arial" w:cs="Arial" w:eastAsia="Arial" w:hAnsi="Arial"/>
                <w:sz w:val="11"/>
                <w:szCs w:val="11"/>
                <w:b w:val="1"/>
                <w:bCs w:val="1"/>
                <w:color w:val="auto"/>
              </w:rPr>
              <w:t>Restructuring</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3"/>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04"/>
              <w:spacing w:after="0"/>
              <w:rPr>
                <w:sz w:val="20"/>
                <w:szCs w:val="20"/>
                <w:color w:val="auto"/>
              </w:rPr>
            </w:pPr>
            <w:r>
              <w:rPr>
                <w:rFonts w:ascii="Arial" w:cs="Arial" w:eastAsia="Arial" w:hAnsi="Arial"/>
                <w:sz w:val="11"/>
                <w:szCs w:val="11"/>
                <w:b w:val="1"/>
                <w:bCs w:val="1"/>
                <w:color w:val="auto"/>
              </w:rPr>
              <w:t>Gain, net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OPEB MTM</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264"/>
              <w:spacing w:after="0"/>
              <w:rPr>
                <w:sz w:val="20"/>
                <w:szCs w:val="20"/>
                <w:color w:val="auto"/>
              </w:rPr>
            </w:pPr>
            <w:r>
              <w:rPr>
                <w:rFonts w:ascii="Arial" w:cs="Arial" w:eastAsia="Arial" w:hAnsi="Arial"/>
                <w:sz w:val="11"/>
                <w:szCs w:val="11"/>
                <w:b w:val="1"/>
                <w:bCs w:val="1"/>
                <w:color w:val="auto"/>
              </w:rPr>
              <w:t>&amp;</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8"/>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84"/>
              <w:spacing w:after="0"/>
              <w:rPr>
                <w:sz w:val="20"/>
                <w:szCs w:val="20"/>
                <w:color w:val="auto"/>
              </w:rPr>
            </w:pPr>
            <w:r>
              <w:rPr>
                <w:rFonts w:ascii="Arial" w:cs="Arial" w:eastAsia="Arial" w:hAnsi="Arial"/>
                <w:sz w:val="11"/>
                <w:szCs w:val="11"/>
                <w:b w:val="1"/>
                <w:bCs w:val="1"/>
                <w:color w:val="auto"/>
              </w:rPr>
              <w:t>GAAP</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Spin Costs</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Impairment</w:t>
            </w:r>
          </w:p>
        </w:tc>
        <w:tc>
          <w:tcPr>
            <w:tcW w:w="100" w:type="dxa"/>
            <w:vAlign w:val="bottom"/>
          </w:tcPr>
          <w:p>
            <w:pPr>
              <w:spacing w:after="0"/>
              <w:rPr>
                <w:sz w:val="12"/>
                <w:szCs w:val="12"/>
                <w:color w:val="auto"/>
              </w:rPr>
            </w:pPr>
          </w:p>
        </w:tc>
        <w:tc>
          <w:tcPr>
            <w:tcW w:w="620" w:type="dxa"/>
            <w:vAlign w:val="bottom"/>
          </w:tcPr>
          <w:p>
            <w:pPr>
              <w:jc w:val="right"/>
              <w:ind w:right="64"/>
              <w:spacing w:after="0"/>
              <w:rPr>
                <w:sz w:val="20"/>
                <w:szCs w:val="20"/>
                <w:color w:val="auto"/>
              </w:rPr>
            </w:pPr>
            <w:r>
              <w:rPr>
                <w:rFonts w:ascii="Arial" w:cs="Arial" w:eastAsia="Arial" w:hAnsi="Arial"/>
                <w:sz w:val="11"/>
                <w:szCs w:val="11"/>
                <w:b w:val="1"/>
                <w:bCs w:val="1"/>
                <w:color w:val="auto"/>
                <w:w w:val="96"/>
              </w:rPr>
              <w:t>Litigation</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(Gain) / Loss</w:t>
            </w:r>
          </w:p>
        </w:tc>
        <w:tc>
          <w:tcPr>
            <w:tcW w:w="40" w:type="dxa"/>
            <w:vAlign w:val="bottom"/>
          </w:tcPr>
          <w:p>
            <w:pPr>
              <w:spacing w:after="0"/>
              <w:rPr>
                <w:sz w:val="12"/>
                <w:szCs w:val="12"/>
                <w:color w:val="auto"/>
              </w:rPr>
            </w:pPr>
          </w:p>
        </w:tc>
        <w:tc>
          <w:tcPr>
            <w:tcW w:w="760" w:type="dxa"/>
            <w:vAlign w:val="bottom"/>
            <w:gridSpan w:val="2"/>
          </w:tcPr>
          <w:p>
            <w:pPr>
              <w:jc w:val="center"/>
              <w:ind w:right="24"/>
              <w:spacing w:after="0"/>
              <w:rPr>
                <w:sz w:val="20"/>
                <w:szCs w:val="20"/>
                <w:color w:val="auto"/>
              </w:rPr>
            </w:pPr>
            <w:r>
              <w:rPr>
                <w:rFonts w:ascii="Arial" w:cs="Arial" w:eastAsia="Arial" w:hAnsi="Arial"/>
                <w:sz w:val="11"/>
                <w:szCs w:val="11"/>
                <w:b w:val="1"/>
                <w:bCs w:val="1"/>
                <w:color w:val="auto"/>
              </w:rPr>
              <w:t>Acquisitions</w:t>
            </w:r>
          </w:p>
        </w:tc>
        <w:tc>
          <w:tcPr>
            <w:tcW w:w="720" w:type="dxa"/>
            <w:vAlign w:val="bottom"/>
            <w:gridSpan w:val="2"/>
          </w:tcPr>
          <w:p>
            <w:pPr>
              <w:jc w:val="center"/>
              <w:ind w:left="4"/>
              <w:spacing w:after="0"/>
              <w:rPr>
                <w:sz w:val="20"/>
                <w:szCs w:val="20"/>
                <w:color w:val="auto"/>
              </w:rPr>
            </w:pPr>
            <w:r>
              <w:rPr>
                <w:rFonts w:ascii="Arial" w:cs="Arial" w:eastAsia="Arial" w:hAnsi="Arial"/>
                <w:sz w:val="11"/>
                <w:szCs w:val="11"/>
                <w:b w:val="1"/>
                <w:bCs w:val="1"/>
                <w:color w:val="auto"/>
              </w:rPr>
              <w:t>Non-GAAP</w:t>
            </w:r>
          </w:p>
        </w:tc>
      </w:tr>
      <w:tr>
        <w:trPr>
          <w:trHeight w:val="276"/>
        </w:trPr>
        <w:tc>
          <w:tcPr>
            <w:tcW w:w="3340" w:type="dxa"/>
            <w:vAlign w:val="bottom"/>
          </w:tcPr>
          <w:p>
            <w:pPr>
              <w:spacing w:after="0"/>
              <w:rPr>
                <w:sz w:val="20"/>
                <w:szCs w:val="20"/>
                <w:color w:val="auto"/>
              </w:rPr>
            </w:pPr>
            <w:r>
              <w:rPr>
                <w:rFonts w:ascii="Arial" w:cs="Arial" w:eastAsia="Arial" w:hAnsi="Arial"/>
                <w:sz w:val="11"/>
                <w:szCs w:val="11"/>
                <w:color w:val="auto"/>
              </w:rPr>
              <w:t>Operating Income</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(2.6)</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ind w:left="420"/>
              <w:spacing w:after="0"/>
              <w:rPr>
                <w:sz w:val="20"/>
                <w:szCs w:val="20"/>
                <w:color w:val="auto"/>
              </w:rPr>
            </w:pPr>
            <w:r>
              <w:rPr>
                <w:rFonts w:ascii="Arial" w:cs="Arial" w:eastAsia="Arial" w:hAnsi="Arial"/>
                <w:sz w:val="11"/>
                <w:szCs w:val="11"/>
                <w:color w:val="auto"/>
              </w:rPr>
              <w:t>6.1</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16.1</w:t>
            </w: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241.2</w:t>
            </w:r>
          </w:p>
        </w:tc>
        <w:tc>
          <w:tcPr>
            <w:tcW w:w="40" w:type="dxa"/>
            <w:vAlign w:val="bottom"/>
          </w:tcPr>
          <w:p>
            <w:pPr>
              <w:spacing w:after="0"/>
              <w:rPr>
                <w:sz w:val="24"/>
                <w:szCs w:val="24"/>
                <w:color w:val="auto"/>
              </w:rPr>
            </w:pPr>
          </w:p>
        </w:tc>
        <w:tc>
          <w:tcPr>
            <w:tcW w:w="20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560" w:type="dxa"/>
            <w:vAlign w:val="bottom"/>
          </w:tcPr>
          <w:p>
            <w:pPr>
              <w:jc w:val="center"/>
              <w:ind w:left="124"/>
              <w:spacing w:after="0"/>
              <w:rPr>
                <w:sz w:val="20"/>
                <w:szCs w:val="20"/>
                <w:color w:val="auto"/>
              </w:rPr>
            </w:pPr>
            <w:r>
              <w:rPr>
                <w:rFonts w:ascii="Arial" w:cs="Arial" w:eastAsia="Arial" w:hAnsi="Arial"/>
                <w:sz w:val="11"/>
                <w:szCs w:val="11"/>
                <w:color w:val="auto"/>
              </w:rPr>
              <w:t>57.7</w:t>
            </w:r>
          </w:p>
        </w:tc>
        <w:tc>
          <w:tcPr>
            <w:tcW w:w="1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318.4</w:t>
            </w:r>
          </w:p>
        </w:tc>
      </w:tr>
      <w:tr>
        <w:trPr>
          <w:trHeight w:val="143"/>
        </w:trPr>
        <w:tc>
          <w:tcPr>
            <w:tcW w:w="3340" w:type="dxa"/>
            <w:vAlign w:val="bottom"/>
          </w:tcPr>
          <w:p>
            <w:pPr>
              <w:spacing w:after="0"/>
              <w:rPr>
                <w:sz w:val="20"/>
                <w:szCs w:val="20"/>
                <w:color w:val="auto"/>
              </w:rPr>
            </w:pPr>
            <w:r>
              <w:rPr>
                <w:rFonts w:ascii="Arial" w:cs="Arial" w:eastAsia="Arial" w:hAnsi="Arial"/>
                <w:sz w:val="11"/>
                <w:szCs w:val="11"/>
                <w:color w:val="auto"/>
              </w:rPr>
              <w:t>Other Income / (Expense)</w:t>
            </w:r>
          </w:p>
        </w:tc>
        <w:tc>
          <w:tcPr>
            <w:tcW w:w="120" w:type="dxa"/>
            <w:vAlign w:val="bottom"/>
          </w:tcPr>
          <w:p>
            <w:pPr>
              <w:spacing w:after="0"/>
              <w:rPr>
                <w:sz w:val="12"/>
                <w:szCs w:val="12"/>
                <w:color w:val="auto"/>
              </w:rPr>
            </w:pP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2"/>
                <w:szCs w:val="12"/>
                <w:color w:val="auto"/>
              </w:rPr>
            </w:pPr>
          </w:p>
        </w:tc>
        <w:tc>
          <w:tcPr>
            <w:tcW w:w="640" w:type="dxa"/>
            <w:vAlign w:val="bottom"/>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tcPr>
          <w:p>
            <w:pPr>
              <w:jc w:val="center"/>
              <w:ind w:left="244"/>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12"/>
                <w:szCs w:val="12"/>
                <w:color w:val="auto"/>
              </w:rPr>
            </w:pPr>
          </w:p>
        </w:tc>
        <w:tc>
          <w:tcPr>
            <w:tcW w:w="62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left="10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w:t>
            </w:r>
          </w:p>
        </w:tc>
      </w:tr>
      <w:tr>
        <w:trPr>
          <w:trHeight w:val="142"/>
        </w:trPr>
        <w:tc>
          <w:tcPr>
            <w:tcW w:w="3340" w:type="dxa"/>
            <w:vAlign w:val="bottom"/>
          </w:tcPr>
          <w:p>
            <w:pPr>
              <w:spacing w:after="0"/>
              <w:rPr>
                <w:sz w:val="20"/>
                <w:szCs w:val="20"/>
                <w:color w:val="auto"/>
              </w:rPr>
            </w:pPr>
            <w:r>
              <w:rPr>
                <w:rFonts w:ascii="Arial" w:cs="Arial" w:eastAsia="Arial" w:hAnsi="Arial"/>
                <w:sz w:val="11"/>
                <w:szCs w:val="11"/>
                <w:color w:val="auto"/>
              </w:rPr>
              <w:t>Income Tax (Expense) / Benefit</w:t>
            </w:r>
          </w:p>
        </w:tc>
        <w:tc>
          <w:tcPr>
            <w:tcW w:w="120" w:type="dxa"/>
            <w:vAlign w:val="bottom"/>
          </w:tcPr>
          <w:p>
            <w:pPr>
              <w:spacing w:after="0"/>
              <w:rPr>
                <w:sz w:val="12"/>
                <w:szCs w:val="12"/>
                <w:color w:val="auto"/>
              </w:rPr>
            </w:pP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16.0</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2"/>
                <w:szCs w:val="12"/>
                <w:color w:val="auto"/>
              </w:rPr>
            </w:pPr>
          </w:p>
        </w:tc>
        <w:tc>
          <w:tcPr>
            <w:tcW w:w="64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(4.3)</w:t>
            </w:r>
          </w:p>
        </w:tc>
        <w:tc>
          <w:tcPr>
            <w:tcW w:w="2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(89.6)</w:t>
            </w:r>
          </w:p>
        </w:tc>
        <w:tc>
          <w:tcPr>
            <w:tcW w:w="200" w:type="dxa"/>
            <w:vAlign w:val="bottom"/>
          </w:tcPr>
          <w:p>
            <w:pPr>
              <w:spacing w:after="0"/>
              <w:rPr>
                <w:sz w:val="12"/>
                <w:szCs w:val="12"/>
                <w:color w:val="auto"/>
              </w:rPr>
            </w:pPr>
          </w:p>
        </w:tc>
        <w:tc>
          <w:tcPr>
            <w:tcW w:w="560" w:type="dxa"/>
            <w:vAlign w:val="bottom"/>
          </w:tcPr>
          <w:p>
            <w:pPr>
              <w:jc w:val="center"/>
              <w:ind w:left="144"/>
              <w:spacing w:after="0"/>
              <w:rPr>
                <w:sz w:val="20"/>
                <w:szCs w:val="20"/>
                <w:color w:val="auto"/>
              </w:rPr>
            </w:pPr>
            <w:r>
              <w:rPr>
                <w:rFonts w:ascii="Arial" w:cs="Arial" w:eastAsia="Arial" w:hAnsi="Arial"/>
                <w:sz w:val="11"/>
                <w:szCs w:val="11"/>
                <w:color w:val="auto"/>
                <w:w w:val="97"/>
              </w:rPr>
              <w:t>(19.6)</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(99.8)</w:t>
            </w:r>
          </w:p>
        </w:tc>
      </w:tr>
      <w:tr>
        <w:trPr>
          <w:trHeight w:val="134"/>
        </w:trPr>
        <w:tc>
          <w:tcPr>
            <w:tcW w:w="3340" w:type="dxa"/>
            <w:vAlign w:val="bottom"/>
          </w:tcPr>
          <w:p>
            <w:pPr>
              <w:spacing w:after="0"/>
              <w:rPr>
                <w:sz w:val="20"/>
                <w:szCs w:val="20"/>
                <w:color w:val="auto"/>
              </w:rPr>
            </w:pPr>
            <w:r>
              <w:rPr>
                <w:rFonts w:ascii="Arial" w:cs="Arial" w:eastAsia="Arial" w:hAnsi="Arial"/>
                <w:sz w:val="11"/>
                <w:szCs w:val="11"/>
                <w:color w:val="auto"/>
              </w:rPr>
              <w:t>Net Income (Loss)</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21.5</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ind w:left="420"/>
              <w:spacing w:after="0"/>
              <w:rPr>
                <w:sz w:val="20"/>
                <w:szCs w:val="20"/>
                <w:color w:val="auto"/>
              </w:rPr>
            </w:pPr>
            <w:r>
              <w:rPr>
                <w:rFonts w:ascii="Arial" w:cs="Arial" w:eastAsia="Arial" w:hAnsi="Arial"/>
                <w:sz w:val="11"/>
                <w:szCs w:val="11"/>
                <w:color w:val="auto"/>
              </w:rPr>
              <w:t>3.7</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center"/>
              <w:ind w:left="244"/>
              <w:spacing w:after="0"/>
              <w:rPr>
                <w:sz w:val="20"/>
                <w:szCs w:val="20"/>
                <w:color w:val="auto"/>
              </w:rPr>
            </w:pPr>
            <w:r>
              <w:rPr>
                <w:rFonts w:ascii="Arial" w:cs="Arial" w:eastAsia="Arial" w:hAnsi="Arial"/>
                <w:sz w:val="11"/>
                <w:szCs w:val="11"/>
                <w:color w:val="auto"/>
              </w:rPr>
              <w:t>(14.4)</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11.8</w:t>
            </w: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152.1</w:t>
            </w:r>
          </w:p>
        </w:tc>
        <w:tc>
          <w:tcPr>
            <w:tcW w:w="40" w:type="dxa"/>
            <w:vAlign w:val="bottom"/>
          </w:tcPr>
          <w:p>
            <w:pPr>
              <w:spacing w:after="0"/>
              <w:rPr>
                <w:sz w:val="11"/>
                <w:szCs w:val="11"/>
                <w:color w:val="auto"/>
              </w:rPr>
            </w:pPr>
          </w:p>
        </w:tc>
        <w:tc>
          <w:tcPr>
            <w:tcW w:w="20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560" w:type="dxa"/>
            <w:vAlign w:val="bottom"/>
          </w:tcPr>
          <w:p>
            <w:pPr>
              <w:jc w:val="center"/>
              <w:ind w:left="124"/>
              <w:spacing w:after="0"/>
              <w:rPr>
                <w:sz w:val="20"/>
                <w:szCs w:val="20"/>
                <w:color w:val="auto"/>
              </w:rPr>
            </w:pPr>
            <w:r>
              <w:rPr>
                <w:rFonts w:ascii="Arial" w:cs="Arial" w:eastAsia="Arial" w:hAnsi="Arial"/>
                <w:sz w:val="11"/>
                <w:szCs w:val="11"/>
                <w:color w:val="auto"/>
              </w:rPr>
              <w:t>38.1</w:t>
            </w:r>
          </w:p>
        </w:tc>
        <w:tc>
          <w:tcPr>
            <w:tcW w:w="1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212.8</w:t>
            </w:r>
          </w:p>
        </w:tc>
      </w:tr>
      <w:tr>
        <w:trPr>
          <w:trHeight w:val="143"/>
        </w:trPr>
        <w:tc>
          <w:tcPr>
            <w:tcW w:w="3340" w:type="dxa"/>
            <w:vAlign w:val="bottom"/>
          </w:tcPr>
          <w:p>
            <w:pPr>
              <w:spacing w:after="0"/>
              <w:rPr>
                <w:sz w:val="20"/>
                <w:szCs w:val="20"/>
                <w:color w:val="auto"/>
              </w:rPr>
            </w:pPr>
            <w:r>
              <w:rPr>
                <w:rFonts w:ascii="Arial" w:cs="Arial" w:eastAsia="Arial" w:hAnsi="Arial"/>
                <w:sz w:val="11"/>
                <w:szCs w:val="11"/>
                <w:color w:val="auto"/>
              </w:rPr>
              <w:t>Net Loss Attributable to Non-Controlling Interest</w:t>
            </w:r>
          </w:p>
        </w:tc>
        <w:tc>
          <w:tcPr>
            <w:tcW w:w="120" w:type="dxa"/>
            <w:vAlign w:val="bottom"/>
          </w:tcPr>
          <w:p>
            <w:pPr>
              <w:spacing w:after="0"/>
              <w:rPr>
                <w:sz w:val="12"/>
                <w:szCs w:val="12"/>
                <w:color w:val="auto"/>
              </w:rPr>
            </w:pP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2"/>
                <w:szCs w:val="12"/>
                <w:color w:val="auto"/>
              </w:rPr>
            </w:pPr>
          </w:p>
        </w:tc>
        <w:tc>
          <w:tcPr>
            <w:tcW w:w="640" w:type="dxa"/>
            <w:vAlign w:val="bottom"/>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460" w:type="dxa"/>
            <w:vAlign w:val="bottom"/>
          </w:tcPr>
          <w:p>
            <w:pPr>
              <w:jc w:val="center"/>
              <w:ind w:left="106"/>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left="10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7.9</w:t>
            </w:r>
          </w:p>
        </w:tc>
      </w:tr>
      <w:tr>
        <w:trPr>
          <w:trHeight w:val="143"/>
        </w:trPr>
        <w:tc>
          <w:tcPr>
            <w:tcW w:w="3340" w:type="dxa"/>
            <w:vAlign w:val="bottom"/>
          </w:tcPr>
          <w:p>
            <w:pPr>
              <w:spacing w:after="0"/>
              <w:rPr>
                <w:sz w:val="20"/>
                <w:szCs w:val="20"/>
                <w:color w:val="auto"/>
              </w:rPr>
            </w:pPr>
            <w:r>
              <w:rPr>
                <w:rFonts w:ascii="Arial" w:cs="Arial" w:eastAsia="Arial" w:hAnsi="Arial"/>
                <w:sz w:val="11"/>
                <w:szCs w:val="11"/>
                <w:color w:val="auto"/>
              </w:rPr>
              <w:t>Net Income (Loss) Attributable to The Babcock &amp; Wilcox Company</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29.4</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ind w:left="420"/>
              <w:spacing w:after="0"/>
              <w:rPr>
                <w:sz w:val="20"/>
                <w:szCs w:val="20"/>
                <w:color w:val="auto"/>
              </w:rPr>
            </w:pPr>
            <w:r>
              <w:rPr>
                <w:rFonts w:ascii="Arial" w:cs="Arial" w:eastAsia="Arial" w:hAnsi="Arial"/>
                <w:sz w:val="11"/>
                <w:szCs w:val="11"/>
                <w:color w:val="auto"/>
              </w:rPr>
              <w:t>3.7</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center"/>
              <w:ind w:left="244"/>
              <w:spacing w:after="0"/>
              <w:rPr>
                <w:sz w:val="20"/>
                <w:szCs w:val="20"/>
                <w:color w:val="auto"/>
              </w:rPr>
            </w:pPr>
            <w:r>
              <w:rPr>
                <w:rFonts w:ascii="Arial" w:cs="Arial" w:eastAsia="Arial" w:hAnsi="Arial"/>
                <w:sz w:val="11"/>
                <w:szCs w:val="11"/>
                <w:color w:val="auto"/>
              </w:rPr>
              <w:t>(14.4)</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11.8</w:t>
            </w: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152.1</w:t>
            </w:r>
          </w:p>
        </w:tc>
        <w:tc>
          <w:tcPr>
            <w:tcW w:w="40" w:type="dxa"/>
            <w:vAlign w:val="bottom"/>
          </w:tcPr>
          <w:p>
            <w:pPr>
              <w:spacing w:after="0"/>
              <w:rPr>
                <w:sz w:val="12"/>
                <w:szCs w:val="12"/>
                <w:color w:val="auto"/>
              </w:rPr>
            </w:pPr>
          </w:p>
        </w:tc>
        <w:tc>
          <w:tcPr>
            <w:tcW w:w="20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560" w:type="dxa"/>
            <w:vAlign w:val="bottom"/>
          </w:tcPr>
          <w:p>
            <w:pPr>
              <w:jc w:val="center"/>
              <w:ind w:left="124"/>
              <w:spacing w:after="0"/>
              <w:rPr>
                <w:sz w:val="20"/>
                <w:szCs w:val="20"/>
                <w:color w:val="auto"/>
              </w:rPr>
            </w:pPr>
            <w:r>
              <w:rPr>
                <w:rFonts w:ascii="Arial" w:cs="Arial" w:eastAsia="Arial" w:hAnsi="Arial"/>
                <w:sz w:val="11"/>
                <w:szCs w:val="11"/>
                <w:color w:val="auto"/>
              </w:rPr>
              <w:t>38.1</w:t>
            </w:r>
          </w:p>
        </w:tc>
        <w:tc>
          <w:tcPr>
            <w:tcW w:w="1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220.7</w:t>
            </w:r>
          </w:p>
        </w:tc>
      </w:tr>
      <w:tr>
        <w:trPr>
          <w:trHeight w:val="297"/>
        </w:trPr>
        <w:tc>
          <w:tcPr>
            <w:tcW w:w="3340" w:type="dxa"/>
            <w:vAlign w:val="bottom"/>
          </w:tcPr>
          <w:p>
            <w:pPr>
              <w:spacing w:after="0"/>
              <w:rPr>
                <w:sz w:val="20"/>
                <w:szCs w:val="20"/>
                <w:color w:val="auto"/>
              </w:rPr>
            </w:pPr>
            <w:r>
              <w:rPr>
                <w:rFonts w:ascii="Arial" w:cs="Arial" w:eastAsia="Arial" w:hAnsi="Arial"/>
                <w:sz w:val="11"/>
                <w:szCs w:val="11"/>
                <w:color w:val="auto"/>
              </w:rPr>
              <w:t>Diluted Earnings per Common Share</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0.27</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
              <w:spacing w:after="0"/>
              <w:rPr>
                <w:sz w:val="20"/>
                <w:szCs w:val="20"/>
                <w:color w:val="auto"/>
              </w:rPr>
            </w:pPr>
            <w:r>
              <w:rPr>
                <w:rFonts w:ascii="Arial" w:cs="Arial" w:eastAsia="Arial" w:hAnsi="Arial"/>
                <w:sz w:val="11"/>
                <w:szCs w:val="11"/>
                <w:color w:val="auto"/>
              </w:rPr>
              <w:t>0.03</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center"/>
              <w:ind w:left="244"/>
              <w:spacing w:after="0"/>
              <w:rPr>
                <w:sz w:val="20"/>
                <w:szCs w:val="20"/>
                <w:color w:val="auto"/>
              </w:rPr>
            </w:pPr>
            <w:r>
              <w:rPr>
                <w:rFonts w:ascii="Arial" w:cs="Arial" w:eastAsia="Arial" w:hAnsi="Arial"/>
                <w:sz w:val="11"/>
                <w:szCs w:val="11"/>
                <w:color w:val="auto"/>
              </w:rPr>
              <w:t>(0.13)</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0.11</w:t>
            </w: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1.40</w:t>
            </w:r>
          </w:p>
        </w:tc>
        <w:tc>
          <w:tcPr>
            <w:tcW w:w="40" w:type="dxa"/>
            <w:vAlign w:val="bottom"/>
          </w:tcPr>
          <w:p>
            <w:pPr>
              <w:spacing w:after="0"/>
              <w:rPr>
                <w:sz w:val="24"/>
                <w:szCs w:val="24"/>
                <w:color w:val="auto"/>
              </w:rPr>
            </w:pPr>
          </w:p>
        </w:tc>
        <w:tc>
          <w:tcPr>
            <w:tcW w:w="20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560" w:type="dxa"/>
            <w:vAlign w:val="bottom"/>
          </w:tcPr>
          <w:p>
            <w:pPr>
              <w:jc w:val="center"/>
              <w:ind w:left="124"/>
              <w:spacing w:after="0"/>
              <w:rPr>
                <w:sz w:val="20"/>
                <w:szCs w:val="20"/>
                <w:color w:val="auto"/>
              </w:rPr>
            </w:pPr>
            <w:r>
              <w:rPr>
                <w:rFonts w:ascii="Arial" w:cs="Arial" w:eastAsia="Arial" w:hAnsi="Arial"/>
                <w:sz w:val="11"/>
                <w:szCs w:val="11"/>
                <w:color w:val="auto"/>
              </w:rPr>
              <w:t>0.35</w:t>
            </w:r>
          </w:p>
        </w:tc>
        <w:tc>
          <w:tcPr>
            <w:tcW w:w="1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2.03</w:t>
            </w:r>
          </w:p>
        </w:tc>
      </w:tr>
      <w:tr>
        <w:trPr>
          <w:trHeight w:val="286"/>
        </w:trPr>
        <w:tc>
          <w:tcPr>
            <w:tcW w:w="3340" w:type="dxa"/>
            <w:vAlign w:val="bottom"/>
          </w:tcPr>
          <w:p>
            <w:pPr>
              <w:spacing w:after="0"/>
              <w:rPr>
                <w:sz w:val="20"/>
                <w:szCs w:val="20"/>
                <w:color w:val="auto"/>
              </w:rPr>
            </w:pPr>
            <w:r>
              <w:rPr>
                <w:rFonts w:ascii="Arial" w:cs="Arial" w:eastAsia="Arial" w:hAnsi="Arial"/>
                <w:sz w:val="11"/>
                <w:szCs w:val="11"/>
                <w:color w:val="auto"/>
              </w:rPr>
              <w:t>Tax Rate</w:t>
            </w:r>
          </w:p>
        </w:tc>
        <w:tc>
          <w:tcPr>
            <w:tcW w:w="120" w:type="dxa"/>
            <w:vAlign w:val="bottom"/>
          </w:tcPr>
          <w:p>
            <w:pPr>
              <w:spacing w:after="0"/>
              <w:rPr>
                <w:sz w:val="24"/>
                <w:szCs w:val="24"/>
                <w:color w:val="auto"/>
              </w:rPr>
            </w:pPr>
          </w:p>
        </w:tc>
        <w:tc>
          <w:tcPr>
            <w:tcW w:w="620" w:type="dxa"/>
            <w:vAlign w:val="bottom"/>
          </w:tcPr>
          <w:p>
            <w:pPr>
              <w:jc w:val="center"/>
              <w:ind w:right="64"/>
              <w:spacing w:after="0"/>
              <w:rPr>
                <w:sz w:val="20"/>
                <w:szCs w:val="20"/>
                <w:color w:val="auto"/>
              </w:rPr>
            </w:pPr>
            <w:r>
              <w:rPr>
                <w:rFonts w:ascii="Arial" w:cs="Arial" w:eastAsia="Arial" w:hAnsi="Arial"/>
                <w:sz w:val="11"/>
                <w:szCs w:val="11"/>
                <w:color w:val="auto"/>
              </w:rPr>
              <w:t>(292.6%)</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center"/>
              <w:ind w:right="64"/>
              <w:spacing w:after="0"/>
              <w:rPr>
                <w:sz w:val="20"/>
                <w:szCs w:val="20"/>
                <w:color w:val="auto"/>
              </w:rPr>
            </w:pPr>
            <w:r>
              <w:rPr>
                <w:rFonts w:ascii="Arial" w:cs="Arial" w:eastAsia="Arial" w:hAnsi="Arial"/>
                <w:sz w:val="11"/>
                <w:szCs w:val="11"/>
                <w:color w:val="auto"/>
              </w:rPr>
              <w:t>31.9%</w:t>
            </w:r>
          </w:p>
        </w:tc>
      </w:tr>
      <w:tr>
        <w:trPr>
          <w:trHeight w:val="415"/>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7"/>
          </w:tcPr>
          <w:p>
            <w:pPr>
              <w:ind w:left="300"/>
              <w:spacing w:after="0"/>
              <w:rPr>
                <w:sz w:val="20"/>
                <w:szCs w:val="20"/>
                <w:color w:val="auto"/>
              </w:rPr>
            </w:pPr>
            <w:r>
              <w:rPr>
                <w:rFonts w:ascii="Arial" w:cs="Arial" w:eastAsia="Arial" w:hAnsi="Arial"/>
                <w:sz w:val="11"/>
                <w:szCs w:val="11"/>
                <w:b w:val="1"/>
                <w:bCs w:val="1"/>
                <w:color w:val="auto"/>
              </w:rPr>
              <w:t>Twelve Months Ended December 31, 2013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33"/>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One-time tax</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Pension &amp;</w:t>
            </w:r>
          </w:p>
        </w:tc>
        <w:tc>
          <w:tcPr>
            <w:tcW w:w="800" w:type="dxa"/>
            <w:vAlign w:val="bottom"/>
            <w:gridSpan w:val="3"/>
          </w:tcPr>
          <w:p>
            <w:pPr>
              <w:jc w:val="center"/>
              <w:ind w:right="4"/>
              <w:spacing w:after="0"/>
              <w:rPr>
                <w:sz w:val="20"/>
                <w:szCs w:val="20"/>
                <w:color w:val="auto"/>
              </w:rPr>
            </w:pPr>
            <w:r>
              <w:rPr>
                <w:rFonts w:ascii="Arial" w:cs="Arial" w:eastAsia="Arial" w:hAnsi="Arial"/>
                <w:sz w:val="11"/>
                <w:szCs w:val="11"/>
                <w:b w:val="1"/>
                <w:bCs w:val="1"/>
                <w:color w:val="auto"/>
              </w:rPr>
              <w:t>Restructuring</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3"/>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64"/>
              <w:spacing w:after="0"/>
              <w:rPr>
                <w:sz w:val="20"/>
                <w:szCs w:val="20"/>
                <w:color w:val="auto"/>
              </w:rPr>
            </w:pPr>
            <w:r>
              <w:rPr>
                <w:rFonts w:ascii="Arial" w:cs="Arial" w:eastAsia="Arial" w:hAnsi="Arial"/>
                <w:sz w:val="11"/>
                <w:szCs w:val="11"/>
                <w:b w:val="1"/>
                <w:bCs w:val="1"/>
                <w:color w:val="auto"/>
              </w:rPr>
              <w:t>(Benefit) /</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Impairment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OPEB MTM</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264"/>
              <w:spacing w:after="0"/>
              <w:rPr>
                <w:sz w:val="20"/>
                <w:szCs w:val="20"/>
                <w:color w:val="auto"/>
              </w:rPr>
            </w:pPr>
            <w:r>
              <w:rPr>
                <w:rFonts w:ascii="Arial" w:cs="Arial" w:eastAsia="Arial" w:hAnsi="Arial"/>
                <w:sz w:val="11"/>
                <w:szCs w:val="11"/>
                <w:b w:val="1"/>
                <w:bCs w:val="1"/>
                <w:color w:val="auto"/>
              </w:rPr>
              <w:t>&amp;</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8"/>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84"/>
              <w:spacing w:after="0"/>
              <w:rPr>
                <w:sz w:val="20"/>
                <w:szCs w:val="20"/>
                <w:color w:val="auto"/>
              </w:rPr>
            </w:pPr>
            <w:r>
              <w:rPr>
                <w:rFonts w:ascii="Arial" w:cs="Arial" w:eastAsia="Arial" w:hAnsi="Arial"/>
                <w:sz w:val="11"/>
                <w:szCs w:val="11"/>
                <w:b w:val="1"/>
                <w:bCs w:val="1"/>
                <w:color w:val="auto"/>
              </w:rPr>
              <w:t>GAAP</w:t>
            </w:r>
          </w:p>
        </w:tc>
        <w:tc>
          <w:tcPr>
            <w:tcW w:w="100" w:type="dxa"/>
            <w:vAlign w:val="bottom"/>
          </w:tcPr>
          <w:p>
            <w:pPr>
              <w:spacing w:after="0"/>
              <w:rPr>
                <w:sz w:val="12"/>
                <w:szCs w:val="12"/>
                <w:color w:val="auto"/>
              </w:rPr>
            </w:pPr>
          </w:p>
        </w:tc>
        <w:tc>
          <w:tcPr>
            <w:tcW w:w="640" w:type="dxa"/>
            <w:vAlign w:val="bottom"/>
          </w:tcPr>
          <w:p>
            <w:pPr>
              <w:jc w:val="center"/>
              <w:ind w:right="44"/>
              <w:spacing w:after="0"/>
              <w:rPr>
                <w:sz w:val="20"/>
                <w:szCs w:val="20"/>
                <w:color w:val="auto"/>
              </w:rPr>
            </w:pPr>
            <w:r>
              <w:rPr>
                <w:rFonts w:ascii="Arial" w:cs="Arial" w:eastAsia="Arial" w:hAnsi="Arial"/>
                <w:sz w:val="11"/>
                <w:szCs w:val="11"/>
                <w:b w:val="1"/>
                <w:bCs w:val="1"/>
                <w:color w:val="auto"/>
              </w:rPr>
              <w:t>Charges</w:t>
            </w:r>
          </w:p>
        </w:tc>
        <w:tc>
          <w:tcPr>
            <w:tcW w:w="100" w:type="dxa"/>
            <w:vAlign w:val="bottom"/>
          </w:tcPr>
          <w:p>
            <w:pPr>
              <w:spacing w:after="0"/>
              <w:rPr>
                <w:sz w:val="12"/>
                <w:szCs w:val="12"/>
                <w:color w:val="auto"/>
              </w:rPr>
            </w:pPr>
          </w:p>
        </w:tc>
        <w:tc>
          <w:tcPr>
            <w:tcW w:w="640" w:type="dxa"/>
            <w:vAlign w:val="bottom"/>
          </w:tcPr>
          <w:p>
            <w:pPr>
              <w:jc w:val="center"/>
              <w:ind w:right="64"/>
              <w:spacing w:after="0"/>
              <w:rPr>
                <w:sz w:val="20"/>
                <w:szCs w:val="20"/>
                <w:color w:val="auto"/>
              </w:rPr>
            </w:pPr>
            <w:r>
              <w:rPr>
                <w:rFonts w:ascii="Arial" w:cs="Arial" w:eastAsia="Arial" w:hAnsi="Arial"/>
                <w:sz w:val="11"/>
                <w:szCs w:val="11"/>
                <w:b w:val="1"/>
                <w:bCs w:val="1"/>
                <w:color w:val="auto"/>
                <w:w w:val="99"/>
              </w:rPr>
              <w:t>Charges</w:t>
            </w:r>
          </w:p>
        </w:tc>
        <w:tc>
          <w:tcPr>
            <w:tcW w:w="100" w:type="dxa"/>
            <w:vAlign w:val="bottom"/>
          </w:tcPr>
          <w:p>
            <w:pPr>
              <w:spacing w:after="0"/>
              <w:rPr>
                <w:sz w:val="12"/>
                <w:szCs w:val="12"/>
                <w:color w:val="auto"/>
              </w:rPr>
            </w:pPr>
          </w:p>
        </w:tc>
        <w:tc>
          <w:tcPr>
            <w:tcW w:w="620" w:type="dxa"/>
            <w:vAlign w:val="bottom"/>
          </w:tcPr>
          <w:p>
            <w:pPr>
              <w:jc w:val="right"/>
              <w:ind w:right="64"/>
              <w:spacing w:after="0"/>
              <w:rPr>
                <w:sz w:val="20"/>
                <w:szCs w:val="20"/>
                <w:color w:val="auto"/>
              </w:rPr>
            </w:pPr>
            <w:r>
              <w:rPr>
                <w:rFonts w:ascii="Arial" w:cs="Arial" w:eastAsia="Arial" w:hAnsi="Arial"/>
                <w:sz w:val="11"/>
                <w:szCs w:val="11"/>
                <w:b w:val="1"/>
                <w:bCs w:val="1"/>
                <w:color w:val="auto"/>
                <w:w w:val="96"/>
              </w:rPr>
              <w:t>Litigation</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(Gain) / Loss</w:t>
            </w:r>
          </w:p>
        </w:tc>
        <w:tc>
          <w:tcPr>
            <w:tcW w:w="40" w:type="dxa"/>
            <w:vAlign w:val="bottom"/>
          </w:tcPr>
          <w:p>
            <w:pPr>
              <w:spacing w:after="0"/>
              <w:rPr>
                <w:sz w:val="12"/>
                <w:szCs w:val="12"/>
                <w:color w:val="auto"/>
              </w:rPr>
            </w:pPr>
          </w:p>
        </w:tc>
        <w:tc>
          <w:tcPr>
            <w:tcW w:w="760" w:type="dxa"/>
            <w:vAlign w:val="bottom"/>
            <w:gridSpan w:val="2"/>
          </w:tcPr>
          <w:p>
            <w:pPr>
              <w:jc w:val="center"/>
              <w:ind w:right="24"/>
              <w:spacing w:after="0"/>
              <w:rPr>
                <w:sz w:val="20"/>
                <w:szCs w:val="20"/>
                <w:color w:val="auto"/>
              </w:rPr>
            </w:pPr>
            <w:r>
              <w:rPr>
                <w:rFonts w:ascii="Arial" w:cs="Arial" w:eastAsia="Arial" w:hAnsi="Arial"/>
                <w:sz w:val="11"/>
                <w:szCs w:val="11"/>
                <w:b w:val="1"/>
                <w:bCs w:val="1"/>
                <w:color w:val="auto"/>
              </w:rPr>
              <w:t>Acquisitions</w:t>
            </w:r>
          </w:p>
        </w:tc>
        <w:tc>
          <w:tcPr>
            <w:tcW w:w="720" w:type="dxa"/>
            <w:vAlign w:val="bottom"/>
            <w:gridSpan w:val="2"/>
          </w:tcPr>
          <w:p>
            <w:pPr>
              <w:jc w:val="center"/>
              <w:ind w:left="4"/>
              <w:spacing w:after="0"/>
              <w:rPr>
                <w:sz w:val="20"/>
                <w:szCs w:val="20"/>
                <w:color w:val="auto"/>
              </w:rPr>
            </w:pPr>
            <w:r>
              <w:rPr>
                <w:rFonts w:ascii="Arial" w:cs="Arial" w:eastAsia="Arial" w:hAnsi="Arial"/>
                <w:sz w:val="11"/>
                <w:szCs w:val="11"/>
                <w:b w:val="1"/>
                <w:bCs w:val="1"/>
                <w:color w:val="auto"/>
              </w:rPr>
              <w:t>Non-GAAP</w:t>
            </w:r>
          </w:p>
        </w:tc>
      </w:tr>
      <w:tr>
        <w:trPr>
          <w:trHeight w:val="285"/>
        </w:trPr>
        <w:tc>
          <w:tcPr>
            <w:tcW w:w="3340" w:type="dxa"/>
            <w:vAlign w:val="bottom"/>
          </w:tcPr>
          <w:p>
            <w:pPr>
              <w:spacing w:after="0"/>
              <w:rPr>
                <w:sz w:val="20"/>
                <w:szCs w:val="20"/>
                <w:color w:val="auto"/>
              </w:rPr>
            </w:pPr>
            <w:r>
              <w:rPr>
                <w:rFonts w:ascii="Arial" w:cs="Arial" w:eastAsia="Arial" w:hAnsi="Arial"/>
                <w:sz w:val="11"/>
                <w:szCs w:val="11"/>
                <w:color w:val="auto"/>
              </w:rPr>
              <w:t>Operating Income</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536.4</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center"/>
              <w:ind w:left="86"/>
              <w:spacing w:after="0"/>
              <w:rPr>
                <w:sz w:val="20"/>
                <w:szCs w:val="20"/>
                <w:color w:val="auto"/>
              </w:rPr>
            </w:pPr>
            <w:r>
              <w:rPr>
                <w:rFonts w:ascii="Arial" w:cs="Arial" w:eastAsia="Arial" w:hAnsi="Arial"/>
                <w:sz w:val="11"/>
                <w:szCs w:val="11"/>
                <w:color w:val="auto"/>
              </w:rPr>
              <w:t>(222.7)</w:t>
            </w:r>
          </w:p>
        </w:tc>
        <w:tc>
          <w:tcPr>
            <w:tcW w:w="20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560" w:type="dxa"/>
            <w:vAlign w:val="bottom"/>
          </w:tcPr>
          <w:p>
            <w:pPr>
              <w:jc w:val="center"/>
              <w:ind w:left="124"/>
              <w:spacing w:after="0"/>
              <w:rPr>
                <w:sz w:val="20"/>
                <w:szCs w:val="20"/>
                <w:color w:val="auto"/>
              </w:rPr>
            </w:pPr>
            <w:r>
              <w:rPr>
                <w:rFonts w:ascii="Arial" w:cs="Arial" w:eastAsia="Arial" w:hAnsi="Arial"/>
                <w:sz w:val="11"/>
                <w:szCs w:val="11"/>
                <w:color w:val="auto"/>
              </w:rPr>
              <w:t>39.6</w:t>
            </w:r>
          </w:p>
        </w:tc>
        <w:tc>
          <w:tcPr>
            <w:tcW w:w="1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353.2</w:t>
            </w:r>
          </w:p>
        </w:tc>
      </w:tr>
      <w:tr>
        <w:trPr>
          <w:trHeight w:val="134"/>
        </w:trPr>
        <w:tc>
          <w:tcPr>
            <w:tcW w:w="3340" w:type="dxa"/>
            <w:vAlign w:val="bottom"/>
          </w:tcPr>
          <w:p>
            <w:pPr>
              <w:spacing w:after="0"/>
              <w:rPr>
                <w:sz w:val="20"/>
                <w:szCs w:val="20"/>
                <w:color w:val="auto"/>
              </w:rPr>
            </w:pPr>
            <w:r>
              <w:rPr>
                <w:rFonts w:ascii="Arial" w:cs="Arial" w:eastAsia="Arial" w:hAnsi="Arial"/>
                <w:sz w:val="11"/>
                <w:szCs w:val="11"/>
                <w:color w:val="auto"/>
              </w:rPr>
              <w:t>Other Income / (Expense)</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(19.2)</w:t>
            </w:r>
          </w:p>
        </w:tc>
        <w:tc>
          <w:tcPr>
            <w:tcW w:w="100" w:type="dxa"/>
            <w:vAlign w:val="bottom"/>
          </w:tcPr>
          <w:p>
            <w:pPr>
              <w:spacing w:after="0"/>
              <w:rPr>
                <w:sz w:val="11"/>
                <w:szCs w:val="11"/>
                <w:color w:val="auto"/>
              </w:rPr>
            </w:pPr>
          </w:p>
        </w:tc>
        <w:tc>
          <w:tcPr>
            <w:tcW w:w="640" w:type="dxa"/>
            <w:vAlign w:val="bottom"/>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tcPr>
          <w:p>
            <w:pPr>
              <w:jc w:val="center"/>
              <w:ind w:left="244"/>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11"/>
                <w:szCs w:val="11"/>
                <w:color w:val="auto"/>
              </w:rPr>
            </w:pPr>
          </w:p>
        </w:tc>
        <w:tc>
          <w:tcPr>
            <w:tcW w:w="62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(0.2)</w:t>
            </w:r>
          </w:p>
        </w:tc>
        <w:tc>
          <w:tcPr>
            <w:tcW w:w="200" w:type="dxa"/>
            <w:vAlign w:val="bottom"/>
          </w:tcPr>
          <w:p>
            <w:pPr>
              <w:spacing w:after="0"/>
              <w:rPr>
                <w:sz w:val="11"/>
                <w:szCs w:val="11"/>
                <w:color w:val="auto"/>
              </w:rPr>
            </w:pPr>
          </w:p>
        </w:tc>
        <w:tc>
          <w:tcPr>
            <w:tcW w:w="560" w:type="dxa"/>
            <w:vAlign w:val="bottom"/>
          </w:tcPr>
          <w:p>
            <w:pPr>
              <w:jc w:val="center"/>
              <w:ind w:left="10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43"/>
        </w:trPr>
        <w:tc>
          <w:tcPr>
            <w:tcW w:w="3340" w:type="dxa"/>
            <w:vAlign w:val="bottom"/>
          </w:tcPr>
          <w:p>
            <w:pPr>
              <w:spacing w:after="0"/>
              <w:rPr>
                <w:sz w:val="20"/>
                <w:szCs w:val="20"/>
                <w:color w:val="auto"/>
              </w:rPr>
            </w:pPr>
            <w:r>
              <w:rPr>
                <w:rFonts w:ascii="Arial" w:cs="Arial" w:eastAsia="Arial" w:hAnsi="Arial"/>
                <w:sz w:val="11"/>
                <w:szCs w:val="11"/>
                <w:color w:val="auto"/>
              </w:rPr>
              <w:t>Income Tax (Expense) / Benefit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(184.6)</w:t>
            </w:r>
          </w:p>
        </w:tc>
        <w:tc>
          <w:tcPr>
            <w:tcW w:w="100" w:type="dxa"/>
            <w:vAlign w:val="bottom"/>
          </w:tcPr>
          <w:p>
            <w:pPr>
              <w:spacing w:after="0"/>
              <w:rPr>
                <w:sz w:val="12"/>
                <w:szCs w:val="12"/>
                <w:color w:val="auto"/>
              </w:rPr>
            </w:pPr>
          </w:p>
        </w:tc>
        <w:tc>
          <w:tcPr>
            <w:tcW w:w="640" w:type="dxa"/>
            <w:vAlign w:val="bottom"/>
          </w:tcPr>
          <w:p>
            <w:pPr>
              <w:ind w:left="420"/>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2"/>
                <w:szCs w:val="12"/>
                <w:color w:val="auto"/>
              </w:rPr>
            </w:pPr>
          </w:p>
        </w:tc>
        <w:tc>
          <w:tcPr>
            <w:tcW w:w="64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80.4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left="144"/>
              <w:spacing w:after="0"/>
              <w:rPr>
                <w:sz w:val="20"/>
                <w:szCs w:val="20"/>
                <w:color w:val="auto"/>
              </w:rPr>
            </w:pPr>
            <w:r>
              <w:rPr>
                <w:rFonts w:ascii="Arial" w:cs="Arial" w:eastAsia="Arial" w:hAnsi="Arial"/>
                <w:sz w:val="11"/>
                <w:szCs w:val="11"/>
                <w:color w:val="auto"/>
                <w:w w:val="97"/>
              </w:rPr>
              <w:t>(13.2)</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(111.1)</w:t>
            </w:r>
          </w:p>
        </w:tc>
      </w:tr>
      <w:tr>
        <w:trPr>
          <w:trHeight w:val="143"/>
        </w:trPr>
        <w:tc>
          <w:tcPr>
            <w:tcW w:w="3340" w:type="dxa"/>
            <w:vAlign w:val="bottom"/>
          </w:tcPr>
          <w:p>
            <w:pPr>
              <w:spacing w:after="0"/>
              <w:rPr>
                <w:sz w:val="20"/>
                <w:szCs w:val="20"/>
                <w:color w:val="auto"/>
              </w:rPr>
            </w:pPr>
            <w:r>
              <w:rPr>
                <w:rFonts w:ascii="Arial" w:cs="Arial" w:eastAsia="Arial" w:hAnsi="Arial"/>
                <w:sz w:val="11"/>
                <w:szCs w:val="11"/>
                <w:color w:val="auto"/>
              </w:rPr>
              <w:t>Net Income (Loss)</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332.6</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ind w:left="420"/>
              <w:spacing w:after="0"/>
              <w:rPr>
                <w:sz w:val="20"/>
                <w:szCs w:val="20"/>
                <w:color w:val="auto"/>
              </w:rPr>
            </w:pPr>
            <w:r>
              <w:rPr>
                <w:rFonts w:ascii="Arial" w:cs="Arial" w:eastAsia="Arial" w:hAnsi="Arial"/>
                <w:sz w:val="11"/>
                <w:szCs w:val="11"/>
                <w:color w:val="auto"/>
              </w:rPr>
              <w:t>6.3</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center"/>
              <w:ind w:left="244"/>
              <w:spacing w:after="0"/>
              <w:rPr>
                <w:sz w:val="20"/>
                <w:szCs w:val="20"/>
                <w:color w:val="auto"/>
              </w:rPr>
            </w:pPr>
            <w:r>
              <w:rPr>
                <w:rFonts w:ascii="Arial" w:cs="Arial" w:eastAsia="Arial" w:hAnsi="Arial"/>
                <w:sz w:val="11"/>
                <w:szCs w:val="11"/>
                <w:color w:val="auto"/>
              </w:rPr>
              <w:t>19.1</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center"/>
              <w:ind w:left="86"/>
              <w:spacing w:after="0"/>
              <w:rPr>
                <w:sz w:val="20"/>
                <w:szCs w:val="20"/>
                <w:color w:val="auto"/>
              </w:rPr>
            </w:pPr>
            <w:r>
              <w:rPr>
                <w:rFonts w:ascii="Arial" w:cs="Arial" w:eastAsia="Arial" w:hAnsi="Arial"/>
                <w:sz w:val="11"/>
                <w:szCs w:val="11"/>
                <w:color w:val="auto"/>
              </w:rPr>
              <w:t>(142.5)</w:t>
            </w:r>
          </w:p>
        </w:tc>
        <w:tc>
          <w:tcPr>
            <w:tcW w:w="20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560" w:type="dxa"/>
            <w:vAlign w:val="bottom"/>
          </w:tcPr>
          <w:p>
            <w:pPr>
              <w:jc w:val="center"/>
              <w:ind w:left="124"/>
              <w:spacing w:after="0"/>
              <w:rPr>
                <w:sz w:val="20"/>
                <w:szCs w:val="20"/>
                <w:color w:val="auto"/>
              </w:rPr>
            </w:pPr>
            <w:r>
              <w:rPr>
                <w:rFonts w:ascii="Arial" w:cs="Arial" w:eastAsia="Arial" w:hAnsi="Arial"/>
                <w:sz w:val="11"/>
                <w:szCs w:val="11"/>
                <w:color w:val="auto"/>
              </w:rPr>
              <w:t>26.4</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241.9</w:t>
            </w:r>
          </w:p>
        </w:tc>
      </w:tr>
      <w:tr>
        <w:trPr>
          <w:trHeight w:val="142"/>
        </w:trPr>
        <w:tc>
          <w:tcPr>
            <w:tcW w:w="3340" w:type="dxa"/>
            <w:vAlign w:val="bottom"/>
          </w:tcPr>
          <w:p>
            <w:pPr>
              <w:spacing w:after="0"/>
              <w:rPr>
                <w:sz w:val="20"/>
                <w:szCs w:val="20"/>
                <w:color w:val="auto"/>
              </w:rPr>
            </w:pPr>
            <w:r>
              <w:rPr>
                <w:rFonts w:ascii="Arial" w:cs="Arial" w:eastAsia="Arial" w:hAnsi="Arial"/>
                <w:sz w:val="11"/>
                <w:szCs w:val="11"/>
                <w:color w:val="auto"/>
              </w:rPr>
              <w:t>Net Loss Attributable to Non-Controlling Interest</w:t>
            </w:r>
          </w:p>
        </w:tc>
        <w:tc>
          <w:tcPr>
            <w:tcW w:w="120" w:type="dxa"/>
            <w:vAlign w:val="bottom"/>
          </w:tcPr>
          <w:p>
            <w:pPr>
              <w:spacing w:after="0"/>
              <w:rPr>
                <w:sz w:val="12"/>
                <w:szCs w:val="12"/>
                <w:color w:val="auto"/>
              </w:rPr>
            </w:pP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13.5</w:t>
            </w:r>
          </w:p>
        </w:tc>
        <w:tc>
          <w:tcPr>
            <w:tcW w:w="100" w:type="dxa"/>
            <w:vAlign w:val="bottom"/>
          </w:tcPr>
          <w:p>
            <w:pPr>
              <w:spacing w:after="0"/>
              <w:rPr>
                <w:sz w:val="12"/>
                <w:szCs w:val="12"/>
                <w:color w:val="auto"/>
              </w:rPr>
            </w:pPr>
          </w:p>
        </w:tc>
        <w:tc>
          <w:tcPr>
            <w:tcW w:w="640" w:type="dxa"/>
            <w:vAlign w:val="bottom"/>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460" w:type="dxa"/>
            <w:vAlign w:val="bottom"/>
          </w:tcPr>
          <w:p>
            <w:pPr>
              <w:jc w:val="center"/>
              <w:ind w:left="106"/>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left="10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13.5</w:t>
            </w:r>
          </w:p>
        </w:tc>
      </w:tr>
      <w:tr>
        <w:trPr>
          <w:trHeight w:val="134"/>
        </w:trPr>
        <w:tc>
          <w:tcPr>
            <w:tcW w:w="3340" w:type="dxa"/>
            <w:vAlign w:val="bottom"/>
          </w:tcPr>
          <w:p>
            <w:pPr>
              <w:spacing w:after="0"/>
              <w:rPr>
                <w:sz w:val="20"/>
                <w:szCs w:val="20"/>
                <w:color w:val="auto"/>
              </w:rPr>
            </w:pPr>
            <w:r>
              <w:rPr>
                <w:rFonts w:ascii="Arial" w:cs="Arial" w:eastAsia="Arial" w:hAnsi="Arial"/>
                <w:sz w:val="11"/>
                <w:szCs w:val="11"/>
                <w:color w:val="auto"/>
              </w:rPr>
              <w:t>Net Income (Loss) Attributable to The Babcock &amp; Wilcox Company</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346.1</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ind w:left="420"/>
              <w:spacing w:after="0"/>
              <w:rPr>
                <w:sz w:val="20"/>
                <w:szCs w:val="20"/>
                <w:color w:val="auto"/>
              </w:rPr>
            </w:pPr>
            <w:r>
              <w:rPr>
                <w:rFonts w:ascii="Arial" w:cs="Arial" w:eastAsia="Arial" w:hAnsi="Arial"/>
                <w:sz w:val="11"/>
                <w:szCs w:val="11"/>
                <w:color w:val="auto"/>
              </w:rPr>
              <w:t>6.3</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center"/>
              <w:ind w:left="244"/>
              <w:spacing w:after="0"/>
              <w:rPr>
                <w:sz w:val="20"/>
                <w:szCs w:val="20"/>
                <w:color w:val="auto"/>
              </w:rPr>
            </w:pPr>
            <w:r>
              <w:rPr>
                <w:rFonts w:ascii="Arial" w:cs="Arial" w:eastAsia="Arial" w:hAnsi="Arial"/>
                <w:sz w:val="11"/>
                <w:szCs w:val="11"/>
                <w:color w:val="auto"/>
              </w:rPr>
              <w:t>19.1</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center"/>
              <w:ind w:left="86"/>
              <w:spacing w:after="0"/>
              <w:rPr>
                <w:sz w:val="20"/>
                <w:szCs w:val="20"/>
                <w:color w:val="auto"/>
              </w:rPr>
            </w:pPr>
            <w:r>
              <w:rPr>
                <w:rFonts w:ascii="Arial" w:cs="Arial" w:eastAsia="Arial" w:hAnsi="Arial"/>
                <w:sz w:val="11"/>
                <w:szCs w:val="11"/>
                <w:color w:val="auto"/>
              </w:rPr>
              <w:t>(142.5)</w:t>
            </w:r>
          </w:p>
        </w:tc>
        <w:tc>
          <w:tcPr>
            <w:tcW w:w="20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560" w:type="dxa"/>
            <w:vAlign w:val="bottom"/>
          </w:tcPr>
          <w:p>
            <w:pPr>
              <w:jc w:val="center"/>
              <w:ind w:left="124"/>
              <w:spacing w:after="0"/>
              <w:rPr>
                <w:sz w:val="20"/>
                <w:szCs w:val="20"/>
                <w:color w:val="auto"/>
              </w:rPr>
            </w:pPr>
            <w:r>
              <w:rPr>
                <w:rFonts w:ascii="Arial" w:cs="Arial" w:eastAsia="Arial" w:hAnsi="Arial"/>
                <w:sz w:val="11"/>
                <w:szCs w:val="11"/>
                <w:color w:val="auto"/>
              </w:rPr>
              <w:t>26.4</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255.3</w:t>
            </w:r>
          </w:p>
        </w:tc>
      </w:tr>
      <w:tr>
        <w:trPr>
          <w:trHeight w:val="297"/>
        </w:trPr>
        <w:tc>
          <w:tcPr>
            <w:tcW w:w="3340" w:type="dxa"/>
            <w:vAlign w:val="bottom"/>
          </w:tcPr>
          <w:p>
            <w:pPr>
              <w:spacing w:after="0"/>
              <w:rPr>
                <w:sz w:val="20"/>
                <w:szCs w:val="20"/>
                <w:color w:val="auto"/>
              </w:rPr>
            </w:pPr>
            <w:r>
              <w:rPr>
                <w:rFonts w:ascii="Arial" w:cs="Arial" w:eastAsia="Arial" w:hAnsi="Arial"/>
                <w:sz w:val="11"/>
                <w:szCs w:val="11"/>
                <w:color w:val="auto"/>
              </w:rPr>
              <w:t>Diluted Earnings per Common Share</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3.07</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
              <w:spacing w:after="0"/>
              <w:rPr>
                <w:sz w:val="20"/>
                <w:szCs w:val="20"/>
                <w:color w:val="auto"/>
              </w:rPr>
            </w:pPr>
            <w:r>
              <w:rPr>
                <w:rFonts w:ascii="Arial" w:cs="Arial" w:eastAsia="Arial" w:hAnsi="Arial"/>
                <w:sz w:val="11"/>
                <w:szCs w:val="11"/>
                <w:color w:val="auto"/>
              </w:rPr>
              <w:t>0.06</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center"/>
              <w:ind w:left="244"/>
              <w:spacing w:after="0"/>
              <w:rPr>
                <w:sz w:val="20"/>
                <w:szCs w:val="20"/>
                <w:color w:val="auto"/>
              </w:rPr>
            </w:pPr>
            <w:r>
              <w:rPr>
                <w:rFonts w:ascii="Arial" w:cs="Arial" w:eastAsia="Arial" w:hAnsi="Arial"/>
                <w:sz w:val="11"/>
                <w:szCs w:val="11"/>
                <w:color w:val="auto"/>
              </w:rPr>
              <w:t>0.17</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60" w:type="dxa"/>
            <w:vAlign w:val="bottom"/>
          </w:tcPr>
          <w:p>
            <w:pPr>
              <w:ind w:left="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(1.26)</w:t>
            </w:r>
          </w:p>
        </w:tc>
        <w:tc>
          <w:tcPr>
            <w:tcW w:w="20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560" w:type="dxa"/>
            <w:vAlign w:val="bottom"/>
          </w:tcPr>
          <w:p>
            <w:pPr>
              <w:jc w:val="center"/>
              <w:ind w:left="124"/>
              <w:spacing w:after="0"/>
              <w:rPr>
                <w:sz w:val="20"/>
                <w:szCs w:val="20"/>
                <w:color w:val="auto"/>
              </w:rPr>
            </w:pPr>
            <w:r>
              <w:rPr>
                <w:rFonts w:ascii="Arial" w:cs="Arial" w:eastAsia="Arial" w:hAnsi="Arial"/>
                <w:sz w:val="11"/>
                <w:szCs w:val="11"/>
                <w:color w:val="auto"/>
              </w:rPr>
              <w:t>0.23</w:t>
            </w:r>
          </w:p>
        </w:tc>
        <w:tc>
          <w:tcPr>
            <w:tcW w:w="1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2.27</w:t>
            </w:r>
          </w:p>
        </w:tc>
      </w:tr>
      <w:tr>
        <w:trPr>
          <w:trHeight w:val="286"/>
        </w:trPr>
        <w:tc>
          <w:tcPr>
            <w:tcW w:w="3340" w:type="dxa"/>
            <w:vAlign w:val="bottom"/>
          </w:tcPr>
          <w:p>
            <w:pPr>
              <w:spacing w:after="0"/>
              <w:rPr>
                <w:sz w:val="20"/>
                <w:szCs w:val="20"/>
                <w:color w:val="auto"/>
              </w:rPr>
            </w:pPr>
            <w:r>
              <w:rPr>
                <w:rFonts w:ascii="Arial" w:cs="Arial" w:eastAsia="Arial" w:hAnsi="Arial"/>
                <w:sz w:val="11"/>
                <w:szCs w:val="11"/>
                <w:color w:val="auto"/>
              </w:rPr>
              <w:t>Tax Rate</w:t>
            </w:r>
          </w:p>
        </w:tc>
        <w:tc>
          <w:tcPr>
            <w:tcW w:w="120" w:type="dxa"/>
            <w:vAlign w:val="bottom"/>
          </w:tcPr>
          <w:p>
            <w:pPr>
              <w:spacing w:after="0"/>
              <w:rPr>
                <w:sz w:val="24"/>
                <w:szCs w:val="24"/>
                <w:color w:val="auto"/>
              </w:rPr>
            </w:pPr>
          </w:p>
        </w:tc>
        <w:tc>
          <w:tcPr>
            <w:tcW w:w="620" w:type="dxa"/>
            <w:vAlign w:val="bottom"/>
          </w:tcPr>
          <w:p>
            <w:pPr>
              <w:jc w:val="center"/>
              <w:ind w:right="84"/>
              <w:spacing w:after="0"/>
              <w:rPr>
                <w:sz w:val="20"/>
                <w:szCs w:val="20"/>
                <w:color w:val="auto"/>
              </w:rPr>
            </w:pPr>
            <w:r>
              <w:rPr>
                <w:rFonts w:ascii="Arial" w:cs="Arial" w:eastAsia="Arial" w:hAnsi="Arial"/>
                <w:sz w:val="11"/>
                <w:szCs w:val="11"/>
                <w:color w:val="auto"/>
              </w:rPr>
              <w:t>35.7%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center"/>
              <w:ind w:right="64"/>
              <w:spacing w:after="0"/>
              <w:rPr>
                <w:sz w:val="20"/>
                <w:szCs w:val="20"/>
                <w:color w:val="auto"/>
              </w:rPr>
            </w:pPr>
            <w:r>
              <w:rPr>
                <w:rFonts w:ascii="Arial" w:cs="Arial" w:eastAsia="Arial" w:hAnsi="Arial"/>
                <w:sz w:val="11"/>
                <w:szCs w:val="11"/>
                <w:color w:val="auto"/>
              </w:rPr>
              <w:t>31.5%</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*Note: May not foot due to rounding</w:t>
      </w:r>
    </w:p>
    <w:p>
      <w:pPr>
        <w:spacing w:after="0" w:line="59"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949CA1"/>
        </w:rPr>
        <w:t>17</w:t>
      </w:r>
    </w:p>
    <w:p>
      <w:pPr>
        <w:spacing w:after="0" w:line="200" w:lineRule="exact"/>
        <w:rPr>
          <w:sz w:val="20"/>
          <w:szCs w:val="20"/>
          <w:color w:val="auto"/>
        </w:rPr>
      </w:pPr>
    </w:p>
    <w:p>
      <w:pPr>
        <w:spacing w:after="0" w:line="324" w:lineRule="exact"/>
        <w:rPr>
          <w:sz w:val="20"/>
          <w:szCs w:val="20"/>
          <w:color w:val="auto"/>
        </w:rPr>
      </w:pPr>
    </w:p>
    <w:p>
      <w:pPr>
        <w:ind w:left="320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39"/>
          </w:cols>
          <w:pgMar w:left="820" w:top="1201" w:right="1440" w:bottom="1440" w:gutter="0" w:footer="0" w:header="0"/>
        </w:sectPr>
      </w:pPr>
    </w:p>
    <w:bookmarkStart w:id="19" w:name="page20"/>
    <w:bookmarkEnd w:id="19"/>
    <w:p>
      <w:pPr>
        <w:spacing w:after="0"/>
        <w:rPr>
          <w:sz w:val="20"/>
          <w:szCs w:val="20"/>
          <w:color w:val="auto"/>
        </w:rPr>
      </w:pPr>
      <w:r>
        <w:rPr>
          <w:rFonts w:ascii="Arial" w:cs="Arial" w:eastAsia="Arial" w:hAnsi="Arial"/>
          <w:sz w:val="30"/>
          <w:szCs w:val="30"/>
          <w:color w:val="0065A4"/>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253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8375" cy="4825365"/>
                    </a:xfrm>
                    <a:prstGeom prst="rect">
                      <a:avLst/>
                    </a:prstGeom>
                    <a:noFill/>
                  </pic:spPr>
                </pic:pic>
              </a:graphicData>
            </a:graphic>
          </wp:anchor>
        </w:drawing>
        <w:t>Reconciliation of Non-GAAP EPS and Operating Income (Cont’d)</w:t>
      </w:r>
    </w:p>
    <w:p>
      <w:pPr>
        <w:spacing w:after="0" w:line="200" w:lineRule="exact"/>
        <w:rPr>
          <w:sz w:val="20"/>
          <w:szCs w:val="20"/>
          <w:color w:val="auto"/>
        </w:rPr>
      </w:pPr>
    </w:p>
    <w:p>
      <w:pPr>
        <w:spacing w:after="0" w:line="334" w:lineRule="exact"/>
        <w:rPr>
          <w:sz w:val="20"/>
          <w:szCs w:val="20"/>
          <w:color w:val="auto"/>
        </w:rPr>
      </w:pPr>
    </w:p>
    <w:tbl>
      <w:tblPr>
        <w:tblLayout w:type="fixed"/>
        <w:tblInd w:w="140" w:type="dxa"/>
        <w:tblCellMar>
          <w:top w:w="0" w:type="dxa"/>
          <w:left w:w="0" w:type="dxa"/>
          <w:bottom w:w="0" w:type="dxa"/>
          <w:right w:w="0" w:type="dxa"/>
        </w:tblCellMar>
      </w:tblPr>
      <w:tr>
        <w:trPr>
          <w:trHeight w:val="143"/>
        </w:trPr>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20" w:type="dxa"/>
            <w:vAlign w:val="bottom"/>
            <w:gridSpan w:val="7"/>
          </w:tcPr>
          <w:p>
            <w:pPr>
              <w:ind w:left="20"/>
              <w:spacing w:after="0"/>
              <w:rPr>
                <w:sz w:val="20"/>
                <w:szCs w:val="20"/>
                <w:color w:val="auto"/>
              </w:rPr>
            </w:pPr>
            <w:r>
              <w:rPr>
                <w:rFonts w:ascii="Arial" w:cs="Arial" w:eastAsia="Arial" w:hAnsi="Arial"/>
                <w:sz w:val="11"/>
                <w:szCs w:val="11"/>
                <w:b w:val="1"/>
                <w:bCs w:val="1"/>
                <w:color w:val="auto"/>
              </w:rPr>
              <w:t>Twelve Months Ended December 31, 2012</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3"/>
        </w:trPr>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b w:val="1"/>
                <w:bCs w:val="1"/>
                <w:color w:val="auto"/>
              </w:rPr>
              <w:t>One-time tax</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Pension &amp;</w:t>
            </w:r>
          </w:p>
        </w:tc>
        <w:tc>
          <w:tcPr>
            <w:tcW w:w="800" w:type="dxa"/>
            <w:vAlign w:val="bottom"/>
            <w:gridSpan w:val="2"/>
          </w:tcPr>
          <w:p>
            <w:pPr>
              <w:jc w:val="right"/>
              <w:spacing w:after="0"/>
              <w:rPr>
                <w:sz w:val="20"/>
                <w:szCs w:val="20"/>
                <w:color w:val="auto"/>
              </w:rPr>
            </w:pPr>
            <w:r>
              <w:rPr>
                <w:rFonts w:ascii="Arial" w:cs="Arial" w:eastAsia="Arial" w:hAnsi="Arial"/>
                <w:sz w:val="11"/>
                <w:szCs w:val="11"/>
                <w:b w:val="1"/>
                <w:bCs w:val="1"/>
                <w:color w:val="auto"/>
              </w:rPr>
              <w:t>Restructuring</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3"/>
        </w:trPr>
        <w:tc>
          <w:tcPr>
            <w:tcW w:w="3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4"/>
              <w:spacing w:after="0"/>
              <w:rPr>
                <w:sz w:val="20"/>
                <w:szCs w:val="20"/>
                <w:color w:val="auto"/>
              </w:rPr>
            </w:pPr>
            <w:r>
              <w:rPr>
                <w:rFonts w:ascii="Arial" w:cs="Arial" w:eastAsia="Arial" w:hAnsi="Arial"/>
                <w:sz w:val="11"/>
                <w:szCs w:val="11"/>
                <w:b w:val="1"/>
                <w:bCs w:val="1"/>
                <w:color w:val="auto"/>
                <w:w w:val="98"/>
              </w:rPr>
              <w:t>(Benefit) /</w:t>
            </w:r>
          </w:p>
        </w:tc>
        <w:tc>
          <w:tcPr>
            <w:tcW w:w="740" w:type="dxa"/>
            <w:vAlign w:val="bottom"/>
            <w:gridSpan w:val="2"/>
          </w:tcPr>
          <w:p>
            <w:pPr>
              <w:jc w:val="right"/>
              <w:ind w:right="24"/>
              <w:spacing w:after="0"/>
              <w:rPr>
                <w:sz w:val="20"/>
                <w:szCs w:val="20"/>
                <w:color w:val="auto"/>
              </w:rPr>
            </w:pPr>
            <w:r>
              <w:rPr>
                <w:rFonts w:ascii="Arial" w:cs="Arial" w:eastAsia="Arial" w:hAnsi="Arial"/>
                <w:sz w:val="11"/>
                <w:szCs w:val="11"/>
                <w:b w:val="1"/>
                <w:bCs w:val="1"/>
                <w:color w:val="auto"/>
              </w:rPr>
              <w:t>Impairment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OPEB MTM</w:t>
            </w:r>
          </w:p>
        </w:tc>
        <w:tc>
          <w:tcPr>
            <w:tcW w:w="240" w:type="dxa"/>
            <w:vAlign w:val="bottom"/>
          </w:tcPr>
          <w:p>
            <w:pPr>
              <w:spacing w:after="0"/>
              <w:rPr>
                <w:sz w:val="11"/>
                <w:szCs w:val="11"/>
                <w:color w:val="auto"/>
              </w:rPr>
            </w:pPr>
          </w:p>
        </w:tc>
        <w:tc>
          <w:tcPr>
            <w:tcW w:w="560" w:type="dxa"/>
            <w:vAlign w:val="bottom"/>
          </w:tcPr>
          <w:p>
            <w:pPr>
              <w:jc w:val="right"/>
              <w:ind w:right="344"/>
              <w:spacing w:after="0"/>
              <w:rPr>
                <w:sz w:val="20"/>
                <w:szCs w:val="20"/>
                <w:color w:val="auto"/>
              </w:rPr>
            </w:pPr>
            <w:r>
              <w:rPr>
                <w:rFonts w:ascii="Arial" w:cs="Arial" w:eastAsia="Arial" w:hAnsi="Arial"/>
                <w:sz w:val="11"/>
                <w:szCs w:val="11"/>
                <w:b w:val="1"/>
                <w:bCs w:val="1"/>
                <w:color w:val="auto"/>
              </w:rPr>
              <w:t>&amp;</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8"/>
        </w:trPr>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jc w:val="right"/>
              <w:ind w:right="164"/>
              <w:spacing w:after="0"/>
              <w:rPr>
                <w:sz w:val="20"/>
                <w:szCs w:val="20"/>
                <w:color w:val="auto"/>
              </w:rPr>
            </w:pPr>
            <w:r>
              <w:rPr>
                <w:rFonts w:ascii="Arial" w:cs="Arial" w:eastAsia="Arial" w:hAnsi="Arial"/>
                <w:sz w:val="11"/>
                <w:szCs w:val="11"/>
                <w:b w:val="1"/>
                <w:bCs w:val="1"/>
                <w:color w:val="auto"/>
              </w:rPr>
              <w:t>GAAP</w:t>
            </w:r>
          </w:p>
        </w:tc>
        <w:tc>
          <w:tcPr>
            <w:tcW w:w="100" w:type="dxa"/>
            <w:vAlign w:val="bottom"/>
          </w:tcPr>
          <w:p>
            <w:pPr>
              <w:spacing w:after="0"/>
              <w:rPr>
                <w:sz w:val="12"/>
                <w:szCs w:val="12"/>
                <w:color w:val="auto"/>
              </w:rPr>
            </w:pPr>
          </w:p>
        </w:tc>
        <w:tc>
          <w:tcPr>
            <w:tcW w:w="640" w:type="dxa"/>
            <w:vAlign w:val="bottom"/>
          </w:tcPr>
          <w:p>
            <w:pPr>
              <w:jc w:val="right"/>
              <w:ind w:right="84"/>
              <w:spacing w:after="0"/>
              <w:rPr>
                <w:sz w:val="20"/>
                <w:szCs w:val="20"/>
                <w:color w:val="auto"/>
              </w:rPr>
            </w:pPr>
            <w:r>
              <w:rPr>
                <w:rFonts w:ascii="Arial" w:cs="Arial" w:eastAsia="Arial" w:hAnsi="Arial"/>
                <w:sz w:val="11"/>
                <w:szCs w:val="11"/>
                <w:b w:val="1"/>
                <w:bCs w:val="1"/>
                <w:color w:val="auto"/>
              </w:rPr>
              <w:t>Charges</w:t>
            </w:r>
          </w:p>
        </w:tc>
        <w:tc>
          <w:tcPr>
            <w:tcW w:w="120" w:type="dxa"/>
            <w:vAlign w:val="bottom"/>
          </w:tcPr>
          <w:p>
            <w:pPr>
              <w:spacing w:after="0"/>
              <w:rPr>
                <w:sz w:val="12"/>
                <w:szCs w:val="12"/>
                <w:color w:val="auto"/>
              </w:rPr>
            </w:pPr>
          </w:p>
        </w:tc>
        <w:tc>
          <w:tcPr>
            <w:tcW w:w="620" w:type="dxa"/>
            <w:vAlign w:val="bottom"/>
          </w:tcPr>
          <w:p>
            <w:pPr>
              <w:jc w:val="right"/>
              <w:ind w:right="104"/>
              <w:spacing w:after="0"/>
              <w:rPr>
                <w:sz w:val="20"/>
                <w:szCs w:val="20"/>
                <w:color w:val="auto"/>
              </w:rPr>
            </w:pPr>
            <w:r>
              <w:rPr>
                <w:rFonts w:ascii="Arial" w:cs="Arial" w:eastAsia="Arial" w:hAnsi="Arial"/>
                <w:sz w:val="11"/>
                <w:szCs w:val="11"/>
                <w:b w:val="1"/>
                <w:bCs w:val="1"/>
                <w:color w:val="auto"/>
                <w:w w:val="99"/>
              </w:rPr>
              <w:t>Charges</w:t>
            </w:r>
          </w:p>
        </w:tc>
        <w:tc>
          <w:tcPr>
            <w:tcW w:w="100" w:type="dxa"/>
            <w:vAlign w:val="bottom"/>
          </w:tcPr>
          <w:p>
            <w:pPr>
              <w:spacing w:after="0"/>
              <w:rPr>
                <w:sz w:val="12"/>
                <w:szCs w:val="12"/>
                <w:color w:val="auto"/>
              </w:rPr>
            </w:pPr>
          </w:p>
        </w:tc>
        <w:tc>
          <w:tcPr>
            <w:tcW w:w="560" w:type="dxa"/>
            <w:vAlign w:val="bottom"/>
          </w:tcPr>
          <w:p>
            <w:pPr>
              <w:jc w:val="right"/>
              <w:ind w:right="4"/>
              <w:spacing w:after="0"/>
              <w:rPr>
                <w:sz w:val="20"/>
                <w:szCs w:val="20"/>
                <w:color w:val="auto"/>
              </w:rPr>
            </w:pPr>
            <w:r>
              <w:rPr>
                <w:rFonts w:ascii="Arial" w:cs="Arial" w:eastAsia="Arial" w:hAnsi="Arial"/>
                <w:sz w:val="11"/>
                <w:szCs w:val="11"/>
                <w:b w:val="1"/>
                <w:bCs w:val="1"/>
                <w:color w:val="auto"/>
                <w:w w:val="96"/>
              </w:rPr>
              <w:t>Litigation</w:t>
            </w:r>
          </w:p>
        </w:tc>
        <w:tc>
          <w:tcPr>
            <w:tcW w:w="1580" w:type="dxa"/>
            <w:vAlign w:val="bottom"/>
            <w:gridSpan w:val="4"/>
          </w:tcPr>
          <w:p>
            <w:pPr>
              <w:jc w:val="right"/>
              <w:ind w:right="24"/>
              <w:spacing w:after="0"/>
              <w:rPr>
                <w:sz w:val="20"/>
                <w:szCs w:val="20"/>
                <w:color w:val="auto"/>
              </w:rPr>
            </w:pPr>
            <w:r>
              <w:rPr>
                <w:rFonts w:ascii="Arial" w:cs="Arial" w:eastAsia="Arial" w:hAnsi="Arial"/>
                <w:sz w:val="11"/>
                <w:szCs w:val="11"/>
                <w:b w:val="1"/>
                <w:bCs w:val="1"/>
                <w:color w:val="auto"/>
              </w:rPr>
              <w:t>(Gain) / Loss Acquisitions</w:t>
            </w:r>
          </w:p>
        </w:tc>
        <w:tc>
          <w:tcPr>
            <w:tcW w:w="720" w:type="dxa"/>
            <w:vAlign w:val="bottom"/>
            <w:gridSpan w:val="2"/>
          </w:tcPr>
          <w:p>
            <w:pPr>
              <w:jc w:val="right"/>
              <w:spacing w:after="0"/>
              <w:rPr>
                <w:sz w:val="20"/>
                <w:szCs w:val="20"/>
                <w:color w:val="auto"/>
              </w:rPr>
            </w:pPr>
            <w:r>
              <w:rPr>
                <w:rFonts w:ascii="Arial" w:cs="Arial" w:eastAsia="Arial" w:hAnsi="Arial"/>
                <w:sz w:val="11"/>
                <w:szCs w:val="11"/>
                <w:b w:val="1"/>
                <w:bCs w:val="1"/>
                <w:color w:val="auto"/>
              </w:rPr>
              <w:t>Non-GAAP</w:t>
            </w:r>
          </w:p>
        </w:tc>
      </w:tr>
      <w:tr>
        <w:trPr>
          <w:trHeight w:val="285"/>
        </w:trPr>
        <w:tc>
          <w:tcPr>
            <w:tcW w:w="3200" w:type="dxa"/>
            <w:vAlign w:val="bottom"/>
          </w:tcPr>
          <w:p>
            <w:pPr>
              <w:spacing w:after="0"/>
              <w:rPr>
                <w:sz w:val="20"/>
                <w:szCs w:val="20"/>
                <w:color w:val="auto"/>
              </w:rPr>
            </w:pPr>
            <w:r>
              <w:rPr>
                <w:rFonts w:ascii="Arial" w:cs="Arial" w:eastAsia="Arial" w:hAnsi="Arial"/>
                <w:sz w:val="11"/>
                <w:szCs w:val="11"/>
                <w:color w:val="auto"/>
              </w:rPr>
              <w:t>Operating Income (Loss)</w:t>
            </w:r>
          </w:p>
        </w:tc>
        <w:tc>
          <w:tcPr>
            <w:tcW w:w="3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
              <w:spacing w:after="0"/>
              <w:rPr>
                <w:sz w:val="20"/>
                <w:szCs w:val="20"/>
                <w:color w:val="auto"/>
              </w:rPr>
            </w:pPr>
            <w:r>
              <w:rPr>
                <w:rFonts w:ascii="Arial" w:cs="Arial" w:eastAsia="Arial" w:hAnsi="Arial"/>
                <w:sz w:val="11"/>
                <w:szCs w:val="11"/>
                <w:color w:val="auto"/>
              </w:rPr>
              <w:t>346.6</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120" w:type="dxa"/>
            <w:vAlign w:val="bottom"/>
          </w:tcPr>
          <w:p>
            <w:pPr>
              <w:ind w:left="40"/>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2.6</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320" w:type="dxa"/>
            <w:vAlign w:val="bottom"/>
          </w:tcPr>
          <w:p>
            <w:pPr>
              <w:ind w:left="10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31.9</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381.1</w:t>
            </w:r>
          </w:p>
        </w:tc>
      </w:tr>
      <w:tr>
        <w:trPr>
          <w:trHeight w:val="134"/>
        </w:trPr>
        <w:tc>
          <w:tcPr>
            <w:tcW w:w="3200" w:type="dxa"/>
            <w:vAlign w:val="bottom"/>
          </w:tcPr>
          <w:p>
            <w:pPr>
              <w:spacing w:after="0"/>
              <w:rPr>
                <w:sz w:val="20"/>
                <w:szCs w:val="20"/>
                <w:color w:val="auto"/>
              </w:rPr>
            </w:pPr>
            <w:r>
              <w:rPr>
                <w:rFonts w:ascii="Arial" w:cs="Arial" w:eastAsia="Arial" w:hAnsi="Arial"/>
                <w:sz w:val="11"/>
                <w:szCs w:val="11"/>
                <w:color w:val="auto"/>
              </w:rPr>
              <w:t>Other Income / (Expense)</w:t>
            </w:r>
          </w:p>
        </w:tc>
        <w:tc>
          <w:tcPr>
            <w:tcW w:w="3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(27.2)</w:t>
            </w:r>
          </w:p>
        </w:tc>
        <w:tc>
          <w:tcPr>
            <w:tcW w:w="100" w:type="dxa"/>
            <w:vAlign w:val="bottom"/>
          </w:tcPr>
          <w:p>
            <w:pPr>
              <w:spacing w:after="0"/>
              <w:rPr>
                <w:sz w:val="11"/>
                <w:szCs w:val="11"/>
                <w:color w:val="auto"/>
              </w:rPr>
            </w:pPr>
          </w:p>
        </w:tc>
        <w:tc>
          <w:tcPr>
            <w:tcW w:w="64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27.0</w:t>
            </w:r>
          </w:p>
        </w:tc>
        <w:tc>
          <w:tcPr>
            <w:tcW w:w="100" w:type="dxa"/>
            <w:vAlign w:val="bottom"/>
          </w:tcPr>
          <w:p>
            <w:pPr>
              <w:spacing w:after="0"/>
              <w:rPr>
                <w:sz w:val="11"/>
                <w:szCs w:val="11"/>
                <w:color w:val="auto"/>
              </w:rPr>
            </w:pPr>
          </w:p>
        </w:tc>
        <w:tc>
          <w:tcPr>
            <w:tcW w:w="56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1"/>
                <w:szCs w:val="11"/>
                <w:color w:val="auto"/>
                <w:w w:val="91"/>
              </w:rPr>
              <w:t>0.2</w:t>
            </w:r>
          </w:p>
        </w:tc>
        <w:tc>
          <w:tcPr>
            <w:tcW w:w="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(0.0)</w:t>
            </w:r>
          </w:p>
        </w:tc>
      </w:tr>
      <w:tr>
        <w:trPr>
          <w:trHeight w:val="143"/>
        </w:trPr>
        <w:tc>
          <w:tcPr>
            <w:tcW w:w="3200" w:type="dxa"/>
            <w:vAlign w:val="bottom"/>
          </w:tcPr>
          <w:p>
            <w:pPr>
              <w:spacing w:after="0"/>
              <w:rPr>
                <w:sz w:val="20"/>
                <w:szCs w:val="20"/>
                <w:color w:val="auto"/>
              </w:rPr>
            </w:pPr>
            <w:r>
              <w:rPr>
                <w:rFonts w:ascii="Arial" w:cs="Arial" w:eastAsia="Arial" w:hAnsi="Arial"/>
                <w:sz w:val="11"/>
                <w:szCs w:val="11"/>
                <w:color w:val="auto"/>
              </w:rPr>
              <w:t>Provision for Income Taxes</w:t>
            </w: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(101.9)</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56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700" w:type="dxa"/>
            <w:vAlign w:val="bottom"/>
            <w:gridSpan w:val="2"/>
          </w:tcPr>
          <w:p>
            <w:pPr>
              <w:jc w:val="right"/>
              <w:ind w:right="144"/>
              <w:spacing w:after="0"/>
              <w:rPr>
                <w:sz w:val="20"/>
                <w:szCs w:val="20"/>
                <w:color w:val="auto"/>
              </w:rPr>
            </w:pPr>
            <w:r>
              <w:rPr>
                <w:rFonts w:ascii="Arial" w:cs="Arial" w:eastAsia="Arial" w:hAnsi="Arial"/>
                <w:sz w:val="11"/>
                <w:szCs w:val="11"/>
                <w:color w:val="auto"/>
              </w:rPr>
              <w:t>(11.0)</w:t>
            </w:r>
          </w:p>
        </w:tc>
        <w:tc>
          <w:tcPr>
            <w:tcW w:w="56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(132.4)</w:t>
            </w:r>
          </w:p>
        </w:tc>
      </w:tr>
      <w:tr>
        <w:trPr>
          <w:trHeight w:val="142"/>
        </w:trPr>
        <w:tc>
          <w:tcPr>
            <w:tcW w:w="3200" w:type="dxa"/>
            <w:vAlign w:val="bottom"/>
          </w:tcPr>
          <w:p>
            <w:pPr>
              <w:spacing w:after="0"/>
              <w:rPr>
                <w:sz w:val="20"/>
                <w:szCs w:val="20"/>
                <w:color w:val="auto"/>
              </w:rPr>
            </w:pPr>
            <w:r>
              <w:rPr>
                <w:rFonts w:ascii="Arial" w:cs="Arial" w:eastAsia="Arial" w:hAnsi="Arial"/>
                <w:sz w:val="11"/>
                <w:szCs w:val="11"/>
                <w:color w:val="auto"/>
              </w:rPr>
              <w:t>Net Income (Loss)</w:t>
            </w:r>
          </w:p>
        </w:tc>
        <w:tc>
          <w:tcPr>
            <w:tcW w:w="320" w:type="dxa"/>
            <w:vAlign w:val="bottom"/>
          </w:tcPr>
          <w:p>
            <w:pPr>
              <w:spacing w:after="0"/>
              <w:rPr>
                <w:sz w:val="12"/>
                <w:szCs w:val="12"/>
                <w:color w:val="auto"/>
              </w:rPr>
            </w:pPr>
          </w:p>
        </w:tc>
        <w:tc>
          <w:tcPr>
            <w:tcW w:w="580" w:type="dxa"/>
            <w:vAlign w:val="bottom"/>
          </w:tcPr>
          <w:p>
            <w:pPr>
              <w:jc w:val="right"/>
              <w:ind w:right="4"/>
              <w:spacing w:after="0"/>
              <w:rPr>
                <w:sz w:val="20"/>
                <w:szCs w:val="20"/>
                <w:color w:val="auto"/>
              </w:rPr>
            </w:pPr>
            <w:r>
              <w:rPr>
                <w:rFonts w:ascii="Arial" w:cs="Arial" w:eastAsia="Arial" w:hAnsi="Arial"/>
                <w:sz w:val="11"/>
                <w:szCs w:val="11"/>
                <w:color w:val="auto"/>
              </w:rPr>
              <w:t>217.6</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12"/>
                <w:szCs w:val="12"/>
                <w:color w:val="auto"/>
              </w:rPr>
            </w:pP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28.6</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21.1</w:t>
            </w:r>
          </w:p>
        </w:tc>
        <w:tc>
          <w:tcPr>
            <w:tcW w:w="240" w:type="dxa"/>
            <w:vAlign w:val="bottom"/>
          </w:tcPr>
          <w:p>
            <w:pPr>
              <w:spacing w:after="0"/>
              <w:rPr>
                <w:sz w:val="12"/>
                <w:szCs w:val="12"/>
                <w:color w:val="auto"/>
              </w:rPr>
            </w:pPr>
          </w:p>
        </w:tc>
        <w:tc>
          <w:tcPr>
            <w:tcW w:w="56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248.7</w:t>
            </w:r>
          </w:p>
        </w:tc>
      </w:tr>
      <w:tr>
        <w:trPr>
          <w:trHeight w:val="134"/>
        </w:trPr>
        <w:tc>
          <w:tcPr>
            <w:tcW w:w="3200" w:type="dxa"/>
            <w:vAlign w:val="bottom"/>
          </w:tcPr>
          <w:p>
            <w:pPr>
              <w:spacing w:after="0"/>
              <w:rPr>
                <w:sz w:val="20"/>
                <w:szCs w:val="20"/>
                <w:color w:val="auto"/>
              </w:rPr>
            </w:pPr>
            <w:r>
              <w:rPr>
                <w:rFonts w:ascii="Arial" w:cs="Arial" w:eastAsia="Arial" w:hAnsi="Arial"/>
                <w:sz w:val="11"/>
                <w:szCs w:val="11"/>
                <w:color w:val="auto"/>
              </w:rPr>
              <w:t>Net Loss Attributable to Non-Controlling Interest</w:t>
            </w:r>
          </w:p>
        </w:tc>
        <w:tc>
          <w:tcPr>
            <w:tcW w:w="320" w:type="dxa"/>
            <w:vAlign w:val="bottom"/>
          </w:tcPr>
          <w:p>
            <w:pPr>
              <w:spacing w:after="0"/>
              <w:rPr>
                <w:sz w:val="11"/>
                <w:szCs w:val="11"/>
                <w:color w:val="auto"/>
              </w:rPr>
            </w:pPr>
          </w:p>
        </w:tc>
        <w:tc>
          <w:tcPr>
            <w:tcW w:w="580" w:type="dxa"/>
            <w:vAlign w:val="bottom"/>
          </w:tcPr>
          <w:p>
            <w:pPr>
              <w:jc w:val="right"/>
              <w:ind w:right="4"/>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1"/>
                <w:szCs w:val="11"/>
                <w:color w:val="auto"/>
              </w:rPr>
            </w:pPr>
          </w:p>
        </w:tc>
        <w:tc>
          <w:tcPr>
            <w:tcW w:w="64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10.1</w:t>
            </w:r>
          </w:p>
        </w:tc>
      </w:tr>
      <w:tr>
        <w:trPr>
          <w:trHeight w:val="143"/>
        </w:trPr>
        <w:tc>
          <w:tcPr>
            <w:tcW w:w="3200" w:type="dxa"/>
            <w:vAlign w:val="bottom"/>
          </w:tcPr>
          <w:p>
            <w:pPr>
              <w:spacing w:after="0"/>
              <w:rPr>
                <w:sz w:val="20"/>
                <w:szCs w:val="20"/>
                <w:color w:val="auto"/>
              </w:rPr>
            </w:pPr>
            <w:r>
              <w:rPr>
                <w:rFonts w:ascii="Arial" w:cs="Arial" w:eastAsia="Arial" w:hAnsi="Arial"/>
                <w:sz w:val="11"/>
                <w:szCs w:val="11"/>
                <w:color w:val="auto"/>
              </w:rPr>
              <w:t>Net Income Attributable to The Babcock &amp; Wilcox Company</w:t>
            </w:r>
          </w:p>
        </w:tc>
        <w:tc>
          <w:tcPr>
            <w:tcW w:w="3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
              <w:spacing w:after="0"/>
              <w:rPr>
                <w:sz w:val="20"/>
                <w:szCs w:val="20"/>
                <w:color w:val="auto"/>
              </w:rPr>
            </w:pPr>
            <w:r>
              <w:rPr>
                <w:rFonts w:ascii="Arial" w:cs="Arial" w:eastAsia="Arial" w:hAnsi="Arial"/>
                <w:sz w:val="11"/>
                <w:szCs w:val="11"/>
                <w:color w:val="auto"/>
              </w:rPr>
              <w:t>227.7</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(18.5)</w:t>
            </w:r>
          </w:p>
        </w:tc>
        <w:tc>
          <w:tcPr>
            <w:tcW w:w="120" w:type="dxa"/>
            <w:vAlign w:val="bottom"/>
          </w:tcPr>
          <w:p>
            <w:pPr>
              <w:ind w:left="40"/>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28.6</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320" w:type="dxa"/>
            <w:vAlign w:val="bottom"/>
          </w:tcPr>
          <w:p>
            <w:pPr>
              <w:ind w:left="10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21.1</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258.8</w:t>
            </w:r>
          </w:p>
        </w:tc>
      </w:tr>
      <w:tr>
        <w:trPr>
          <w:trHeight w:val="297"/>
        </w:trPr>
        <w:tc>
          <w:tcPr>
            <w:tcW w:w="3200" w:type="dxa"/>
            <w:vAlign w:val="bottom"/>
          </w:tcPr>
          <w:p>
            <w:pPr>
              <w:spacing w:after="0"/>
              <w:rPr>
                <w:sz w:val="20"/>
                <w:szCs w:val="20"/>
                <w:color w:val="auto"/>
              </w:rPr>
            </w:pPr>
            <w:r>
              <w:rPr>
                <w:rFonts w:ascii="Arial" w:cs="Arial" w:eastAsia="Arial" w:hAnsi="Arial"/>
                <w:sz w:val="11"/>
                <w:szCs w:val="11"/>
                <w:color w:val="auto"/>
              </w:rPr>
              <w:t>Diluted Earnings per Common Share</w:t>
            </w:r>
          </w:p>
        </w:tc>
        <w:tc>
          <w:tcPr>
            <w:tcW w:w="3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
              <w:spacing w:after="0"/>
              <w:rPr>
                <w:sz w:val="20"/>
                <w:szCs w:val="20"/>
                <w:color w:val="auto"/>
              </w:rPr>
            </w:pPr>
            <w:r>
              <w:rPr>
                <w:rFonts w:ascii="Arial" w:cs="Arial" w:eastAsia="Arial" w:hAnsi="Arial"/>
                <w:sz w:val="11"/>
                <w:szCs w:val="11"/>
                <w:color w:val="auto"/>
              </w:rPr>
              <w:t>1.91</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(0.16)</w:t>
            </w:r>
          </w:p>
        </w:tc>
        <w:tc>
          <w:tcPr>
            <w:tcW w:w="120" w:type="dxa"/>
            <w:vAlign w:val="bottom"/>
          </w:tcPr>
          <w:p>
            <w:pPr>
              <w:ind w:left="40"/>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0.24</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320" w:type="dxa"/>
            <w:vAlign w:val="bottom"/>
          </w:tcPr>
          <w:p>
            <w:pPr>
              <w:ind w:left="10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0.18</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2.17</w:t>
            </w:r>
          </w:p>
        </w:tc>
      </w:tr>
      <w:tr>
        <w:trPr>
          <w:trHeight w:val="286"/>
        </w:trPr>
        <w:tc>
          <w:tcPr>
            <w:tcW w:w="3200" w:type="dxa"/>
            <w:vAlign w:val="bottom"/>
          </w:tcPr>
          <w:p>
            <w:pPr>
              <w:spacing w:after="0"/>
              <w:rPr>
                <w:sz w:val="20"/>
                <w:szCs w:val="20"/>
                <w:color w:val="auto"/>
              </w:rPr>
            </w:pPr>
            <w:r>
              <w:rPr>
                <w:rFonts w:ascii="Arial" w:cs="Arial" w:eastAsia="Arial" w:hAnsi="Arial"/>
                <w:sz w:val="11"/>
                <w:szCs w:val="11"/>
                <w:color w:val="auto"/>
              </w:rPr>
              <w:t>Tax Rate</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31.9%</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FFFFFF"/>
              </w:rPr>
              <w:t>n/a</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FFFFFF"/>
              </w:rPr>
              <w:t>3.4%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ind w:right="164"/>
              <w:spacing w:after="0"/>
              <w:rPr>
                <w:sz w:val="20"/>
                <w:szCs w:val="20"/>
                <w:color w:val="auto"/>
              </w:rPr>
            </w:pPr>
            <w:r>
              <w:rPr>
                <w:rFonts w:ascii="Arial" w:cs="Arial" w:eastAsia="Arial" w:hAnsi="Arial"/>
                <w:sz w:val="11"/>
                <w:szCs w:val="11"/>
                <w:color w:val="FFFFFF"/>
              </w:rPr>
              <w:t>34.3%</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1"/>
          <w:szCs w:val="11"/>
          <w:color w:val="auto"/>
        </w:rPr>
        <w:t>*Note: May not foot due to rounding</w:t>
      </w:r>
    </w:p>
    <w:p>
      <w:pPr>
        <w:spacing w:after="0" w:line="59"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949CA1"/>
        </w:rPr>
        <w:t>18</w:t>
      </w:r>
    </w:p>
    <w:p>
      <w:pPr>
        <w:spacing w:after="0" w:line="200" w:lineRule="exact"/>
        <w:rPr>
          <w:sz w:val="20"/>
          <w:szCs w:val="20"/>
          <w:color w:val="auto"/>
        </w:rPr>
      </w:pPr>
    </w:p>
    <w:p>
      <w:pPr>
        <w:spacing w:after="0" w:line="324" w:lineRule="exact"/>
        <w:rPr>
          <w:sz w:val="20"/>
          <w:szCs w:val="20"/>
          <w:color w:val="auto"/>
        </w:rPr>
      </w:pPr>
    </w:p>
    <w:p>
      <w:pPr>
        <w:ind w:left="3200"/>
        <w:spacing w:after="0"/>
        <w:rPr>
          <w:sz w:val="20"/>
          <w:szCs w:val="20"/>
          <w:color w:val="auto"/>
        </w:rPr>
      </w:pPr>
      <w:r>
        <w:rPr>
          <w:rFonts w:ascii="Arial" w:cs="Arial" w:eastAsia="Arial" w:hAnsi="Arial"/>
          <w:sz w:val="9"/>
          <w:szCs w:val="9"/>
          <w:color w:val="949CA1"/>
        </w:rPr>
        <w:t>© 2015 Babcock &amp; Wilcox Company. All Rights Reserved.</w:t>
      </w:r>
    </w:p>
    <w:p>
      <w:pPr>
        <w:sectPr>
          <w:pgSz w:w="11900" w:h="16838" w:orient="portrait"/>
          <w:cols w:equalWidth="0" w:num="1">
            <w:col w:w="9639"/>
          </w:cols>
          <w:pgMar w:left="820" w:top="1201" w:right="1440" w:bottom="1440" w:gutter="0" w:footer="0" w:header="0"/>
        </w:sectPr>
      </w:pPr>
    </w:p>
    <w:bookmarkStart w:id="20" w:name="page21"/>
    <w:bookmarkEnd w:id="20"/>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8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8375" cy="4818380"/>
                    </a:xfrm>
                    <a:prstGeom prst="rect">
                      <a:avLst/>
                    </a:prstGeom>
                    <a:noFill/>
                  </pic:spPr>
                </pic:pic>
              </a:graphicData>
            </a:graphic>
          </wp:anchor>
        </w:drawing>
      </w:r>
    </w:p>
    <w:p>
      <w:pPr>
        <w:ind w:left="520"/>
        <w:spacing w:after="0"/>
        <w:rPr>
          <w:sz w:val="20"/>
          <w:szCs w:val="20"/>
          <w:color w:val="auto"/>
        </w:rPr>
      </w:pPr>
      <w:r>
        <w:rPr>
          <w:rFonts w:ascii="Arial" w:cs="Arial" w:eastAsia="Arial" w:hAnsi="Arial"/>
          <w:sz w:val="40"/>
          <w:szCs w:val="40"/>
          <w:color w:val="FFFFFF"/>
        </w:rPr>
        <w:t>Please reach out with any questions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9"/>
        <w:spacing w:after="0"/>
        <w:rPr>
          <w:sz w:val="20"/>
          <w:szCs w:val="20"/>
          <w:color w:val="auto"/>
        </w:rPr>
      </w:pPr>
      <w:r>
        <w:rPr>
          <w:rFonts w:ascii="Arial" w:cs="Arial" w:eastAsia="Arial" w:hAnsi="Arial"/>
          <w:sz w:val="25"/>
          <w:szCs w:val="25"/>
          <w:b w:val="1"/>
          <w:bCs w:val="1"/>
          <w:color w:val="FFFFFF"/>
        </w:rPr>
        <w:t>Jenny Apker</w:t>
      </w:r>
    </w:p>
    <w:p>
      <w:pPr>
        <w:spacing w:after="0" w:line="34" w:lineRule="exact"/>
        <w:rPr>
          <w:sz w:val="20"/>
          <w:szCs w:val="20"/>
          <w:color w:val="auto"/>
        </w:rPr>
      </w:pPr>
    </w:p>
    <w:p>
      <w:pPr>
        <w:jc w:val="center"/>
        <w:ind w:right="1379"/>
        <w:spacing w:after="0"/>
        <w:rPr>
          <w:sz w:val="20"/>
          <w:szCs w:val="20"/>
          <w:color w:val="auto"/>
        </w:rPr>
      </w:pPr>
      <w:r>
        <w:rPr>
          <w:rFonts w:ascii="Arial" w:cs="Arial" w:eastAsia="Arial" w:hAnsi="Arial"/>
          <w:sz w:val="19"/>
          <w:szCs w:val="19"/>
          <w:i w:val="1"/>
          <w:iCs w:val="1"/>
          <w:color w:val="FFFFFF"/>
        </w:rPr>
        <w:t>VP Treasury &amp; Investor Relations</w:t>
      </w:r>
    </w:p>
    <w:p>
      <w:pPr>
        <w:spacing w:after="0" w:line="242" w:lineRule="exact"/>
        <w:rPr>
          <w:sz w:val="20"/>
          <w:szCs w:val="20"/>
          <w:color w:val="auto"/>
        </w:rPr>
      </w:pPr>
    </w:p>
    <w:p>
      <w:pPr>
        <w:jc w:val="center"/>
        <w:ind w:right="1379"/>
        <w:spacing w:after="0"/>
        <w:rPr>
          <w:sz w:val="20"/>
          <w:szCs w:val="20"/>
          <w:color w:val="auto"/>
        </w:rPr>
      </w:pPr>
      <w:r>
        <w:rPr>
          <w:rFonts w:ascii="Arial" w:cs="Arial" w:eastAsia="Arial" w:hAnsi="Arial"/>
          <w:sz w:val="19"/>
          <w:szCs w:val="19"/>
          <w:color w:val="FFFFFF"/>
        </w:rPr>
        <w:t>Office: 704.625.4937</w:t>
      </w:r>
    </w:p>
    <w:p>
      <w:pPr>
        <w:spacing w:after="0" w:line="7" w:lineRule="exact"/>
        <w:rPr>
          <w:sz w:val="20"/>
          <w:szCs w:val="20"/>
          <w:color w:val="auto"/>
        </w:rPr>
      </w:pPr>
    </w:p>
    <w:p>
      <w:pPr>
        <w:jc w:val="center"/>
        <w:ind w:right="1379"/>
        <w:spacing w:after="0"/>
        <w:rPr>
          <w:sz w:val="20"/>
          <w:szCs w:val="20"/>
          <w:color w:val="auto"/>
        </w:rPr>
      </w:pPr>
      <w:r>
        <w:rPr>
          <w:rFonts w:ascii="Arial" w:cs="Arial" w:eastAsia="Arial" w:hAnsi="Arial"/>
          <w:sz w:val="19"/>
          <w:szCs w:val="19"/>
          <w:color w:val="FFFFFF"/>
        </w:rPr>
        <w:t>Email: jlapker@babcock.com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580"/>
        <w:spacing w:after="0"/>
        <w:rPr>
          <w:sz w:val="20"/>
          <w:szCs w:val="20"/>
          <w:color w:val="auto"/>
        </w:rPr>
      </w:pPr>
      <w:r>
        <w:rPr>
          <w:rFonts w:ascii="Arial" w:cs="Arial" w:eastAsia="Arial" w:hAnsi="Arial"/>
          <w:sz w:val="9"/>
          <w:szCs w:val="9"/>
          <w:color w:val="FFFFFF"/>
        </w:rPr>
        <w:t>© 2015 Babcock &amp; Wilcox Company. All Rights Reserved.</w:t>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lvl w:ilvl="1">
      <w:lvlJc w:val="left"/>
      <w:lvlText w:val="(%2)"/>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lvl w:ilvl="1">
      <w:lvlJc w:val="left"/>
      <w:lvlText w:val="\endash "/>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bullet"/>
      <w:start w:val="1"/>
    </w:lvl>
  </w:abstractNum>
  <w:abstractNum w:abstractNumId="16">
    <w:nsid w:val="62BBD95A"/>
    <w:multiLevelType w:val="hybridMultilevel"/>
    <w:lvl w:ilvl="0">
      <w:lvlJc w:val="left"/>
      <w:lvlText w:val="2"/>
      <w:numFmt w:val="bullet"/>
      <w:start w:val="1"/>
    </w:lvl>
  </w:abstractNum>
  <w:abstractNum w:abstractNumId="17">
    <w:nsid w:val="436C6125"/>
    <w:multiLevelType w:val="hybridMultilevel"/>
    <w:lvl w:ilvl="0">
      <w:lvlJc w:val="left"/>
      <w:lvlText w:val="3"/>
      <w:numFmt w:val="bullet"/>
      <w:start w:val="1"/>
    </w:lvl>
  </w:abstractNum>
  <w:abstractNum w:abstractNumId="18">
    <w:nsid w:val="628C895D"/>
    <w:multiLevelType w:val="hybridMultilevel"/>
    <w:lvl w:ilvl="0">
      <w:lvlJc w:val="left"/>
      <w:lvlText w:val="4"/>
      <w:numFmt w:val="bullet"/>
      <w:start w:val="1"/>
    </w:lvl>
  </w:abstractNum>
  <w:abstractNum w:abstractNumId="19">
    <w:nsid w:val="333AB105"/>
    <w:multiLevelType w:val="hybridMultilevel"/>
    <w:lvl w:ilvl="0">
      <w:lvlJc w:val="left"/>
      <w:lvlText w:val="5"/>
      <w:numFmt w:val="bullet"/>
      <w:start w:val="1"/>
    </w:lvl>
  </w:abstractNum>
  <w:abstractNum w:abstractNumId="20">
    <w:nsid w:val="721DA317"/>
    <w:multiLevelType w:val="hybridMultilevel"/>
    <w:lvl w:ilvl="0">
      <w:lvlJc w:val="left"/>
      <w:lvlText w:val="6"/>
      <w:numFmt w:val="bullet"/>
      <w:start w:val="1"/>
    </w:lvl>
  </w:abstractNum>
  <w:abstractNum w:abstractNumId="21">
    <w:nsid w:val="2443A858"/>
    <w:multiLevelType w:val="hybridMultilevel"/>
    <w:lvl w:ilvl="0">
      <w:lvlJc w:val="left"/>
      <w:lvlText w:val="7"/>
      <w:numFmt w:val="bullet"/>
      <w:start w:val="1"/>
    </w:lvl>
  </w:abstractNum>
  <w:abstractNum w:abstractNumId="22">
    <w:nsid w:val="2D1D5AE9"/>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2020-01-23T04:41:01Z</dcterms:created>
  <dcterms:modified xsi:type="dcterms:W3CDTF">2020-01-23T04:41:01Z</dcterms:modified>
</cp:coreProperties>
</file>