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9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15"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3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3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1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19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43"/>
          <w:szCs w:val="43"/>
          <w:b w:val="1"/>
          <w:bCs w:val="1"/>
          <w:color w:val="auto"/>
        </w:rPr>
        <w:t>BWX TECHNOLOGIES, INC.</w:t>
      </w:r>
    </w:p>
    <w:p>
      <w:pPr>
        <w:spacing w:after="0" w:line="74"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41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520" w:type="dxa"/>
            <w:vAlign w:val="bottom"/>
          </w:tcPr>
          <w:p>
            <w:pPr>
              <w:spacing w:after="0"/>
              <w:rPr>
                <w:sz w:val="18"/>
                <w:szCs w:val="18"/>
                <w:color w:val="auto"/>
              </w:rPr>
            </w:pPr>
          </w:p>
        </w:tc>
      </w:tr>
      <w:tr>
        <w:trPr>
          <w:trHeight w:val="277"/>
        </w:trPr>
        <w:tc>
          <w:tcPr>
            <w:tcW w:w="6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tc>
        <w:tc>
          <w:tcPr>
            <w:tcW w:w="1520" w:type="dxa"/>
            <w:vAlign w:val="bottom"/>
          </w:tcPr>
          <w:p>
            <w:pPr>
              <w:spacing w:after="0"/>
              <w:rPr>
                <w:sz w:val="24"/>
                <w:szCs w:val="24"/>
                <w:color w:val="auto"/>
              </w:rPr>
            </w:pPr>
          </w:p>
        </w:tc>
      </w:tr>
      <w:tr>
        <w:trPr>
          <w:trHeight w:val="324"/>
        </w:trPr>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1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001-34658</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80-0558025</w:t>
            </w:r>
          </w:p>
        </w:tc>
      </w:tr>
      <w:tr>
        <w:trPr>
          <w:trHeight w:val="168"/>
        </w:trPr>
        <w:tc>
          <w:tcPr>
            <w:tcW w:w="2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(State of Incorporation</w:t>
            </w:r>
          </w:p>
        </w:tc>
        <w:tc>
          <w:tcPr>
            <w:tcW w:w="4100" w:type="dxa"/>
            <w:vAlign w:val="bottom"/>
          </w:tcPr>
          <w:p>
            <w:pPr>
              <w:jc w:val="center"/>
              <w:ind w:right="419"/>
              <w:spacing w:after="0" w:line="168"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1520" w:type="dxa"/>
            <w:vAlign w:val="bottom"/>
          </w:tcPr>
          <w:p>
            <w:pPr>
              <w:jc w:val="center"/>
              <w:ind w:left="17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Organization)</w:t>
            </w:r>
          </w:p>
        </w:tc>
        <w:tc>
          <w:tcPr>
            <w:tcW w:w="410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5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84"/>
        </w:trPr>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800 MAIN STREET, 4TH FLOOR</w:t>
            </w:r>
          </w:p>
        </w:tc>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LYNCHBURG, VIRGINIA</w:t>
            </w:r>
          </w:p>
        </w:tc>
        <w:tc>
          <w:tcPr>
            <w:tcW w:w="410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24504</w:t>
            </w:r>
          </w:p>
        </w:tc>
      </w:tr>
      <w:tr>
        <w:trPr>
          <w:trHeight w:val="216"/>
        </w:trPr>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100" w:type="dxa"/>
            <w:vAlign w:val="bottom"/>
          </w:tcPr>
          <w:p>
            <w:pPr>
              <w:spacing w:after="0"/>
              <w:rPr>
                <w:sz w:val="18"/>
                <w:szCs w:val="18"/>
                <w:color w:val="auto"/>
              </w:rPr>
            </w:pPr>
          </w:p>
        </w:tc>
        <w:tc>
          <w:tcPr>
            <w:tcW w:w="15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32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TOBY W. SMITH</w:t>
      </w:r>
    </w:p>
    <w:p>
      <w:pPr>
        <w:spacing w:after="0" w:line="3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w:t>
      </w:r>
    </w:p>
    <w:p>
      <w:pPr>
        <w:spacing w:after="0" w:line="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CHIEF COMPLIANCE OFFICER AND CORPORATE SECRETARY</w:t>
      </w:r>
    </w:p>
    <w:p>
      <w:pPr>
        <w:spacing w:after="0" w:line="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(980) 365-4300</w:t>
      </w:r>
    </w:p>
    <w:p>
      <w:pPr>
        <w:spacing w:after="0" w:line="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(Name and Telephone number, including area code, of the person to contact in connection with this report.)</w:t>
      </w:r>
    </w:p>
    <w:p>
      <w:pPr>
        <w:spacing w:after="0" w:line="23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140" w:lineRule="exact"/>
        <w:rPr>
          <w:sz w:val="24"/>
          <w:szCs w:val="24"/>
          <w:color w:val="auto"/>
        </w:rPr>
      </w:pPr>
    </w:p>
    <w:p>
      <w:pPr>
        <w:ind w:left="480" w:hanging="283"/>
        <w:spacing w:after="0"/>
        <w:tabs>
          <w:tab w:leader="none" w:pos="4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ectPr>
          <w:pgSz w:w="11900" w:h="16838" w:orient="portrait"/>
          <w:cols w:equalWidth="0" w:num="1">
            <w:col w:w="10220"/>
          </w:cols>
          <w:pgMar w:left="320" w:top="1051" w:right="1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Form SD, unless the context otherwise indicates, "BWXT", "we," "us" and "our" mean BWX Technologies, Inc. and its consolidated subsidiaries.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Rule 13p-1 under the Securities Exchange Act of 1934, as amended, requires public companies to disclose their use of conflict minerals within manufactured products. The term "conflict minerals" refers to cassiterite, columbite-tantalite, gold, wolframite and their derivatives, which are currently limited to tin, tantalum and tungsten. We identified tin, tantalum, tungsten and gold ("3TG") that are necessary to the functionality or production of products that we manufactured or contracted to manufacture during the period from January 1, 2025 to December 31, 2025 (the "Reporting Period"). We performed a good faith reasonable country of origin inquiry to determine whether any of the 3TG we utilized during the Reporting Period originated in the Democratic Republic of the Congo or an adjoining country (the "DRC Region") and were not from recycled or scrap sources. Based on our reasonable country of origin inquiry, we determined that we may have some suppliers that sourced 3TG from the DRC Region and proceeded to conduct due diligence on our supplier base. Accordingly, we have filed a Conflict Minerals Report as Exhibit 1.01 to this Form SD.</w:t>
      </w:r>
    </w:p>
    <w:p>
      <w:pPr>
        <w:spacing w:after="0" w:line="2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0000FF"/>
        </w:rPr>
        <w:t>www.bwxt.com</w:t>
      </w:r>
      <w:r>
        <w:rPr>
          <w:rFonts w:ascii="Times New Roman" w:cs="Times New Roman" w:eastAsia="Times New Roman" w:hAnsi="Times New Roman"/>
          <w:sz w:val="18"/>
          <w:szCs w:val="18"/>
          <w:color w:val="auto"/>
        </w:rPr>
        <w:t>. We will make available through the "Investors" section of this website under the "Financials" subsection under "SEC Filings," this Form SD, including the Conflict Minerals Report, as soon as reasonably practicable after we electronically file our Form SD with the SEC. We have also posted our Conflict Minerals Policy on our website. The inclusion of our website within this filing is not intended to incorporate by reference any materials other than the Form SD, Conflict Minerals Report and Conflict Minerals Policy included therein.</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2 of Form SD, we are hereby filing our Conflict Minerals Report as Exhibit 1.01 to this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annual specialized disclosure report on Form SD:</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Conflict Minerals Report for the year ended December 31, 2025 as required by Items 1.01 and 1.02 of this Form.</w:t>
            </w:r>
          </w:p>
        </w:tc>
      </w:tr>
      <w:tr>
        <w:trPr>
          <w:trHeight w:val="884"/>
        </w:trPr>
        <w:tc>
          <w:tcPr>
            <w:tcW w:w="1900" w:type="dxa"/>
            <w:vAlign w:val="bottom"/>
          </w:tcPr>
          <w:p>
            <w:pPr>
              <w:spacing w:after="0"/>
              <w:rPr>
                <w:sz w:val="24"/>
                <w:szCs w:val="24"/>
                <w:color w:val="auto"/>
              </w:rPr>
            </w:pPr>
          </w:p>
        </w:tc>
        <w:tc>
          <w:tcPr>
            <w:tcW w:w="812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139"/>
          </w:cols>
          <w:pgMar w:left="320" w:top="887"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158" w:lineRule="exact"/>
        <w:rPr>
          <w:sz w:val="20"/>
          <w:szCs w:val="20"/>
          <w:color w:val="auto"/>
        </w:rPr>
      </w:pPr>
    </w:p>
    <w:p>
      <w:pPr>
        <w:ind w:left="1040"/>
        <w:spacing w:after="0"/>
        <w:tabs>
          <w:tab w:leader="none" w:pos="6600" w:val="left"/>
          <w:tab w:leader="none" w:pos="7200" w:val="left"/>
        </w:tabs>
        <w:rPr>
          <w:sz w:val="20"/>
          <w:szCs w:val="20"/>
          <w:color w:val="auto"/>
        </w:rPr>
      </w:pP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Toby 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9202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Toby W. Smith</w:t>
      </w:r>
    </w:p>
    <w:p>
      <w:pPr>
        <w:spacing w:after="0" w:line="1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ind w:left="7220"/>
        <w:spacing w:after="0" w:line="203" w:lineRule="auto"/>
        <w:rPr>
          <w:sz w:val="20"/>
          <w:szCs w:val="20"/>
          <w:color w:val="auto"/>
        </w:rPr>
      </w:pPr>
      <w:r>
        <w:rPr>
          <w:rFonts w:ascii="Times New Roman" w:cs="Times New Roman" w:eastAsia="Times New Roman" w:hAnsi="Times New Roman"/>
          <w:sz w:val="18"/>
          <w:szCs w:val="18"/>
          <w:color w:val="auto"/>
        </w:rPr>
        <w:t>Chief Compliance Officer and Corporate</w:t>
      </w:r>
    </w:p>
    <w:p>
      <w:pPr>
        <w:ind w:left="722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320" w:top="887" w:right="9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Report, unless the context otherwise indicates, "BWXT," "we," "us" and "our" mean BWX Technologies, Inc. and its consolidated subsidiaries.</w:t>
      </w:r>
    </w:p>
    <w:p>
      <w:pPr>
        <w:spacing w:after="0" w:line="25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Statements we make in this Conflict Minerals Report (the "Report"), which express a belief, expectation or intention, as well as those that are not historical fact, are forward-looking statements, including statements relating to our compliance efforts and expected actions identified under the "Steps to be Taken" section of this Report. These forward-looking statements are subject to various risks, uncertainties and assumptions, including, among other things, our ability to implement improvements in our conflict minerals program and identify and mitigate related risks in our supply chain. If one or more of these or other risks materialize, actual results may vary materially from those expressed. For a more complete discussion of these and other risk factors, see our other filings with the Securities and Exchange Commission ("SEC"), including our Annual Report on Form 10-K for the year ended December 31, 2025 and subsequent quarterly reports on Form 10-Q. BWXT cautions not to place undue reliance on these forward-looking statements, which speak only as of the date of this report, and we undertake no obligation to update or revise any forward-looking statement, except to the extent required by applicable law.</w:t>
      </w:r>
    </w:p>
    <w:p>
      <w:pPr>
        <w:spacing w:after="0" w:line="21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Report for the year ended December 31, 2025 (the "Reporting Period") is presented to comply with Rule 13p-1 (the "Rule") under the Securities Exchange Act of 1934, as amended (the "Exchange Act"). This Rule, through Form SD, imposes certain reporting obligations on public companies that manufacture or contract to manufacture products containing conflict minerals that are necessary to the functionality or production of their products. Form SD defines "conflict minerals" as cassiterite, columbite-tantalite, gold, wolframite and their derivatives, which are currently limited to tin, tantalum and tungsten. We identified tin, tantalum, tungsten and gold ("3TG") that are necessary to the functionality or production of certain products that we manufactured or contracted to manufacture during the Reporting Period. In accordance with the instructions to Form SD and the Rule, this Report has not been audited by an independent private sector auditor.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5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BWXT is a specialty manufacturer of nuclear components, a developer of nuclear technologies and a service provider with an operating history of more than 100 years. We operate in two reportable segments: Government Operations and Commercial Operations. Our reportable segments are further described as follows:</w:t>
      </w:r>
    </w:p>
    <w:p>
      <w:pPr>
        <w:spacing w:after="0" w:line="189" w:lineRule="exact"/>
        <w:rPr>
          <w:sz w:val="20"/>
          <w:szCs w:val="20"/>
          <w:color w:val="auto"/>
        </w:rPr>
      </w:pPr>
    </w:p>
    <w:p>
      <w:pPr>
        <w:ind w:left="660" w:right="60" w:hanging="652"/>
        <w:spacing w:after="0" w:line="22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Government Operations segment, we engineer, design and manufacture precision naval nuclear components, reactors and nuclear fuel for the U.S. Department of Energy ("DOE")/National Nuclear Security Administration's ("NNSA") Naval Nuclear Propulsion Program and we have over 100 years of experience in supplying components for defense applications. In addition, we supply proprietary and sole-source valves, manifolds and fittings to global naval and commercial shipping customers. Our Government Operations segment specializes in the design and manufacture of close-tolerance and high-quality equipment for nuclear applications. In addition, we design advanced reactors and are a leading manufacturer of critical nuclear components, fuels and assemblies for government and limited other uses. We have supplied nuclear components for DOE programs since the 1950s and are the largest domestic supplier of research reactor fuel elements for colleges, universities and national laboratories. We also downblend Cold War-era government stockpiles of high-enriched uranium, develop capabilities related to the manufacture of high-purity depleted uranium and manufacture other advanced materials and products for commercial, military and space applications. We work closely with the DOE-supported nuclear non-proliferation program. Currently, this program is assisting in the development of a high-density, low-enriched uranium fuel required for high-enriched uranium test reactor conversions. We have also been a leader in the receipt, storage, characterization, dissolution, recovery and purification of a variety of uranium-bearing materials. All phases of uranium downblending and uranium recovery are performed at our Lynchburg, Virginia and Erwin, Tennessee sites. The demand for nuclear components by the U.S. Government determines a substantial portion of this segment's backlog. We expect that orders for nuclear components will continue to be a significant part of backlog for the foreseeable future. In March 2024, the U.S. Navy issued its 30-year shipbuilding plan containing three alternative procurement profiles based upon varied funding assumptions. All three indicate growth in the total number of ships and a sustained, or increased, procurement profile for nuclear-powered submarines and aircraft carriers. We plan to make additional capital expenditures and investments in personnel to meet the current demand requirements, and we expect to continue making such expenditures and investments in the future. This segment also provides various services to the U.S. and Canadian governments by managing and operating high-consequence operations at U.S. nuclear weapons sites, national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5" w:name="page6"/>
    <w:bookmarkEnd w:id="5"/>
    <w:p>
      <w:pPr>
        <w:ind w:left="660" w:right="40"/>
        <w:spacing w:after="0" w:line="225" w:lineRule="auto"/>
        <w:rPr>
          <w:sz w:val="20"/>
          <w:szCs w:val="20"/>
          <w:color w:val="auto"/>
        </w:rPr>
      </w:pPr>
      <w:r>
        <w:rPr>
          <w:rFonts w:ascii="Times New Roman" w:cs="Times New Roman" w:eastAsia="Times New Roman" w:hAnsi="Times New Roman"/>
          <w:sz w:val="18"/>
          <w:szCs w:val="18"/>
          <w:color w:val="auto"/>
        </w:rPr>
        <w:t>laboratories and manufacturing complexes. The revenues and equity in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that we are well-positioned to continue participating in the ongoing cleanup, operation and management of critical government-owned nuclear sites, laboratories and manufacturing complexes maintained by the DOE, NNSA and other federal agencies. The Government Operations segment is also a leader in the development of advanced nuclear reactors for a variety of power and propulsion applications in the space and terrestrial domains. U.S. Government customers for these applications include NASA, the U.S. Department of War ("DoW"), also known as the Department of Defense, and the DOE. We offer complete advanced nuclear fuel and reactor design and engineering, licensing and manufacturing services for these programs.</w:t>
      </w:r>
    </w:p>
    <w:p>
      <w:pPr>
        <w:spacing w:after="0" w:line="2" w:lineRule="exact"/>
        <w:rPr>
          <w:sz w:val="20"/>
          <w:szCs w:val="20"/>
          <w:color w:val="auto"/>
        </w:rPr>
      </w:pPr>
    </w:p>
    <w:p>
      <w:pPr>
        <w:ind w:left="660" w:hanging="652"/>
        <w:spacing w:after="0" w:line="22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Commercial Operations segment, we design and manufacture commercial nuclear steam generators, heat exchangers, pressure vessels, reactor components and other auxiliary equipment, including containers for the storage of spent nuclear fuel and other high-level nuclear waste. We supply large, heavy components to the worldwide nuclear industry and are the only commercial heavy nuclear component manufacturer in North America. This segment is also a leading supplier of nuclear fuel, fuel handling systems, reactor controls, specialty tooling, nuclear-grade materials and precisely machined components, and related engineering and maintenance services for nuclear power plants. This segment also provides a variety of engineering and in-plant services and is a significant supplier to nuclear power utilities undergoing major refurbishment and plant life extension projects. Our in-depth knowledge comes from over 50 years of experience in the design, manufacturing, commissioning and service of nuclear power generation equipment. Our Commercial Operations segment specializes in performing full-scope, prototype design work coupled with manufacturing integration. This segment's capabilities include: steam generation and separation equipment design and development; thermal-hydraulic design of reactor plant components; in-plant inspection, maintenance and modification services; nuclear component modification and replacement; commercial nuclear fuel design and manufacturing; nuclear fuel handling system design, manufacturing, delivery, installation and commissioning; containers for the storage of spent nuclear fuel and other high-level waste; lifecycle support and management services for the global nuclear power industry, transmission and distribution markets; structural and thermal-hydraulic design and vibration analysis for heat exchangers; structural component design for precision manufacturing; materials expertise in high-strength, low-alloy steels and nickel-based materials; material procurement of tubing, forgings and weld wire; and metallographic and chemical analysis. This segment also manufactures and supplies products for diagnostic imaging and radiotherapeutic treatments and is a partner for contract development and manufacturing services for life science and pharmaceutical companies. Among its offerings are the manufacture of medical radioisotopes, radiopharmaceuticals and medical devices, as well as partnerships with life science and pharmaceutical companies developing new drugs. Our Commercial Operations segment's overall activity primarily depends on the demand and competitiveness of nuclear energy and the demand for critical medical radioisotopes and radiopharmaceuticals. A significant portion of our Commercial Operations segment's operations depends on the timing of maintenance outages and the cyclical nature of capital expenditures and major refurbishments for nuclear utility customers, principally in the Canadian market, which could cause variability in our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Descriptions</w:t>
      </w:r>
    </w:p>
    <w:p>
      <w:pPr>
        <w:spacing w:after="0" w:line="25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conducted an analysis of our products to determine which were likely to contain 3TG. We have identified 3TG in certain of our products, such as computerized controls for robotic and industrial systems, within our Government Operations and Commercial Operations segments that are necessary to the functionality or production of products that we manufactured or contracted to manufacture during the Reporting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Chain and the Reasonable Country of Origin ("RCOI") Process</w:t>
      </w:r>
    </w:p>
    <w:p>
      <w:pPr>
        <w:spacing w:after="0" w:line="25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operations use materials, such as carbon and alloy steels, in various forms and components and accessories for assembly, which are available from numerous sources. We generally purchase materials and components as needed for individual contracts.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noted above, we manufacture a variety of products for which materials included in those products may differ from year to year. These products are highly complex, typically containing thousands of parts from many suppliers throughout the world. We may purchase the same materials from multiple different suppliers and distributors. These suppliers and distributors often obtain their materials from lower tier suppliers. Accordingly, our supply chain is deep and identifying the ultimate source of materials supplied to us is difficult. We rely on our direct suppliers to work with their suppliers to provide information on the smelters and origin of the 3TG contained in components and materials supplied to us.</w:t>
      </w:r>
    </w:p>
    <w:p>
      <w:pPr>
        <w:spacing w:after="0" w:line="21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Reporting Period, our compliance efforts included both our U.S. and non-U.S. locations. For each of the products that we identified as containing 3TG necessary to their functionality or production, we identified the suppliers that provided the materials containing the 3TG. Additionally, we validated our scoping conclusions from prior years to determine if</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77" w:right="359" w:bottom="1440" w:gutter="0" w:footer="0" w:header="0"/>
        </w:sectPr>
      </w:pPr>
    </w:p>
    <w:bookmarkStart w:id="6" w:name="page7"/>
    <w:bookmarkEnd w:id="6"/>
    <w:p>
      <w:pPr>
        <w:ind w:right="280"/>
        <w:spacing w:after="0" w:line="282" w:lineRule="auto"/>
        <w:rPr>
          <w:sz w:val="20"/>
          <w:szCs w:val="20"/>
          <w:color w:val="auto"/>
        </w:rPr>
      </w:pPr>
      <w:r>
        <w:rPr>
          <w:rFonts w:ascii="Times New Roman" w:cs="Times New Roman" w:eastAsia="Times New Roman" w:hAnsi="Times New Roman"/>
          <w:sz w:val="18"/>
          <w:szCs w:val="18"/>
          <w:color w:val="auto"/>
        </w:rPr>
        <w:t>any new products or materials containing 3TG should be added to our compliance efforts. Following this validation, we identified twenty-nine suppliers that provided 3TG in products we manufacture or contract to manufacture in the Reporting Period.</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utilized the Electronic Industry Citizenship Coalition and the Global e-Sustainability Initiative's Conflict Minerals Reporting Template ("CMRT") to survey the suppliers identified through the procedures above on their sourcing of the 3TG that we identified in our products. The purpose of the CMRT is to guide companies through collecting supplier data on 3TG within their supply chains. Companies utilize the CMRT to meet conflict minerals reporting requirements and publicly disclose sourcing information to investors and customers. The CMRT facilitates the transfer of supply chain data between companies and their suppliers, including information about the mineral’s country of origin and its utilized smelters and refiners.</w:t>
      </w:r>
    </w:p>
    <w:p>
      <w:pPr>
        <w:spacing w:after="0" w:line="21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RCOI process described above, we determined that we may have some suppliers that sourced 3TG from the DRC Region and proceeded to conduct due diligence on our supplier base,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of Due Diligence</w:t>
      </w:r>
    </w:p>
    <w:p>
      <w:pPr>
        <w:spacing w:after="0" w:line="256"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 xml:space="preserve">We have designed our due diligence procedures to conform, in all material respects, with the due diligence framework presented by the Organization for Economic Co-operation and Development ("OECD") in the publication </w:t>
      </w:r>
      <w:r>
        <w:rPr>
          <w:rFonts w:ascii="Times New Roman" w:cs="Times New Roman" w:eastAsia="Times New Roman" w:hAnsi="Times New Roman"/>
          <w:sz w:val="17"/>
          <w:szCs w:val="17"/>
          <w:i w:val="1"/>
          <w:iCs w:val="1"/>
          <w:color w:val="auto"/>
        </w:rPr>
        <w:t>OECD Due Diligence Guidance for Responsible Supply Chains of Minerals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from Conflict-Affected and High-Risk Areas: Second Edition, OECD Publishing </w:t>
      </w:r>
      <w:r>
        <w:rPr>
          <w:rFonts w:ascii="Times New Roman" w:cs="Times New Roman" w:eastAsia="Times New Roman" w:hAnsi="Times New Roman"/>
          <w:sz w:val="17"/>
          <w:szCs w:val="17"/>
          <w:color w:val="auto"/>
        </w:rPr>
        <w:t>and the related Supplements for gold, tin, tantalum and tungsten.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Performed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Establish Strong Company Management Systems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We established a conflict minerals policy related to our sourcing of 3TG, which is posted on our website at </w:t>
      </w:r>
      <w:r>
        <w:rPr>
          <w:rFonts w:ascii="Times New Roman" w:cs="Times New Roman" w:eastAsia="Times New Roman" w:hAnsi="Times New Roman"/>
          <w:sz w:val="18"/>
          <w:szCs w:val="18"/>
          <w:u w:val="single" w:color="auto"/>
          <w:color w:val="0000FF"/>
        </w:rPr>
        <w:t>www.bwxt.com</w:t>
      </w:r>
      <w:r>
        <w:rPr>
          <w:rFonts w:ascii="Times New Roman" w:cs="Times New Roman" w:eastAsia="Times New Roman" w:hAnsi="Times New Roman"/>
          <w:sz w:val="18"/>
          <w:szCs w:val="18"/>
          <w:color w:val="auto"/>
        </w:rPr>
        <w:t xml:space="preserve"> within the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under the "Governance" subsection under "Governance Documents."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w:t>
      </w:r>
    </w:p>
    <w:p>
      <w:pPr>
        <w:spacing w:after="0" w:line="25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commissioned a Conflict Minerals Working Group comprised of individuals in management positions across the legal, procurement, compliance and internal audit functions. This Working Group is led by members of our leadership team. The Conflict Minerals Working Group governs our conflict minerals compliance effort and is responsible for providing guidance and direction for the implementation and management of our conflict minerals program, as well as specific tasks relevant to their respective functional areas.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Systems and Grievance Mechanism</w:t>
      </w:r>
    </w:p>
    <w:p>
      <w:pPr>
        <w:spacing w:after="0" w:line="2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do not typically have a direct relationship with smelters and refiners. However, we have controls in place designed to uphold our core values and ethical standards in our interactions with customers, vendors, suppliers, shareholders, fellow employees and others.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controls include our Code of Business Conduct (the "Code") that outlines expected behaviors for all employees, vendors and independent contractors. The Code is publicly available on our website within the "Investors" section under the "Governance" subsection under "Governance Documents." To this end, anyone can utilize the BWXT Help Line as detailed in our Code to proactively report a concern or violation of our Code or policies, including our conflict minerals policy and related program efforts. We also have company-wide document retention policies. These policies extend to the documentation accumulated in performing our due diligence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w:t>
      </w:r>
    </w:p>
    <w:p>
      <w:pPr>
        <w:spacing w:after="0" w:line="254"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We have communicated with suppliers potentially affected by our Conflict Minerals Policy and compliance efforts, as identified through our RCOI process, our expectation that they assist us in complying with our conflict minerals program, including obtaining information to identify the source and support chain of custody of the 3TG identified in our products. We have provided suppliers access to our Conflict Minerals Policy through the website above or upon request. In addition, we have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91" w:right="339" w:bottom="1440" w:gutter="0" w:footer="0" w:header="0"/>
          <w:type w:val="continuous"/>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developed internal protocols and procedures for engaging with suppliers who fail to comply, or inadequately comply, with our conflict minerals compliance efforts.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 and Assess Risks in the Supply Chain</w:t>
      </w:r>
    </w:p>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surveyed twenty-nine suppliers identified as potentially providing materials or components containing 3TG supporting our manufacturing operations during the Reporting Period. Of these, all responded to our survey requests, including twenty-six through the CMRT and three company-specific letters.</w:t>
      </w:r>
    </w:p>
    <w:p>
      <w:pPr>
        <w:spacing w:after="0" w:line="20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reviewed survey responses that we received to determine which of them required further engagement based on our risk assessment parameters. All completed surveys and other responses were reviewed for completeness and consistency of information. We performed further due diligence and engagement with suppliers as necessary based upon our risk assessment parameters to obtain additional information or request clarification. Also, if a supplier responded at the product level that they were sourcing 3TG from the DRC Region and provided a smelter list, we verified that the smelters they identified as sourcing 3TG from the DRC Region were certified conflict-free through the CMRT. Ultimately, we rely on suppliers to provide us with the information about the source of 3TG contained in the components supplied to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Design and Implement a Strategy to Respond to Identified Risks</w:t>
      </w:r>
    </w:p>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report our findings annually to the Conflict Minerals Working Group prior to the issuance of our Form SD and this Report. We also report any significant due diligence findings to the Conflict Minerals Working Group as they arise (for example, if we find that we source 3TG that directly or indirectly finances or benefits armed groups, or are under the control of armed groups, in the DRC Region). At this time, we have found no instance where it was necessary to implement risk mitigation efforts as a result of a supplier's response to our information request.</w:t>
      </w:r>
    </w:p>
    <w:p>
      <w:pPr>
        <w:spacing w:after="0" w:line="20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annual survey process and due diligence efforts, we have adopted a Risk Management and Corrective Action Plan to manage risks related to changes in products or suppliers and to proactively mitigate the risks of conflict minerals entering into our supply chain through the following procedures:</w:t>
      </w:r>
    </w:p>
    <w:p>
      <w:pPr>
        <w:spacing w:after="0" w:line="201" w:lineRule="exact"/>
        <w:rPr>
          <w:sz w:val="20"/>
          <w:szCs w:val="20"/>
          <w:color w:val="auto"/>
        </w:rPr>
      </w:pPr>
    </w:p>
    <w:p>
      <w:pPr>
        <w:ind w:left="660" w:right="7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conflict minerals policy</w:t>
      </w:r>
      <w:r>
        <w:rPr>
          <w:rFonts w:ascii="Times New Roman" w:cs="Times New Roman" w:eastAsia="Times New Roman" w:hAnsi="Times New Roman"/>
          <w:sz w:val="18"/>
          <w:szCs w:val="18"/>
          <w:color w:val="auto"/>
        </w:rPr>
        <w:t>: BWXT's conflict minerals policy sets the expectation that all suppliers will implement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to support BWXT's efforts to comply with the conflict minerals rule; and</w:t>
      </w:r>
    </w:p>
    <w:p>
      <w:pPr>
        <w:spacing w:after="0" w:line="185"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Instituted contract language</w:t>
      </w:r>
      <w:r>
        <w:rPr>
          <w:rFonts w:ascii="Times New Roman" w:cs="Times New Roman" w:eastAsia="Times New Roman" w:hAnsi="Times New Roman"/>
          <w:sz w:val="18"/>
          <w:szCs w:val="18"/>
          <w:color w:val="auto"/>
        </w:rPr>
        <w:t>: BWXT has developed contract language echoing the sentiment of the conflict minerals policy, and this language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and will continue to be distributed to suppliers.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also adopted a Corrective Action Plan for suppliers that do not comply with the company's requests for information and support in relation to conflict minerals.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Carry Out Independent Third-Party Audit of Supply Chain Due Diligence at Identified Points in the Supply Chain</w:t>
      </w:r>
    </w:p>
    <w:p>
      <w:pPr>
        <w:spacing w:after="0" w:line="25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do not typically have a direct relationship with smelters and refiners and therefore do not perform or direct audits of these entities. However, we rely on third-party assurances and certifications, such as the Conflict Free Sourcing Initiative's Conflict-Free Smelter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 on Supply Chain Due Diligence</w:t>
      </w:r>
    </w:p>
    <w:p>
      <w:pPr>
        <w:spacing w:after="0" w:line="25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This Report, which constitutes our annual report on our due diligence efforts, is available on our website at </w:t>
      </w:r>
      <w:r>
        <w:rPr>
          <w:rFonts w:ascii="Times New Roman" w:cs="Times New Roman" w:eastAsia="Times New Roman" w:hAnsi="Times New Roman"/>
          <w:sz w:val="18"/>
          <w:szCs w:val="18"/>
          <w:u w:val="single" w:color="auto"/>
          <w:color w:val="0000FF"/>
        </w:rPr>
        <w:t>www.bwxt.com</w:t>
      </w:r>
      <w:r>
        <w:rPr>
          <w:rFonts w:ascii="Times New Roman" w:cs="Times New Roman" w:eastAsia="Times New Roman" w:hAnsi="Times New Roman"/>
          <w:sz w:val="18"/>
          <w:szCs w:val="18"/>
          <w:color w:val="auto"/>
        </w:rPr>
        <w:t xml:space="preserve"> within the "Investors" section under the "Financials" subsection under "SEC Filings" and is filed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DUE DILIGENCE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Determine Mine or Location of Origin</w:t>
      </w:r>
    </w:p>
    <w:p>
      <w:pPr>
        <w:spacing w:after="0" w:line="25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Given that we do not have established relationships with the ultimate smelters and refiners from which the 3TG in our products is sourced, we have made a good faith effort to determine the mines or locations of origin of 3TG in our supply chain by requesting our suppliers complete the CMRT.</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89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Processing Facilities and Country of Origin</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Of the suppliers surveyed, seven completed the CMRT at the company, business unit or entity level and are unable to represent that 3TG from the processing facilities they listed had actually been included in components that they supplied to us. Nineteen of our suppliers identified a smelter list in their CMRT at the product level and three provided partial product-level lists. As our suppliers are otherwise unable to provide us with the information necessary to determine country of origin at the product level, failed to provide information on their smelters or refiners, due diligence identified inconclusive country-of-origin data for some suppliers, or smelter identification remains incomplete in certain cases, we are unable to provide smelter and refiner names and country of origin of the necessary 3TG in this Report at this time. We will continue to work with our suppliers to obtain smelter information at the product level and obtain more complete supplier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BE TAKEN</w:t>
      </w:r>
    </w:p>
    <w:p>
      <w:pPr>
        <w:spacing w:after="0" w:line="25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are committed to complying with the provisions of the Rule and Form SD and expect to continue our efforts to improve our conflict minerals program and related due diligence. Our next steps may include, but are not limited to the following:</w:t>
      </w:r>
    </w:p>
    <w:p>
      <w:pPr>
        <w:spacing w:after="0" w:line="189"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work with suppliers to increase our response rate and improve the content of responses to assist in our RCOI process and our efforts to determine the processing facilities for and country of origin of our 3TG with the greatest specificity possible;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master smelter list based on our RCOI process and associated due diligence; and</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refining our strategy to respond to identified risk, including but not limited to, potential actions to be taken against suppliers that do not respond to our requests or do not provide reasonable information to support our due diligence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2026-05-27T15:36:58Z</dcterms:created>
  <dcterms:modified xsi:type="dcterms:W3CDTF">2026-05-27T15:36:58Z</dcterms:modified>
</cp:coreProperties>
</file>