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26"/>
          <w:szCs w:val="26"/>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6"/>
          <w:szCs w:val="26"/>
          <w:b w:val="1"/>
          <w:bCs w:val="1"/>
          <w:color w:val="auto"/>
        </w:rPr>
        <w:t>SECURITIES AND EXCHANGE COMMISSION</w:t>
      </w:r>
    </w:p>
    <w:p>
      <w:pPr>
        <w:spacing w:after="0" w:line="16"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Washington, D.C. 20549</w:t>
      </w:r>
    </w:p>
    <w:p>
      <w:pPr>
        <w:spacing w:after="0" w:line="181" w:lineRule="exact"/>
        <w:rPr>
          <w:sz w:val="24"/>
          <w:szCs w:val="24"/>
          <w:color w:val="auto"/>
        </w:rPr>
      </w:pPr>
    </w:p>
    <w:p>
      <w:pPr>
        <w:jc w:val="center"/>
        <w:ind w:right="-1100"/>
        <w:spacing w:after="0"/>
        <w:rPr>
          <w:sz w:val="20"/>
          <w:szCs w:val="20"/>
          <w:color w:val="auto"/>
        </w:rPr>
      </w:pPr>
      <w:r>
        <w:rPr>
          <w:rFonts w:ascii="Arial" w:cs="Arial" w:eastAsia="Arial" w:hAnsi="Arial"/>
          <w:sz w:val="23"/>
          <w:szCs w:val="23"/>
          <w:b w:val="1"/>
          <w:bCs w:val="1"/>
          <w:color w:val="auto"/>
        </w:rPr>
        <w:t>SCHEDULE 14A</w:t>
      </w:r>
    </w:p>
    <w:p>
      <w:pPr>
        <w:spacing w:after="0" w:line="43" w:lineRule="exact"/>
        <w:rPr>
          <w:sz w:val="24"/>
          <w:szCs w:val="24"/>
          <w:color w:val="auto"/>
        </w:rPr>
      </w:pPr>
    </w:p>
    <w:p>
      <w:pPr>
        <w:ind w:left="4960"/>
        <w:spacing w:after="0"/>
        <w:rPr>
          <w:sz w:val="20"/>
          <w:szCs w:val="20"/>
          <w:color w:val="auto"/>
        </w:rPr>
      </w:pPr>
      <w:r>
        <w:rPr>
          <w:rFonts w:ascii="Arial" w:cs="Arial" w:eastAsia="Arial" w:hAnsi="Arial"/>
          <w:sz w:val="19"/>
          <w:szCs w:val="19"/>
          <w:b w:val="1"/>
          <w:bCs w:val="1"/>
          <w:color w:val="auto"/>
        </w:rPr>
        <w:t>(Rule 14a-101)</w:t>
      </w:r>
    </w:p>
    <w:p>
      <w:pPr>
        <w:spacing w:after="0" w:line="90" w:lineRule="exact"/>
        <w:rPr>
          <w:sz w:val="24"/>
          <w:szCs w:val="24"/>
          <w:color w:val="auto"/>
        </w:rPr>
      </w:pPr>
    </w:p>
    <w:p>
      <w:pPr>
        <w:ind w:left="3360"/>
        <w:spacing w:after="0"/>
        <w:rPr>
          <w:sz w:val="20"/>
          <w:szCs w:val="20"/>
          <w:color w:val="auto"/>
        </w:rPr>
      </w:pPr>
      <w:r>
        <w:rPr>
          <w:rFonts w:ascii="Arial" w:cs="Arial" w:eastAsia="Arial" w:hAnsi="Arial"/>
          <w:sz w:val="19"/>
          <w:szCs w:val="19"/>
          <w:b w:val="1"/>
          <w:bCs w:val="1"/>
          <w:color w:val="auto"/>
        </w:rPr>
        <w:t>Proxy Statement Pursuant to Section 14(a) of the</w:t>
      </w:r>
    </w:p>
    <w:p>
      <w:pPr>
        <w:spacing w:after="0" w:line="33"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Securities Exchange Act of 1934</w:t>
      </w:r>
    </w:p>
    <w:p>
      <w:pPr>
        <w:spacing w:after="0" w:line="13" w:lineRule="exact"/>
        <w:rPr>
          <w:sz w:val="24"/>
          <w:szCs w:val="24"/>
          <w:color w:val="auto"/>
        </w:rPr>
      </w:pPr>
    </w:p>
    <w:p>
      <w:pPr>
        <w:jc w:val="center"/>
        <w:ind w:right="-1120"/>
        <w:spacing w:after="0"/>
        <w:tabs>
          <w:tab w:leader="none" w:pos="240" w:val="left"/>
        </w:tabs>
        <w:rPr>
          <w:sz w:val="20"/>
          <w:szCs w:val="20"/>
          <w:color w:val="auto"/>
        </w:rPr>
      </w:pPr>
      <w:r>
        <w:rPr>
          <w:rFonts w:ascii="Arial" w:cs="Arial" w:eastAsia="Arial" w:hAnsi="Arial"/>
          <w:sz w:val="19"/>
          <w:szCs w:val="19"/>
          <w:b w:val="1"/>
          <w:bCs w:val="1"/>
          <w:color w:val="auto"/>
        </w:rPr>
        <w:t>(Amendment No.</w:t>
        <w:tab/>
        <w:t>)</w:t>
      </w:r>
    </w:p>
    <w:p>
      <w:pPr>
        <w:spacing w:after="0" w:line="200" w:lineRule="exact"/>
        <w:rPr>
          <w:sz w:val="24"/>
          <w:szCs w:val="24"/>
          <w:color w:val="auto"/>
        </w:rPr>
      </w:pPr>
    </w:p>
    <w:p>
      <w:pPr>
        <w:spacing w:after="0" w:line="392"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p>
    <w:p>
      <w:pPr>
        <w:spacing w:after="0" w:line="95" w:lineRule="exact"/>
        <w:rPr>
          <w:sz w:val="24"/>
          <w:szCs w:val="24"/>
          <w:color w:val="auto"/>
        </w:rPr>
      </w:pPr>
    </w:p>
    <w:p>
      <w:pPr>
        <w:spacing w:after="0" w:line="173" w:lineRule="exact"/>
        <w:rPr>
          <w:sz w:val="20"/>
          <w:szCs w:val="20"/>
          <w:color w:val="auto"/>
        </w:rPr>
      </w:pP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119"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w:t>
      </w:r>
    </w:p>
    <w:p>
      <w:pPr>
        <w:spacing w:after="0" w:line="217" w:lineRule="exact"/>
        <w:rPr>
          <w:sz w:val="24"/>
          <w:szCs w:val="24"/>
          <w:color w:val="auto"/>
        </w:rPr>
      </w:pPr>
    </w:p>
    <w:p>
      <w:pPr>
        <w:ind w:left="860" w:hanging="84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Preliminary Proxy Statement</w:t>
      </w:r>
    </w:p>
    <w:p>
      <w:pPr>
        <w:spacing w:after="0" w:line="168" w:lineRule="exact"/>
        <w:rPr>
          <w:rFonts w:ascii="MS PGothic" w:cs="MS PGothic" w:eastAsia="MS PGothic" w:hAnsi="MS PGothic"/>
          <w:sz w:val="15"/>
          <w:szCs w:val="15"/>
          <w:color w:val="auto"/>
        </w:rPr>
      </w:pPr>
    </w:p>
    <w:p>
      <w:pPr>
        <w:ind w:left="860" w:hanging="846"/>
        <w:spacing w:after="0"/>
        <w:tabs>
          <w:tab w:leader="none" w:pos="860" w:val="left"/>
        </w:tabs>
        <w:numPr>
          <w:ilvl w:val="0"/>
          <w:numId w:val="1"/>
        </w:numPr>
        <w:rPr>
          <w:rFonts w:ascii="MS PGothic" w:cs="MS PGothic" w:eastAsia="MS PGothic" w:hAnsi="MS PGothic"/>
          <w:sz w:val="15"/>
          <w:szCs w:val="15"/>
          <w:color w:val="auto"/>
        </w:rPr>
      </w:pPr>
      <w:r>
        <w:rPr>
          <w:rFonts w:ascii="Arial" w:cs="Arial" w:eastAsia="Arial" w:hAnsi="Arial"/>
          <w:sz w:val="15"/>
          <w:szCs w:val="15"/>
          <w:b w:val="1"/>
          <w:bCs w:val="1"/>
          <w:color w:val="auto"/>
        </w:rPr>
        <w:t>Confidential, for Use of the Commission Only (as permitted by Rule 14a-6(e)(2))</w:t>
      </w:r>
    </w:p>
    <w:p>
      <w:pPr>
        <w:spacing w:after="0" w:line="71" w:lineRule="exact"/>
        <w:rPr>
          <w:sz w:val="24"/>
          <w:szCs w:val="24"/>
          <w:color w:val="auto"/>
        </w:rPr>
      </w:pPr>
    </w:p>
    <w:p>
      <w:pPr>
        <w:ind w:left="860" w:hanging="846"/>
        <w:spacing w:after="0"/>
        <w:tabs>
          <w:tab w:leader="none" w:pos="86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Definitive Proxy Statement</w:t>
      </w:r>
    </w:p>
    <w:p>
      <w:pPr>
        <w:spacing w:after="0" w:line="169" w:lineRule="exact"/>
        <w:rPr>
          <w:sz w:val="24"/>
          <w:szCs w:val="24"/>
          <w:color w:val="auto"/>
        </w:rPr>
      </w:pPr>
    </w:p>
    <w:p>
      <w:pPr>
        <w:ind w:left="860" w:hanging="846"/>
        <w:spacing w:after="0"/>
        <w:tabs>
          <w:tab w:leader="none" w:pos="8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Definitive Additional Materials</w:t>
      </w:r>
    </w:p>
    <w:p>
      <w:pPr>
        <w:spacing w:after="0" w:line="168" w:lineRule="exact"/>
        <w:rPr>
          <w:rFonts w:ascii="MS PGothic" w:cs="MS PGothic" w:eastAsia="MS PGothic" w:hAnsi="MS PGothic"/>
          <w:sz w:val="15"/>
          <w:szCs w:val="15"/>
          <w:color w:val="auto"/>
        </w:rPr>
      </w:pPr>
    </w:p>
    <w:p>
      <w:pPr>
        <w:ind w:left="860" w:hanging="846"/>
        <w:spacing w:after="0"/>
        <w:tabs>
          <w:tab w:leader="none" w:pos="860" w:val="left"/>
        </w:tabs>
        <w:numPr>
          <w:ilvl w:val="0"/>
          <w:numId w:val="3"/>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§240.14a-12</w:t>
      </w:r>
    </w:p>
    <w:p>
      <w:pPr>
        <w:spacing w:after="0" w:line="284" w:lineRule="exact"/>
        <w:rPr>
          <w:sz w:val="24"/>
          <w:szCs w:val="24"/>
          <w:color w:val="auto"/>
        </w:rPr>
      </w:pPr>
    </w:p>
    <w:p>
      <w:pPr>
        <w:jc w:val="center"/>
        <w:ind w:right="-1100"/>
        <w:spacing w:after="0"/>
        <w:rPr>
          <w:sz w:val="20"/>
          <w:szCs w:val="20"/>
          <w:color w:val="auto"/>
        </w:rPr>
      </w:pPr>
      <w:r>
        <w:rPr>
          <w:rFonts w:ascii="Arial" w:cs="Arial" w:eastAsia="Arial" w:hAnsi="Arial"/>
          <w:sz w:val="36"/>
          <w:szCs w:val="36"/>
          <w:b w:val="1"/>
          <w:bCs w:val="1"/>
          <w:color w:val="auto"/>
        </w:rPr>
        <w:t>BWX TECHNOLOGIES, INC.</w:t>
      </w:r>
    </w:p>
    <w:p>
      <w:pPr>
        <w:spacing w:after="0" w:line="66" w:lineRule="exact"/>
        <w:rPr>
          <w:sz w:val="24"/>
          <w:szCs w:val="24"/>
          <w:color w:val="auto"/>
        </w:rPr>
      </w:pPr>
    </w:p>
    <w:p>
      <w:pPr>
        <w:ind w:left="384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6" w:lineRule="exact"/>
        <w:rPr>
          <w:sz w:val="24"/>
          <w:szCs w:val="24"/>
          <w:color w:val="auto"/>
        </w:rPr>
      </w:pPr>
    </w:p>
    <w:p>
      <w:pPr>
        <w:ind w:left="348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90" w:lineRule="exact"/>
        <w:rPr>
          <w:sz w:val="24"/>
          <w:szCs w:val="24"/>
          <w:color w:val="auto"/>
        </w:rPr>
      </w:pPr>
    </w:p>
    <w:p>
      <w:pPr>
        <w:spacing w:after="0"/>
        <w:rPr>
          <w:sz w:val="20"/>
          <w:szCs w:val="20"/>
          <w:color w:val="auto"/>
        </w:rPr>
      </w:pPr>
      <w:r>
        <w:rPr>
          <w:rFonts w:ascii="Arial" w:cs="Arial" w:eastAsia="Arial" w:hAnsi="Arial"/>
          <w:sz w:val="15"/>
          <w:szCs w:val="15"/>
          <w:color w:val="auto"/>
        </w:rPr>
        <w:t>Payment of Filing Fee (Check the appropriate box):</w:t>
      </w:r>
    </w:p>
    <w:p>
      <w:pPr>
        <w:spacing w:after="0" w:line="120" w:lineRule="exact"/>
        <w:rPr>
          <w:sz w:val="24"/>
          <w:szCs w:val="24"/>
          <w:color w:val="auto"/>
        </w:rPr>
      </w:pPr>
    </w:p>
    <w:p>
      <w:pPr>
        <w:ind w:left="620" w:hanging="606"/>
        <w:spacing w:after="0"/>
        <w:tabs>
          <w:tab w:leader="none" w:pos="620" w:val="left"/>
        </w:tabs>
        <w:numPr>
          <w:ilvl w:val="0"/>
          <w:numId w:val="4"/>
        </w:numPr>
        <w:rPr>
          <w:rFonts w:ascii="MS PGothic" w:cs="MS PGothic" w:eastAsia="MS PGothic" w:hAnsi="MS PGothic"/>
          <w:sz w:val="15"/>
          <w:szCs w:val="15"/>
          <w:color w:val="auto"/>
        </w:rPr>
      </w:pPr>
      <w:r>
        <w:rPr>
          <w:rFonts w:ascii="Arial" w:cs="Arial" w:eastAsia="Arial" w:hAnsi="Arial"/>
          <w:sz w:val="15"/>
          <w:szCs w:val="15"/>
          <w:color w:val="auto"/>
        </w:rPr>
        <w:t>No fee required.</w:t>
      </w:r>
    </w:p>
    <w:p>
      <w:pPr>
        <w:ind w:left="620" w:hanging="606"/>
        <w:spacing w:after="0" w:line="183" w:lineRule="auto"/>
        <w:tabs>
          <w:tab w:leader="none" w:pos="620" w:val="left"/>
        </w:tabs>
        <w:numPr>
          <w:ilvl w:val="0"/>
          <w:numId w:val="5"/>
        </w:numPr>
        <w:rPr>
          <w:rFonts w:ascii="MS PGothic" w:cs="MS PGothic" w:eastAsia="MS PGothic" w:hAnsi="MS PGothic"/>
          <w:sz w:val="28"/>
          <w:szCs w:val="28"/>
          <w:color w:val="auto"/>
          <w:vertAlign w:val="subscript"/>
        </w:rPr>
      </w:pPr>
      <w:r>
        <w:rPr>
          <w:rFonts w:ascii="Arial" w:cs="Arial" w:eastAsia="Arial" w:hAnsi="Arial"/>
          <w:sz w:val="14"/>
          <w:szCs w:val="14"/>
          <w:color w:val="auto"/>
        </w:rPr>
        <w:t>Fee paid previously with preliminary materials.</w:t>
      </w:r>
    </w:p>
    <w:p>
      <w:pPr>
        <w:spacing w:after="0" w:line="112" w:lineRule="exact"/>
        <w:rPr>
          <w:rFonts w:ascii="MS PGothic" w:cs="MS PGothic" w:eastAsia="MS PGothic" w:hAnsi="MS PGothic"/>
          <w:sz w:val="28"/>
          <w:szCs w:val="28"/>
          <w:color w:val="auto"/>
          <w:vertAlign w:val="subscript"/>
        </w:rPr>
      </w:pPr>
    </w:p>
    <w:p>
      <w:pPr>
        <w:ind w:left="620" w:hanging="606"/>
        <w:spacing w:after="0" w:line="180" w:lineRule="auto"/>
        <w:tabs>
          <w:tab w:leader="none" w:pos="620" w:val="left"/>
        </w:tabs>
        <w:numPr>
          <w:ilvl w:val="0"/>
          <w:numId w:val="5"/>
        </w:numPr>
        <w:rPr>
          <w:rFonts w:ascii="MS PGothic" w:cs="MS PGothic" w:eastAsia="MS PGothic" w:hAnsi="MS PGothic"/>
          <w:sz w:val="24"/>
          <w:szCs w:val="24"/>
          <w:color w:val="auto"/>
          <w:vertAlign w:val="subscript"/>
        </w:rPr>
      </w:pPr>
      <w:r>
        <w:rPr>
          <w:rFonts w:ascii="Arial" w:cs="Arial" w:eastAsia="Arial" w:hAnsi="Arial"/>
          <w:sz w:val="13"/>
          <w:szCs w:val="13"/>
          <w:color w:val="auto"/>
        </w:rPr>
        <w:t>Fee computed on table below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778510</wp:posOffset>
            </wp:positionV>
            <wp:extent cx="717105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139"/>
          </w:cols>
          <w:pgMar w:left="320" w:top="93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2792095</wp:posOffset>
            </wp:positionH>
            <wp:positionV relativeFrom="page">
              <wp:posOffset>607060</wp:posOffset>
            </wp:positionV>
            <wp:extent cx="1964055" cy="974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974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9380"/>
        <w:spacing w:after="0"/>
        <w:rPr>
          <w:sz w:val="20"/>
          <w:szCs w:val="20"/>
          <w:color w:val="auto"/>
        </w:rPr>
      </w:pPr>
      <w:r>
        <w:rPr>
          <w:rFonts w:ascii="Arial" w:cs="Arial" w:eastAsia="Arial" w:hAnsi="Arial"/>
          <w:sz w:val="16"/>
          <w:szCs w:val="16"/>
          <w:color w:val="auto"/>
        </w:rPr>
        <w:t>800 Main Street, 4th Floor</w:t>
      </w:r>
    </w:p>
    <w:p>
      <w:pPr>
        <w:spacing w:after="0" w:line="27" w:lineRule="exact"/>
        <w:rPr>
          <w:sz w:val="20"/>
          <w:szCs w:val="20"/>
          <w:color w:val="auto"/>
        </w:rPr>
      </w:pPr>
    </w:p>
    <w:p>
      <w:pPr>
        <w:ind w:left="9380"/>
        <w:spacing w:after="0"/>
        <w:rPr>
          <w:sz w:val="20"/>
          <w:szCs w:val="20"/>
          <w:color w:val="auto"/>
        </w:rPr>
      </w:pPr>
      <w:r>
        <w:rPr>
          <w:rFonts w:ascii="Arial" w:cs="Arial" w:eastAsia="Arial" w:hAnsi="Arial"/>
          <w:sz w:val="16"/>
          <w:szCs w:val="16"/>
          <w:color w:val="auto"/>
        </w:rPr>
        <w:t>Lynchburg, Virginia 24504</w:t>
      </w:r>
    </w:p>
    <w:p>
      <w:pPr>
        <w:spacing w:after="0" w:line="141" w:lineRule="exact"/>
        <w:rPr>
          <w:sz w:val="20"/>
          <w:szCs w:val="20"/>
          <w:color w:val="auto"/>
        </w:rPr>
      </w:pPr>
    </w:p>
    <w:p>
      <w:pPr>
        <w:ind w:left="10120"/>
        <w:spacing w:after="0"/>
        <w:rPr>
          <w:sz w:val="20"/>
          <w:szCs w:val="20"/>
          <w:color w:val="auto"/>
        </w:rPr>
      </w:pPr>
      <w:r>
        <w:rPr>
          <w:rFonts w:ascii="Arial" w:cs="Arial" w:eastAsia="Arial" w:hAnsi="Arial"/>
          <w:sz w:val="16"/>
          <w:szCs w:val="16"/>
          <w:color w:val="auto"/>
        </w:rPr>
        <w:t>March 15, 2023</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Dear Stockholder:</w:t>
      </w:r>
    </w:p>
    <w:p>
      <w:pPr>
        <w:spacing w:after="0" w:line="157"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color w:val="auto"/>
        </w:rPr>
        <w:t xml:space="preserve">You are cordially invited to attend the 2023 Annual Meeting of Stockholders of BWX Technologies, Inc. (the "Annual Meeting"), which will be held on Wednesday, May 3, 2023 at 9:30 a.m. Eastern Time. The Annual Meeting will be held in a virtual format through a live webcast available at </w:t>
      </w:r>
      <w:r>
        <w:rPr>
          <w:rFonts w:ascii="Arial" w:cs="Arial" w:eastAsia="Arial" w:hAnsi="Arial"/>
          <w:sz w:val="16"/>
          <w:szCs w:val="16"/>
          <w:u w:val="single" w:color="auto"/>
          <w:color w:val="auto"/>
        </w:rPr>
        <w:t>www.virtualshareholdermeeting.com/BWXT2023</w:t>
      </w:r>
      <w:r>
        <w:rPr>
          <w:rFonts w:ascii="Arial" w:cs="Arial" w:eastAsia="Arial" w:hAnsi="Arial"/>
          <w:sz w:val="16"/>
          <w:szCs w:val="16"/>
          <w:color w:val="auto"/>
        </w:rPr>
        <w:t>. Additional information on participating in the Annual Meeting is available under General Information in the 2023 Proxy Statement. The Notice of Annual Meeting and Proxy Statement following this letter describe the matters to be acted on at the meeting.</w:t>
      </w:r>
    </w:p>
    <w:p>
      <w:pPr>
        <w:spacing w:after="0" w:line="107"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color w:val="auto"/>
        </w:rPr>
        <w:t>As a demonstration of our commitment to transparency and good corporate governance practices, we have continued to engage directly with our stockholders over the past year to discuss matters of interest. We value the feedback we received from our stockholders in recent years, and it has informed our decisions on environmental, social and governance matters, among other things.</w:t>
      </w:r>
    </w:p>
    <w:p>
      <w:pPr>
        <w:spacing w:after="0" w:line="101"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color w:val="auto"/>
        </w:rPr>
        <w:t>We are utilizing the Securities and Exchange Commission’s Notice and Access proxy rule, which allows us to furnish proxy materials to you via the Internet as an alternative to the traditional approach of mailing a printed set to each stockholder. In accordance with these rules, we have sent a Notice of Internet Availability of Proxy Materials (the "Notice") to all stockholders who have not previously elected to receive a printed set of proxy materials. The Notice contains instructions on how to access our 2023 Proxy Statement and 2022 Annual Report, as well as how to vote either online, by telephone or during the Annual Meeting.</w:t>
      </w:r>
    </w:p>
    <w:p>
      <w:pPr>
        <w:spacing w:after="0" w:line="109"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color w:val="auto"/>
        </w:rPr>
        <w:t>It is very important that your shares are represented and voted at the Annual Meeting. Please vote your shares by Internet or telephone, or, if you received a printed set of materials by mail, by returning the accompanying proxy card, as soon as possible to ensure that your shares are voted at the meeting. Further instructions on how to vote your shares can be found in our Proxy Statement.</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 of our company.</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17780</wp:posOffset>
            </wp:positionV>
            <wp:extent cx="1546860" cy="541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46860" cy="541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Rex D. Geveden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53975</wp:posOffset>
            </wp:positionV>
            <wp:extent cx="1546860" cy="81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46860" cy="819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BF2115"/>
        </w:rPr>
        <w:t>YOUR VOTE IS IMPORTANT.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0415" cy="2863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286385"/>
                    </a:xfrm>
                    <a:prstGeom prst="rect">
                      <a:avLst/>
                    </a:prstGeom>
                    <a:noFill/>
                  </pic:spPr>
                </pic:pic>
              </a:graphicData>
            </a:graphic>
          </wp:anchor>
        </w:drawing>
      </w:r>
    </w:p>
    <w:p>
      <w:pPr>
        <w:spacing w:after="0" w:line="40"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Whether or not you plan to attend the Annual Meeting, please take a few moments now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561975</wp:posOffset>
            </wp:positionV>
            <wp:extent cx="7171055" cy="4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2" w:name="page3"/>
    <w:bookmarkEnd w:id="2"/>
    <w:p>
      <w:pPr>
        <w:ind w:left="20"/>
        <w:spacing w:after="0"/>
        <w:rPr>
          <w:sz w:val="20"/>
          <w:szCs w:val="20"/>
          <w:color w:val="auto"/>
        </w:rPr>
      </w:pPr>
      <w:r>
        <w:rPr>
          <w:rFonts w:ascii="Arial" w:cs="Arial" w:eastAsia="Arial" w:hAnsi="Arial"/>
          <w:sz w:val="16"/>
          <w:szCs w:val="16"/>
          <w:b w:val="1"/>
          <w:bCs w:val="1"/>
          <w:color w:val="BF2115"/>
        </w:rPr>
        <w:t>Important Notice Regarding the Availability of Proxy Materials for the Annual Meeting of Stockholders To Be Held on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-113030</wp:posOffset>
            </wp:positionV>
            <wp:extent cx="7130415" cy="1314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13144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The proxy statement and annual report are available on the Internet at www.proxyvote.com.</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information applicable to the Annual Meeting may be found in the proxy statement and the Notice or proxy card, as applicable:</w:t>
      </w:r>
    </w:p>
    <w:p>
      <w:pPr>
        <w:spacing w:after="0" w:line="108" w:lineRule="exact"/>
        <w:rPr>
          <w:sz w:val="20"/>
          <w:szCs w:val="20"/>
          <w:color w:val="auto"/>
        </w:rPr>
      </w:pPr>
    </w:p>
    <w:p>
      <w:pPr>
        <w:ind w:left="660" w:hanging="29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date and time of the meeting;</w:t>
      </w:r>
    </w:p>
    <w:p>
      <w:pPr>
        <w:spacing w:after="0" w:line="108" w:lineRule="exact"/>
        <w:rPr>
          <w:rFonts w:ascii="Arial" w:cs="Arial" w:eastAsia="Arial" w:hAnsi="Arial"/>
          <w:sz w:val="16"/>
          <w:szCs w:val="16"/>
          <w:color w:val="auto"/>
        </w:rPr>
      </w:pPr>
    </w:p>
    <w:p>
      <w:pPr>
        <w:ind w:left="660" w:hanging="29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 list of the matters intended to be acted on and our recommendations regarding those matters;</w:t>
      </w:r>
    </w:p>
    <w:p>
      <w:pPr>
        <w:spacing w:after="0" w:line="108" w:lineRule="exact"/>
        <w:rPr>
          <w:rFonts w:ascii="Arial" w:cs="Arial" w:eastAsia="Arial" w:hAnsi="Arial"/>
          <w:sz w:val="16"/>
          <w:szCs w:val="16"/>
          <w:color w:val="auto"/>
        </w:rPr>
      </w:pPr>
    </w:p>
    <w:p>
      <w:pPr>
        <w:ind w:left="660" w:hanging="29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any control/identification numbers that you need to access your proxy card and submit your proxy; and</w:t>
      </w:r>
    </w:p>
    <w:p>
      <w:pPr>
        <w:spacing w:after="0" w:line="108" w:lineRule="exact"/>
        <w:rPr>
          <w:rFonts w:ascii="Arial" w:cs="Arial" w:eastAsia="Arial" w:hAnsi="Arial"/>
          <w:sz w:val="16"/>
          <w:szCs w:val="16"/>
          <w:color w:val="auto"/>
        </w:rPr>
      </w:pPr>
    </w:p>
    <w:p>
      <w:pPr>
        <w:ind w:left="660" w:hanging="297"/>
        <w:spacing w:after="0"/>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information about participating in, and 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708660</wp:posOffset>
            </wp:positionV>
            <wp:extent cx="717105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139"/>
          </w:cols>
          <w:pgMar w:left="320" w:top="1048"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23"/>
          <w:szCs w:val="23"/>
          <w:b w:val="1"/>
          <w:bCs w:val="1"/>
          <w:color w:val="auto"/>
        </w:rPr>
        <w:t>BWX TECHNOLOGIES,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800 Main Street, 4th Floor</w:t>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Lynchburg, Virginia 24504</w:t>
      </w:r>
    </w:p>
    <w:p>
      <w:pPr>
        <w:spacing w:after="0" w:line="68"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3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6"/>
          <w:szCs w:val="16"/>
          <w:color w:val="auto"/>
        </w:rPr>
        <w:t>____________________________________________________</w:t>
      </w:r>
    </w:p>
    <w:p>
      <w:pPr>
        <w:spacing w:after="0" w:line="90" w:lineRule="exact"/>
        <w:rPr>
          <w:sz w:val="20"/>
          <w:szCs w:val="20"/>
          <w:color w:val="auto"/>
        </w:rPr>
      </w:pPr>
    </w:p>
    <w:p>
      <w:pPr>
        <w:ind w:right="2220"/>
        <w:spacing w:after="0" w:line="294" w:lineRule="auto"/>
        <w:rPr>
          <w:sz w:val="20"/>
          <w:szCs w:val="20"/>
          <w:color w:val="auto"/>
        </w:rPr>
      </w:pPr>
      <w:r>
        <w:rPr>
          <w:rFonts w:ascii="Arial" w:cs="Arial" w:eastAsia="Arial" w:hAnsi="Arial"/>
          <w:sz w:val="16"/>
          <w:szCs w:val="16"/>
          <w:color w:val="auto"/>
        </w:rPr>
        <w:t xml:space="preserve">The 2023 Annual Meeting of Stockholders of BWX Technologies, Inc. (the "Annual Meeting"), will be held via a live webcast at </w:t>
      </w:r>
      <w:r>
        <w:rPr>
          <w:rFonts w:ascii="Arial" w:cs="Arial" w:eastAsia="Arial" w:hAnsi="Arial"/>
          <w:sz w:val="16"/>
          <w:szCs w:val="16"/>
          <w:u w:val="single" w:color="auto"/>
          <w:color w:val="auto"/>
        </w:rPr>
        <w:t>www.virtualshareholdermeeting.com/BWXT2023</w:t>
      </w:r>
      <w:r>
        <w:rPr>
          <w:rFonts w:ascii="Arial" w:cs="Arial" w:eastAsia="Arial" w:hAnsi="Arial"/>
          <w:sz w:val="16"/>
          <w:szCs w:val="16"/>
          <w:color w:val="auto"/>
        </w:rPr>
        <w:t xml:space="preserve"> on Wednesday, May 3, 2023, at 9:30 a.m. Eastern Time, in order to:</w:t>
      </w:r>
    </w:p>
    <w:p>
      <w:pPr>
        <w:spacing w:after="0" w:line="24" w:lineRule="exact"/>
        <w:rPr>
          <w:sz w:val="20"/>
          <w:szCs w:val="20"/>
          <w:color w:val="auto"/>
        </w:rPr>
      </w:pPr>
    </w:p>
    <w:p>
      <w:pPr>
        <w:ind w:left="580" w:right="280" w:hanging="290"/>
        <w:spacing w:after="0" w:line="294" w:lineRule="auto"/>
        <w:tabs>
          <w:tab w:leader="none" w:pos="571" w:val="left"/>
        </w:tabs>
        <w:numPr>
          <w:ilvl w:val="0"/>
          <w:numId w:val="7"/>
        </w:numPr>
        <w:rPr>
          <w:rFonts w:ascii="Arial" w:cs="Arial" w:eastAsia="Arial" w:hAnsi="Arial"/>
          <w:sz w:val="16"/>
          <w:szCs w:val="16"/>
          <w:color w:val="auto"/>
        </w:rPr>
      </w:pPr>
      <w:r>
        <w:rPr>
          <w:rFonts w:ascii="Arial" w:cs="Arial" w:eastAsia="Arial" w:hAnsi="Arial"/>
          <w:sz w:val="16"/>
          <w:szCs w:val="16"/>
          <w:color w:val="auto"/>
        </w:rPr>
        <w:t>elect the nine director nominees named in the Proxy Statement as directors to hold office until the 2024 Annual Meeting of Stockholders and until their successors are duly elected and qualified;</w:t>
      </w:r>
    </w:p>
    <w:p>
      <w:pPr>
        <w:spacing w:after="0" w:line="12"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hold an advisory vote on the compensation of our named executive officers;</w:t>
      </w:r>
    </w:p>
    <w:p>
      <w:pPr>
        <w:spacing w:after="0" w:line="96"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hold an advisory vote on the frequency of the advisory vote on the compensation of our named executive officers;</w:t>
      </w:r>
    </w:p>
    <w:p>
      <w:pPr>
        <w:spacing w:after="0" w:line="96"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ratify the appointment of Deloitte &amp; Touche LLP as our independent registered public accounting firm for the year ending December 31, 2023; and</w:t>
      </w:r>
    </w:p>
    <w:p>
      <w:pPr>
        <w:spacing w:after="0" w:line="83" w:lineRule="exact"/>
        <w:rPr>
          <w:rFonts w:ascii="Arial" w:cs="Arial" w:eastAsia="Arial" w:hAnsi="Arial"/>
          <w:sz w:val="16"/>
          <w:szCs w:val="16"/>
          <w:color w:val="auto"/>
        </w:rPr>
      </w:pPr>
    </w:p>
    <w:p>
      <w:pPr>
        <w:ind w:left="580" w:hanging="290"/>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transact such other business as may properly come before the Annual Meeting or any adjournment thereof.</w:t>
      </w:r>
    </w:p>
    <w:p>
      <w:pPr>
        <w:spacing w:after="0" w:line="96" w:lineRule="exact"/>
        <w:rPr>
          <w:sz w:val="20"/>
          <w:szCs w:val="20"/>
          <w:color w:val="auto"/>
        </w:rPr>
      </w:pPr>
    </w:p>
    <w:p>
      <w:pPr>
        <w:ind w:right="380"/>
        <w:spacing w:after="0" w:line="294" w:lineRule="auto"/>
        <w:rPr>
          <w:sz w:val="20"/>
          <w:szCs w:val="20"/>
          <w:color w:val="auto"/>
        </w:rPr>
      </w:pPr>
      <w:r>
        <w:rPr>
          <w:rFonts w:ascii="Arial" w:cs="Arial" w:eastAsia="Arial" w:hAnsi="Arial"/>
          <w:sz w:val="16"/>
          <w:szCs w:val="16"/>
          <w:color w:val="auto"/>
        </w:rPr>
        <w:t>If you were a stockholder of record as of the close of business on March 6, 2023, you are entitled to vote at the Annual Meeting and at any adjournment thereof.</w:t>
      </w:r>
    </w:p>
    <w:p>
      <w:pPr>
        <w:spacing w:after="0" w:line="24"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Instead of mailing a printed copy of our proxy materials, including our 2022 Annual Report, to each stockholder of record, we are providing access to these materials via the Internet. This reduces the amount of paper necessary to produce these materials, as well as the costs associated with mailing these materials to all stockholders.</w:t>
      </w:r>
    </w:p>
    <w:p>
      <w:pPr>
        <w:spacing w:after="0" w:line="28"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Accordingly, on March 15, 2023, we began mailing the Notice of Internet Availability of Proxy Materials (the “Notice”), or our proxy statement if you previously elected to receive a printed copy of the materials, to all stockholders of record as of March 6, 2023 and posted our proxy materials on the website referenced in the Notice (</w:t>
      </w:r>
      <w:r>
        <w:rPr>
          <w:rFonts w:ascii="Arial" w:cs="Arial" w:eastAsia="Arial" w:hAnsi="Arial"/>
          <w:sz w:val="16"/>
          <w:szCs w:val="16"/>
          <w:u w:val="single" w:color="auto"/>
          <w:color w:val="auto"/>
        </w:rPr>
        <w:t>www.proxyvote.com</w:t>
      </w:r>
      <w:r>
        <w:rPr>
          <w:rFonts w:ascii="Arial" w:cs="Arial" w:eastAsia="Arial" w:hAnsi="Arial"/>
          <w:sz w:val="16"/>
          <w:szCs w:val="16"/>
          <w:color w:val="auto"/>
        </w:rPr>
        <w:t>). As more fully described in the Notice, all stockholders may choose to access our proxy materials on the website referred to in the Notice or may request a printed set of our proxy materials. The Notice and website provide information regarding how you may request to receive proxy materials in printed form by mail or electronically by email on an ongoing basis.</w:t>
      </w:r>
    </w:p>
    <w:p>
      <w:pPr>
        <w:spacing w:after="0" w:line="48"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If you previously elected to receive a printed copy of the materials, we have enclosed a copy of our 2022 Annual Report to Stockholders with this Notice and Proxy Statement.</w:t>
      </w:r>
    </w:p>
    <w:p>
      <w:pPr>
        <w:spacing w:after="0" w:line="24" w:lineRule="exact"/>
        <w:rPr>
          <w:sz w:val="20"/>
          <w:szCs w:val="20"/>
          <w:color w:val="auto"/>
        </w:rPr>
      </w:pPr>
    </w:p>
    <w:p>
      <w:pPr>
        <w:jc w:val="both"/>
        <w:ind w:right="80"/>
        <w:spacing w:after="0" w:line="279" w:lineRule="auto"/>
        <w:rPr>
          <w:sz w:val="20"/>
          <w:szCs w:val="20"/>
          <w:color w:val="auto"/>
        </w:rPr>
      </w:pPr>
      <w:r>
        <w:rPr>
          <w:rFonts w:ascii="Arial" w:cs="Arial" w:eastAsia="Arial" w:hAnsi="Arial"/>
          <w:sz w:val="16"/>
          <w:szCs w:val="16"/>
          <w:b w:val="1"/>
          <w:bCs w:val="1"/>
          <w:color w:val="auto"/>
        </w:rPr>
        <w:t>Your vote is important. Please submit your proxy promptly so your shares can be represented and voted at the Annual Meeting, even if you plan to participate in the Annual Meeting. You can submit a proxy by Internet, by telephone or by requesting a printed copy of the proxy materials and using the enclosed proxy card. You can also vote during the virtual Annual Meeting.</w:t>
      </w:r>
    </w:p>
    <w:p>
      <w:pPr>
        <w:spacing w:after="0" w:line="3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1167765" cy="456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67765" cy="45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Ronald O. Whitford, Jr.</w:t>
      </w:r>
    </w:p>
    <w:p>
      <w:pPr>
        <w:ind w:left="20"/>
        <w:spacing w:after="0" w:line="222" w:lineRule="auto"/>
        <w:rPr>
          <w:sz w:val="20"/>
          <w:szCs w:val="20"/>
          <w:color w:val="auto"/>
        </w:rPr>
      </w:pPr>
      <w:r>
        <w:rPr>
          <w:rFonts w:ascii="Arial" w:cs="Arial" w:eastAsia="Arial" w:hAnsi="Arial"/>
          <w:sz w:val="16"/>
          <w:szCs w:val="16"/>
          <w:color w:val="auto"/>
        </w:rPr>
        <w:t>Senior Vice President, General Counsel,</w:t>
      </w:r>
    </w:p>
    <w:p>
      <w:pPr>
        <w:ind w:left="20"/>
        <w:spacing w:after="0"/>
        <w:rPr>
          <w:sz w:val="20"/>
          <w:szCs w:val="20"/>
          <w:color w:val="auto"/>
        </w:rPr>
      </w:pPr>
      <w:r>
        <w:rPr>
          <w:rFonts w:ascii="Arial" w:cs="Arial" w:eastAsia="Arial" w:hAnsi="Arial"/>
          <w:sz w:val="16"/>
          <w:szCs w:val="16"/>
          <w:color w:val="auto"/>
        </w:rPr>
        <w:t>Chief Compliance Officer and Secretary</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6"/>
          <w:szCs w:val="16"/>
          <w:color w:val="auto"/>
        </w:rPr>
        <w:t>March 15,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1273175</wp:posOffset>
            </wp:positionV>
            <wp:extent cx="7171055" cy="40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850" w:right="339" w:bottom="1440" w:gutter="0" w:footer="0" w:header="0"/>
        </w:sectPr>
      </w:pPr>
    </w:p>
    <w:bookmarkStart w:id="4" w:name="page5"/>
    <w:bookmarkEnd w:id="4"/>
    <w:p>
      <w:pPr>
        <w:spacing w:after="0"/>
        <w:rPr>
          <w:sz w:val="20"/>
          <w:szCs w:val="20"/>
          <w:color w:val="auto"/>
        </w:rPr>
      </w:pPr>
      <w:r>
        <w:rPr>
          <w:rFonts w:ascii="Arial" w:cs="Arial" w:eastAsia="Arial" w:hAnsi="Arial"/>
          <w:sz w:val="23"/>
          <w:szCs w:val="23"/>
          <w:b w:val="1"/>
          <w:bCs w:val="1"/>
          <w:color w:val="BF2115"/>
        </w:rPr>
        <w:t>TABLE OF CONTENTS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9620" w:type="dxa"/>
            <w:vAlign w:val="bottom"/>
            <w:shd w:val="clear" w:color="auto" w:fill="000000"/>
          </w:tcPr>
          <w:p>
            <w:pPr>
              <w:spacing w:after="0"/>
              <w:rPr>
                <w:sz w:val="14"/>
                <w:szCs w:val="14"/>
                <w:color w:val="auto"/>
              </w:rPr>
            </w:pPr>
          </w:p>
        </w:tc>
        <w:tc>
          <w:tcPr>
            <w:tcW w:w="1160" w:type="dxa"/>
            <w:vAlign w:val="bottom"/>
            <w:shd w:val="clear" w:color="auto" w:fill="000000"/>
          </w:tcPr>
          <w:p>
            <w:pPr>
              <w:jc w:val="right"/>
              <w:ind w:right="275"/>
              <w:spacing w:after="0"/>
              <w:rPr>
                <w:sz w:val="20"/>
                <w:szCs w:val="20"/>
                <w:color w:val="auto"/>
              </w:rPr>
            </w:pPr>
            <w:r>
              <w:rPr>
                <w:rFonts w:ascii="Arial" w:cs="Arial" w:eastAsia="Arial" w:hAnsi="Arial"/>
                <w:sz w:val="13"/>
                <w:szCs w:val="13"/>
                <w:b w:val="1"/>
                <w:bCs w:val="1"/>
                <w:color w:val="FFFFFF"/>
              </w:rPr>
              <w:t>Page</w:t>
            </w:r>
          </w:p>
        </w:tc>
        <w:tc>
          <w:tcPr>
            <w:tcW w:w="480" w:type="dxa"/>
            <w:vAlign w:val="bottom"/>
          </w:tcPr>
          <w:p>
            <w:pPr>
              <w:spacing w:after="0"/>
              <w:rPr>
                <w:sz w:val="14"/>
                <w:szCs w:val="14"/>
                <w:color w:val="auto"/>
              </w:rPr>
            </w:pPr>
          </w:p>
        </w:tc>
      </w:tr>
      <w:tr>
        <w:trPr>
          <w:trHeight w:val="182"/>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CORPORATE PURPOSE, MISSION AND CORE VALUES</w:t>
            </w:r>
          </w:p>
        </w:tc>
        <w:tc>
          <w:tcPr>
            <w:tcW w:w="16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(i)</w:t>
            </w: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2023 PROXY STATEMENT SUMMARY</w:t>
            </w:r>
          </w:p>
        </w:tc>
        <w:tc>
          <w:tcPr>
            <w:tcW w:w="16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(ii)</w:t>
            </w: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GENERAL INFORMATION</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1</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How to Participate in the Virtual Annual Meeting</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1</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VOTING INFORMATION</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2</w:t>
            </w:r>
          </w:p>
        </w:tc>
        <w:tc>
          <w:tcPr>
            <w:tcW w:w="480" w:type="dxa"/>
            <w:vAlign w:val="bottom"/>
          </w:tcPr>
          <w:p>
            <w:pPr>
              <w:spacing w:after="0"/>
              <w:rPr>
                <w:sz w:val="15"/>
                <w:szCs w:val="15"/>
                <w:color w:val="auto"/>
              </w:rPr>
            </w:pPr>
          </w:p>
        </w:tc>
      </w:tr>
      <w:tr>
        <w:trPr>
          <w:trHeight w:val="177"/>
        </w:trPr>
        <w:tc>
          <w:tcPr>
            <w:tcW w:w="9620" w:type="dxa"/>
            <w:vAlign w:val="bottom"/>
          </w:tcPr>
          <w:p>
            <w:pPr>
              <w:ind w:left="120"/>
              <w:spacing w:after="0"/>
              <w:rPr>
                <w:sz w:val="20"/>
                <w:szCs w:val="20"/>
                <w:color w:val="auto"/>
              </w:rPr>
            </w:pPr>
            <w:r>
              <w:rPr>
                <w:rFonts w:ascii="Arial" w:cs="Arial" w:eastAsia="Arial" w:hAnsi="Arial"/>
                <w:sz w:val="13"/>
                <w:szCs w:val="13"/>
                <w:color w:val="auto"/>
              </w:rPr>
              <w:t>Record Date and Who May Vote; How to Vote</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How to Change Your Vote or Revoke Your Proxy</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Quorum; Proposals to be Voted on at Annual Meeting; Vote Required</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3</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How Votes are Counted; Confidential Voting; Solicitation of Proxies</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w:t>
            </w:r>
          </w:p>
        </w:tc>
        <w:tc>
          <w:tcPr>
            <w:tcW w:w="480" w:type="dxa"/>
            <w:vAlign w:val="bottom"/>
          </w:tcPr>
          <w:p>
            <w:pPr>
              <w:spacing w:after="0"/>
              <w:rPr>
                <w:sz w:val="15"/>
                <w:szCs w:val="15"/>
                <w:color w:val="auto"/>
              </w:rPr>
            </w:pPr>
          </w:p>
        </w:tc>
      </w:tr>
      <w:tr>
        <w:trPr>
          <w:trHeight w:val="189"/>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PROPOSAL 1: ELECTION OF DIRECTORS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6</w:t>
            </w:r>
          </w:p>
        </w:tc>
        <w:tc>
          <w:tcPr>
            <w:tcW w:w="480" w:type="dxa"/>
            <w:vAlign w:val="bottom"/>
          </w:tcPr>
          <w:p>
            <w:pPr>
              <w:spacing w:after="0"/>
              <w:rPr>
                <w:sz w:val="16"/>
                <w:szCs w:val="16"/>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CORPORATE GOVERNANCE</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11</w:t>
            </w:r>
          </w:p>
        </w:tc>
        <w:tc>
          <w:tcPr>
            <w:tcW w:w="480" w:type="dxa"/>
            <w:vAlign w:val="bottom"/>
          </w:tcPr>
          <w:p>
            <w:pPr>
              <w:spacing w:after="0"/>
              <w:rPr>
                <w:sz w:val="15"/>
                <w:szCs w:val="15"/>
                <w:color w:val="auto"/>
              </w:rPr>
            </w:pPr>
          </w:p>
        </w:tc>
      </w:tr>
      <w:tr>
        <w:trPr>
          <w:trHeight w:val="177"/>
        </w:trPr>
        <w:tc>
          <w:tcPr>
            <w:tcW w:w="9620" w:type="dxa"/>
            <w:vAlign w:val="bottom"/>
          </w:tcPr>
          <w:p>
            <w:pPr>
              <w:ind w:left="120"/>
              <w:spacing w:after="0"/>
              <w:rPr>
                <w:sz w:val="20"/>
                <w:szCs w:val="20"/>
                <w:color w:val="auto"/>
              </w:rPr>
            </w:pPr>
            <w:r>
              <w:rPr>
                <w:rFonts w:ascii="Arial" w:cs="Arial" w:eastAsia="Arial" w:hAnsi="Arial"/>
                <w:sz w:val="13"/>
                <w:szCs w:val="13"/>
                <w:color w:val="auto"/>
              </w:rPr>
              <w:t>Director Independence</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11</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Board Function, Leadership Structure and Director Tenure Limit</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11</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The Role of the Board in Succession Planning</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The Role of the Board in ESG Oversight</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The Role of the Board in Risk Oversight</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Code of Business Conduct</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13</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Stockholder Engagement</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14</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Communication with the Board</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14</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Board Meetings and Committees</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15</w:t>
            </w:r>
          </w:p>
        </w:tc>
        <w:tc>
          <w:tcPr>
            <w:tcW w:w="480" w:type="dxa"/>
            <w:vAlign w:val="bottom"/>
          </w:tcPr>
          <w:p>
            <w:pPr>
              <w:spacing w:after="0"/>
              <w:rPr>
                <w:sz w:val="15"/>
                <w:szCs w:val="15"/>
                <w:color w:val="auto"/>
              </w:rPr>
            </w:pPr>
          </w:p>
        </w:tc>
      </w:tr>
      <w:tr>
        <w:trPr>
          <w:trHeight w:val="189"/>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COMPENSATION OF DIRECTORS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18</w:t>
            </w:r>
          </w:p>
        </w:tc>
        <w:tc>
          <w:tcPr>
            <w:tcW w:w="480" w:type="dxa"/>
            <w:vAlign w:val="bottom"/>
          </w:tcPr>
          <w:p>
            <w:pPr>
              <w:spacing w:after="0"/>
              <w:rPr>
                <w:sz w:val="16"/>
                <w:szCs w:val="16"/>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NAMED EXECUTIVE PROFILES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20</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PROPOSAL 2: ADVISORY VOTE ON EXECUTIVE COMPENSATION</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21</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COMPENSATION DISCUSSION AND ANALYSIS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22</w:t>
            </w:r>
          </w:p>
        </w:tc>
        <w:tc>
          <w:tcPr>
            <w:tcW w:w="480" w:type="dxa"/>
            <w:vAlign w:val="bottom"/>
          </w:tcPr>
          <w:p>
            <w:pPr>
              <w:spacing w:after="0"/>
              <w:rPr>
                <w:sz w:val="15"/>
                <w:szCs w:val="15"/>
                <w:color w:val="auto"/>
              </w:rPr>
            </w:pPr>
          </w:p>
        </w:tc>
      </w:tr>
      <w:tr>
        <w:trPr>
          <w:trHeight w:val="177"/>
        </w:trPr>
        <w:tc>
          <w:tcPr>
            <w:tcW w:w="9620" w:type="dxa"/>
            <w:vAlign w:val="bottom"/>
          </w:tcPr>
          <w:p>
            <w:pPr>
              <w:ind w:left="120"/>
              <w:spacing w:after="0"/>
              <w:rPr>
                <w:sz w:val="20"/>
                <w:szCs w:val="20"/>
                <w:color w:val="auto"/>
              </w:rPr>
            </w:pPr>
            <w:r>
              <w:rPr>
                <w:rFonts w:ascii="Arial" w:cs="Arial" w:eastAsia="Arial" w:hAnsi="Arial"/>
                <w:sz w:val="13"/>
                <w:szCs w:val="13"/>
                <w:color w:val="auto"/>
              </w:rPr>
              <w:t>Section 1: Executive Summary</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22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Section 2: Compensation Structure</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25</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Section 3: Compensation Analysis and Outcomes</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29</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Section 4: Other Benefits and Practices</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34</w:t>
            </w:r>
          </w:p>
        </w:tc>
        <w:tc>
          <w:tcPr>
            <w:tcW w:w="480" w:type="dxa"/>
            <w:vAlign w:val="bottom"/>
          </w:tcPr>
          <w:p>
            <w:pPr>
              <w:spacing w:after="0"/>
              <w:rPr>
                <w:sz w:val="15"/>
                <w:szCs w:val="15"/>
                <w:color w:val="auto"/>
              </w:rPr>
            </w:pPr>
          </w:p>
        </w:tc>
      </w:tr>
      <w:tr>
        <w:trPr>
          <w:trHeight w:val="189"/>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COMPENSATION COMMITTEE REPORT</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37</w:t>
            </w:r>
          </w:p>
        </w:tc>
        <w:tc>
          <w:tcPr>
            <w:tcW w:w="480" w:type="dxa"/>
            <w:vAlign w:val="bottom"/>
          </w:tcPr>
          <w:p>
            <w:pPr>
              <w:spacing w:after="0"/>
              <w:rPr>
                <w:sz w:val="16"/>
                <w:szCs w:val="16"/>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COMPENSATION OF EXECUTIVE OFFICERS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38</w:t>
            </w:r>
          </w:p>
        </w:tc>
        <w:tc>
          <w:tcPr>
            <w:tcW w:w="480" w:type="dxa"/>
            <w:vAlign w:val="bottom"/>
          </w:tcPr>
          <w:p>
            <w:pPr>
              <w:spacing w:after="0"/>
              <w:rPr>
                <w:sz w:val="15"/>
                <w:szCs w:val="15"/>
                <w:color w:val="auto"/>
              </w:rPr>
            </w:pPr>
          </w:p>
        </w:tc>
      </w:tr>
      <w:tr>
        <w:trPr>
          <w:trHeight w:val="177"/>
        </w:trPr>
        <w:tc>
          <w:tcPr>
            <w:tcW w:w="9620" w:type="dxa"/>
            <w:vAlign w:val="bottom"/>
          </w:tcPr>
          <w:p>
            <w:pPr>
              <w:ind w:left="120"/>
              <w:spacing w:after="0"/>
              <w:rPr>
                <w:sz w:val="20"/>
                <w:szCs w:val="20"/>
                <w:color w:val="auto"/>
              </w:rPr>
            </w:pPr>
            <w:r>
              <w:rPr>
                <w:rFonts w:ascii="Arial" w:cs="Arial" w:eastAsia="Arial" w:hAnsi="Arial"/>
                <w:sz w:val="13"/>
                <w:szCs w:val="13"/>
                <w:color w:val="auto"/>
              </w:rPr>
              <w:t>Summary Compensation Table</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38</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Grants of Plan-Based Awards</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40</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Outstanding Equity Awards at Fiscal Year-End</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42</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Option Exercises and Stock Vested</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43</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Non</w:t>
            </w:r>
            <w:r>
              <w:rPr>
                <w:rFonts w:ascii="Arial" w:cs="Arial" w:eastAsia="Arial" w:hAnsi="Arial"/>
                <w:sz w:val="13"/>
                <w:szCs w:val="13"/>
                <w:color w:val="0000FF"/>
              </w:rPr>
              <w:t>-</w:t>
            </w:r>
            <w:r>
              <w:rPr>
                <w:rFonts w:ascii="Arial" w:cs="Arial" w:eastAsia="Arial" w:hAnsi="Arial"/>
                <w:sz w:val="13"/>
                <w:szCs w:val="13"/>
                <w:color w:val="auto"/>
              </w:rPr>
              <w:t>Qualified Deferred Compensation</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44</w:t>
            </w:r>
          </w:p>
        </w:tc>
        <w:tc>
          <w:tcPr>
            <w:tcW w:w="480" w:type="dxa"/>
            <w:vAlign w:val="bottom"/>
          </w:tcPr>
          <w:p>
            <w:pPr>
              <w:spacing w:after="0"/>
              <w:rPr>
                <w:sz w:val="15"/>
                <w:szCs w:val="15"/>
                <w:color w:val="auto"/>
              </w:rPr>
            </w:pPr>
          </w:p>
        </w:tc>
      </w:tr>
      <w:tr>
        <w:trPr>
          <w:trHeight w:val="183"/>
        </w:trPr>
        <w:tc>
          <w:tcPr>
            <w:tcW w:w="9620" w:type="dxa"/>
            <w:vAlign w:val="bottom"/>
          </w:tcPr>
          <w:p>
            <w:pPr>
              <w:ind w:left="120"/>
              <w:spacing w:after="0"/>
              <w:rPr>
                <w:sz w:val="20"/>
                <w:szCs w:val="20"/>
                <w:color w:val="auto"/>
              </w:rPr>
            </w:pPr>
            <w:r>
              <w:rPr>
                <w:rFonts w:ascii="Arial" w:cs="Arial" w:eastAsia="Arial" w:hAnsi="Arial"/>
                <w:sz w:val="13"/>
                <w:szCs w:val="13"/>
                <w:color w:val="auto"/>
              </w:rPr>
              <w:t>Potential Payments Upon Termination or Change in Control</w:t>
            </w:r>
          </w:p>
        </w:tc>
        <w:tc>
          <w:tcPr>
            <w:tcW w:w="1160" w:type="dxa"/>
            <w:vAlign w:val="bottom"/>
          </w:tcPr>
          <w:p>
            <w:pPr>
              <w:jc w:val="right"/>
              <w:ind w:right="255"/>
              <w:spacing w:after="0"/>
              <w:rPr>
                <w:sz w:val="20"/>
                <w:szCs w:val="20"/>
                <w:color w:val="auto"/>
              </w:rPr>
            </w:pPr>
            <w:r>
              <w:rPr>
                <w:rFonts w:ascii="Arial" w:cs="Arial" w:eastAsia="Arial" w:hAnsi="Arial"/>
                <w:sz w:val="13"/>
                <w:szCs w:val="13"/>
                <w:color w:val="auto"/>
              </w:rPr>
              <w:t>46</w:t>
            </w:r>
          </w:p>
        </w:tc>
        <w:tc>
          <w:tcPr>
            <w:tcW w:w="480" w:type="dxa"/>
            <w:vAlign w:val="bottom"/>
          </w:tcPr>
          <w:p>
            <w:pPr>
              <w:spacing w:after="0"/>
              <w:rPr>
                <w:sz w:val="15"/>
                <w:szCs w:val="15"/>
                <w:color w:val="auto"/>
              </w:rPr>
            </w:pPr>
          </w:p>
        </w:tc>
      </w:tr>
      <w:tr>
        <w:trPr>
          <w:trHeight w:val="189"/>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CEO PAY RATIO</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50</w:t>
            </w:r>
          </w:p>
        </w:tc>
        <w:tc>
          <w:tcPr>
            <w:tcW w:w="480" w:type="dxa"/>
            <w:vAlign w:val="bottom"/>
          </w:tcPr>
          <w:p>
            <w:pPr>
              <w:spacing w:after="0"/>
              <w:rPr>
                <w:sz w:val="16"/>
                <w:szCs w:val="16"/>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PAY VERSUS PERFORMANCE</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50</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EQUITY COMPENSATION PLAN INFORMATION</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52</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PROPOSAL 3: ADVISORY VOTE ON THE FREQUENCY OF THE ADVISORY VOTE ON THE COMPENSATION OF OUR NAMED EXECUTIVE OFFICERS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53</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SECURITY OWNERSHIP OF DIRECTORS AND EXECUTIVE OFFICERS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54</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SECURITY OWNERSHIP OF CERTAIN BENEFICIAL OWNERS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55</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AUDIT AND FINANCE COMMITTEE REPORT</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56</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PROPOSAL 4: RATIFICATION OF APPOINTMENT OF INDEPENDENT REGISTERED PUBLIC ACCOUNTING FIRM</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57</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CERTAIN RELATIONSHIPS AND RELATED TRANSACTIONS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58</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STOCKHOLDERS’ PROPOSALS</w:t>
            </w:r>
          </w:p>
        </w:tc>
        <w:tc>
          <w:tcPr>
            <w:tcW w:w="1160" w:type="dxa"/>
            <w:vAlign w:val="bottom"/>
          </w:tcPr>
          <w:p>
            <w:pPr>
              <w:jc w:val="right"/>
              <w:ind w:right="255"/>
              <w:spacing w:after="0"/>
              <w:rPr>
                <w:sz w:val="20"/>
                <w:szCs w:val="20"/>
                <w:color w:val="auto"/>
              </w:rPr>
            </w:pPr>
            <w:r>
              <w:rPr>
                <w:rFonts w:ascii="Arial" w:cs="Arial" w:eastAsia="Arial" w:hAnsi="Arial"/>
                <w:sz w:val="13"/>
                <w:szCs w:val="13"/>
                <w:b w:val="1"/>
                <w:bCs w:val="1"/>
                <w:color w:val="auto"/>
              </w:rPr>
              <w:t>59</w:t>
            </w:r>
          </w:p>
        </w:tc>
        <w:tc>
          <w:tcPr>
            <w:tcW w:w="480" w:type="dxa"/>
            <w:vAlign w:val="bottom"/>
          </w:tcPr>
          <w:p>
            <w:pPr>
              <w:spacing w:after="0"/>
              <w:rPr>
                <w:sz w:val="15"/>
                <w:szCs w:val="15"/>
                <w:color w:val="auto"/>
              </w:rPr>
            </w:pPr>
          </w:p>
        </w:tc>
      </w:tr>
      <w:tr>
        <w:trPr>
          <w:trHeight w:val="183"/>
        </w:trPr>
        <w:tc>
          <w:tcPr>
            <w:tcW w:w="9620" w:type="dxa"/>
            <w:vAlign w:val="bottom"/>
          </w:tcPr>
          <w:p>
            <w:pPr>
              <w:ind w:left="20"/>
              <w:spacing w:after="0"/>
              <w:rPr>
                <w:sz w:val="20"/>
                <w:szCs w:val="20"/>
                <w:color w:val="auto"/>
              </w:rPr>
            </w:pPr>
            <w:r>
              <w:rPr>
                <w:rFonts w:ascii="Arial" w:cs="Arial" w:eastAsia="Arial" w:hAnsi="Arial"/>
                <w:sz w:val="13"/>
                <w:szCs w:val="13"/>
                <w:b w:val="1"/>
                <w:bCs w:val="1"/>
                <w:color w:val="auto"/>
              </w:rPr>
              <w:t>APPENDIX A — RECONCILIATION OF REPORTED (GAAP) TO ADJUSTED (NON-GAAP) RESULTS</w:t>
            </w:r>
          </w:p>
        </w:tc>
        <w:tc>
          <w:tcPr>
            <w:tcW w:w="1640" w:type="dxa"/>
            <w:vAlign w:val="bottom"/>
            <w:gridSpan w:val="2"/>
          </w:tcPr>
          <w:p>
            <w:pPr>
              <w:jc w:val="right"/>
              <w:ind w:right="800"/>
              <w:spacing w:after="0"/>
              <w:rPr>
                <w:sz w:val="20"/>
                <w:szCs w:val="20"/>
                <w:color w:val="auto"/>
              </w:rPr>
            </w:pPr>
            <w:r>
              <w:rPr>
                <w:rFonts w:ascii="Arial" w:cs="Arial" w:eastAsia="Arial" w:hAnsi="Arial"/>
                <w:sz w:val="13"/>
                <w:szCs w:val="13"/>
                <w:b w:val="1"/>
                <w:bCs w:val="1"/>
                <w:color w:val="auto"/>
              </w:rPr>
              <w:t>A-1</w:t>
            </w:r>
          </w:p>
        </w:tc>
      </w:tr>
      <w:tr>
        <w:trPr>
          <w:trHeight w:val="1101"/>
        </w:trPr>
        <w:tc>
          <w:tcPr>
            <w:tcW w:w="96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850" w:right="31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1686560</wp:posOffset>
            </wp:positionH>
            <wp:positionV relativeFrom="page">
              <wp:posOffset>575945</wp:posOffset>
            </wp:positionV>
            <wp:extent cx="5717540" cy="7269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717540" cy="7269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7280"/>
        <w:spacing w:after="0"/>
        <w:rPr>
          <w:sz w:val="20"/>
          <w:szCs w:val="20"/>
          <w:color w:val="auto"/>
        </w:rPr>
      </w:pPr>
      <w:r>
        <w:rPr>
          <w:sz w:val="1"/>
          <w:szCs w:val="1"/>
          <w:color w:val="auto"/>
        </w:rPr>
        <w:drawing>
          <wp:inline distT="0" distB="0" distL="0" distR="0">
            <wp:extent cx="401955" cy="16256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5"/>
          <w:szCs w:val="15"/>
          <w:color w:val="auto"/>
        </w:rPr>
        <w:t xml:space="preserve"> 2023 PROXY STATEMENT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83185</wp:posOffset>
            </wp:positionV>
            <wp:extent cx="717105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140"/>
          </w:cols>
          <w:pgMar w:left="1440" w:top="1440"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735" cy="6119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0735" cy="611949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160"/>
        <w:spacing w:after="0"/>
        <w:rPr>
          <w:sz w:val="20"/>
          <w:szCs w:val="20"/>
          <w:color w:val="auto"/>
        </w:rPr>
      </w:pPr>
      <w:r>
        <w:rPr>
          <w:rFonts w:ascii="Arial" w:cs="Arial" w:eastAsia="Arial" w:hAnsi="Arial"/>
          <w:sz w:val="23"/>
          <w:szCs w:val="23"/>
          <w:b w:val="1"/>
          <w:bCs w:val="1"/>
          <w:color w:val="BF2115"/>
        </w:rPr>
        <w:t>2023 PROXY STATEMENT SUMMARY</w:t>
      </w:r>
    </w:p>
    <w:p>
      <w:pPr>
        <w:spacing w:after="0" w:line="95" w:lineRule="exact"/>
        <w:rPr>
          <w:sz w:val="20"/>
          <w:szCs w:val="20"/>
          <w:color w:val="auto"/>
        </w:rPr>
      </w:pPr>
    </w:p>
    <w:p>
      <w:pPr>
        <w:jc w:val="both"/>
        <w:ind w:left="160" w:right="40"/>
        <w:spacing w:after="0" w:line="273" w:lineRule="auto"/>
        <w:rPr>
          <w:sz w:val="20"/>
          <w:szCs w:val="20"/>
          <w:color w:val="auto"/>
        </w:rPr>
      </w:pPr>
      <w:r>
        <w:rPr>
          <w:rFonts w:ascii="Arial" w:cs="Arial" w:eastAsia="Arial" w:hAnsi="Arial"/>
          <w:sz w:val="16"/>
          <w:szCs w:val="16"/>
          <w:i w:val="1"/>
          <w:iCs w:val="1"/>
          <w:color w:val="auto"/>
        </w:rPr>
        <w:t>This summary highlights information contained elsewhere in this proxy statement. This summary does not contain all of the information that you should consider, and you should read the entire proxy statement carefully before voting. BWX Technologies, Inc. is referred to as "BWXT," the "Company," "we" or "us."</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ANNUAL MEETING OF STOCKHOLDERS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21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Date and Time</w:t>
            </w:r>
          </w:p>
        </w:tc>
        <w:tc>
          <w:tcPr>
            <w:tcW w:w="8380" w:type="dxa"/>
            <w:vAlign w:val="bottom"/>
            <w:gridSpan w:val="3"/>
            <w:shd w:val="clear" w:color="auto" w:fill="DBDBDB"/>
          </w:tcPr>
          <w:p>
            <w:pPr>
              <w:ind w:left="120"/>
              <w:spacing w:after="0"/>
              <w:rPr>
                <w:sz w:val="20"/>
                <w:szCs w:val="20"/>
                <w:color w:val="auto"/>
              </w:rPr>
            </w:pPr>
            <w:r>
              <w:rPr>
                <w:rFonts w:ascii="Arial" w:cs="Arial" w:eastAsia="Arial" w:hAnsi="Arial"/>
                <w:sz w:val="16"/>
                <w:szCs w:val="16"/>
                <w:color w:val="auto"/>
              </w:rPr>
              <w:t>May 3, 2023 at 9:30 a.m. Eastern Time</w:t>
            </w:r>
          </w:p>
        </w:tc>
      </w:tr>
      <w:tr>
        <w:trPr>
          <w:trHeight w:val="85"/>
        </w:trPr>
        <w:tc>
          <w:tcPr>
            <w:tcW w:w="2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87"/>
        </w:trPr>
        <w:tc>
          <w:tcPr>
            <w:tcW w:w="2160" w:type="dxa"/>
            <w:vAlign w:val="bottom"/>
            <w:shd w:val="clear" w:color="auto" w:fill="000000"/>
          </w:tcPr>
          <w:p>
            <w:pPr>
              <w:ind w:left="100"/>
              <w:spacing w:after="0" w:line="171" w:lineRule="exact"/>
              <w:rPr>
                <w:sz w:val="20"/>
                <w:szCs w:val="20"/>
                <w:color w:val="auto"/>
              </w:rPr>
            </w:pPr>
            <w:r>
              <w:rPr>
                <w:rFonts w:ascii="Arial" w:cs="Arial" w:eastAsia="Arial" w:hAnsi="Arial"/>
                <w:sz w:val="16"/>
                <w:szCs w:val="16"/>
                <w:b w:val="1"/>
                <w:bCs w:val="1"/>
                <w:color w:val="FFFFFF"/>
              </w:rPr>
              <w:t>Virtual Meeting</w:t>
            </w:r>
          </w:p>
        </w:tc>
        <w:tc>
          <w:tcPr>
            <w:tcW w:w="8380" w:type="dxa"/>
            <w:vAlign w:val="bottom"/>
            <w:gridSpan w:val="3"/>
            <w:shd w:val="clear" w:color="auto" w:fill="DBDBDB"/>
          </w:tcPr>
          <w:p>
            <w:pPr>
              <w:ind w:left="120"/>
              <w:spacing w:after="0" w:line="171" w:lineRule="exact"/>
              <w:rPr>
                <w:sz w:val="20"/>
                <w:szCs w:val="20"/>
                <w:color w:val="auto"/>
              </w:rPr>
            </w:pPr>
            <w:r>
              <w:rPr>
                <w:rFonts w:ascii="Arial" w:cs="Arial" w:eastAsia="Arial" w:hAnsi="Arial"/>
                <w:sz w:val="16"/>
                <w:szCs w:val="16"/>
                <w:color w:val="auto"/>
              </w:rPr>
              <w:t>The Annual Meeting will be held via a live webcast at www.virtualshareholdermeeting.com/BWXT2023.</w:t>
            </w:r>
          </w:p>
        </w:tc>
      </w:tr>
      <w:tr>
        <w:trPr>
          <w:trHeight w:val="85"/>
        </w:trPr>
        <w:tc>
          <w:tcPr>
            <w:tcW w:w="2160" w:type="dxa"/>
            <w:vAlign w:val="bottom"/>
            <w:tcBorders>
              <w:top w:val="single" w:sz="8" w:color="auto"/>
            </w:tcBorders>
          </w:tcPr>
          <w:p>
            <w:pPr>
              <w:spacing w:after="0"/>
              <w:rPr>
                <w:sz w:val="7"/>
                <w:szCs w:val="7"/>
                <w:color w:val="auto"/>
              </w:rPr>
            </w:pPr>
          </w:p>
        </w:tc>
        <w:tc>
          <w:tcPr>
            <w:tcW w:w="3960" w:type="dxa"/>
            <w:vAlign w:val="bottom"/>
            <w:tcBorders>
              <w:top w:val="single" w:sz="8" w:color="DBDBDB"/>
            </w:tcBorders>
          </w:tcPr>
          <w:p>
            <w:pPr>
              <w:spacing w:after="0"/>
              <w:rPr>
                <w:sz w:val="7"/>
                <w:szCs w:val="7"/>
                <w:color w:val="auto"/>
              </w:rPr>
            </w:pPr>
          </w:p>
        </w:tc>
        <w:tc>
          <w:tcPr>
            <w:tcW w:w="3480" w:type="dxa"/>
            <w:vAlign w:val="bottom"/>
            <w:tcBorders>
              <w:top w:val="single" w:sz="8" w:color="auto"/>
            </w:tcBorders>
          </w:tcPr>
          <w:p>
            <w:pPr>
              <w:spacing w:after="0"/>
              <w:rPr>
                <w:sz w:val="7"/>
                <w:szCs w:val="7"/>
                <w:color w:val="auto"/>
              </w:rPr>
            </w:pPr>
          </w:p>
        </w:tc>
        <w:tc>
          <w:tcPr>
            <w:tcW w:w="940" w:type="dxa"/>
            <w:vAlign w:val="bottom"/>
            <w:tcBorders>
              <w:top w:val="single" w:sz="8" w:color="DBDBDB"/>
            </w:tcBorders>
          </w:tcPr>
          <w:p>
            <w:pPr>
              <w:spacing w:after="0"/>
              <w:rPr>
                <w:sz w:val="7"/>
                <w:szCs w:val="7"/>
                <w:color w:val="auto"/>
              </w:rPr>
            </w:pPr>
          </w:p>
        </w:tc>
      </w:tr>
      <w:tr>
        <w:trPr>
          <w:trHeight w:val="207"/>
        </w:trPr>
        <w:tc>
          <w:tcPr>
            <w:tcW w:w="21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Record Date</w:t>
            </w:r>
          </w:p>
        </w:tc>
        <w:tc>
          <w:tcPr>
            <w:tcW w:w="8380" w:type="dxa"/>
            <w:vAlign w:val="bottom"/>
            <w:gridSpan w:val="3"/>
            <w:shd w:val="clear" w:color="auto" w:fill="DBDBDB"/>
          </w:tcPr>
          <w:p>
            <w:pPr>
              <w:ind w:left="120"/>
              <w:spacing w:after="0"/>
              <w:rPr>
                <w:sz w:val="20"/>
                <w:szCs w:val="20"/>
                <w:color w:val="auto"/>
              </w:rPr>
            </w:pPr>
            <w:r>
              <w:rPr>
                <w:rFonts w:ascii="Arial" w:cs="Arial" w:eastAsia="Arial" w:hAnsi="Arial"/>
                <w:sz w:val="16"/>
                <w:szCs w:val="16"/>
                <w:color w:val="auto"/>
              </w:rPr>
              <w:t>March 6, 2023</w:t>
            </w:r>
          </w:p>
        </w:tc>
      </w:tr>
      <w:tr>
        <w:trPr>
          <w:trHeight w:val="85"/>
        </w:trPr>
        <w:tc>
          <w:tcPr>
            <w:tcW w:w="2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158"/>
        </w:trPr>
        <w:tc>
          <w:tcPr>
            <w:tcW w:w="2160" w:type="dxa"/>
            <w:vAlign w:val="bottom"/>
            <w:shd w:val="clear" w:color="auto" w:fill="000000"/>
          </w:tcPr>
          <w:p>
            <w:pPr>
              <w:ind w:left="100"/>
              <w:spacing w:after="0" w:line="158" w:lineRule="exact"/>
              <w:rPr>
                <w:sz w:val="20"/>
                <w:szCs w:val="20"/>
                <w:color w:val="auto"/>
              </w:rPr>
            </w:pPr>
            <w:r>
              <w:rPr>
                <w:rFonts w:ascii="Arial" w:cs="Arial" w:eastAsia="Arial" w:hAnsi="Arial"/>
                <w:sz w:val="16"/>
                <w:szCs w:val="16"/>
                <w:b w:val="1"/>
                <w:bCs w:val="1"/>
                <w:color w:val="FFFFFF"/>
              </w:rPr>
              <w:t>Voting</w:t>
            </w:r>
          </w:p>
        </w:tc>
        <w:tc>
          <w:tcPr>
            <w:tcW w:w="8380" w:type="dxa"/>
            <w:vAlign w:val="bottom"/>
            <w:gridSpan w:val="3"/>
            <w:shd w:val="clear" w:color="auto" w:fill="DBDBDB"/>
          </w:tcPr>
          <w:p>
            <w:pPr>
              <w:ind w:left="120"/>
              <w:spacing w:after="0" w:line="158" w:lineRule="exact"/>
              <w:rPr>
                <w:sz w:val="20"/>
                <w:szCs w:val="20"/>
                <w:color w:val="auto"/>
              </w:rPr>
            </w:pPr>
            <w:r>
              <w:rPr>
                <w:rFonts w:ascii="Arial" w:cs="Arial" w:eastAsia="Arial" w:hAnsi="Arial"/>
                <w:sz w:val="16"/>
                <w:szCs w:val="16"/>
                <w:color w:val="auto"/>
              </w:rPr>
              <w:t>Stockholders as of the record date are entitled to vote. Each share of our common stock is entitled to one vote for</w:t>
            </w:r>
          </w:p>
        </w:tc>
      </w:tr>
      <w:tr>
        <w:trPr>
          <w:trHeight w:val="219"/>
        </w:trPr>
        <w:tc>
          <w:tcPr>
            <w:tcW w:w="2160" w:type="dxa"/>
            <w:vAlign w:val="bottom"/>
            <w:shd w:val="clear" w:color="auto" w:fill="000000"/>
          </w:tcPr>
          <w:p>
            <w:pPr>
              <w:spacing w:after="0"/>
              <w:rPr>
                <w:sz w:val="19"/>
                <w:szCs w:val="19"/>
                <w:color w:val="auto"/>
              </w:rPr>
            </w:pPr>
          </w:p>
        </w:tc>
        <w:tc>
          <w:tcPr>
            <w:tcW w:w="8380" w:type="dxa"/>
            <w:vAlign w:val="bottom"/>
            <w:gridSpan w:val="3"/>
            <w:shd w:val="clear" w:color="auto" w:fill="DBDBDB"/>
          </w:tcPr>
          <w:p>
            <w:pPr>
              <w:ind w:left="120"/>
              <w:spacing w:after="0"/>
              <w:rPr>
                <w:sz w:val="20"/>
                <w:szCs w:val="20"/>
                <w:color w:val="auto"/>
              </w:rPr>
            </w:pPr>
            <w:r>
              <w:rPr>
                <w:rFonts w:ascii="Arial" w:cs="Arial" w:eastAsia="Arial" w:hAnsi="Arial"/>
                <w:sz w:val="16"/>
                <w:szCs w:val="16"/>
                <w:color w:val="auto"/>
              </w:rPr>
              <w:t>each director nominee and one vote for each of the proposals to be voted on.</w:t>
            </w:r>
          </w:p>
        </w:tc>
      </w:tr>
      <w:tr>
        <w:trPr>
          <w:trHeight w:val="85"/>
        </w:trPr>
        <w:tc>
          <w:tcPr>
            <w:tcW w:w="2160" w:type="dxa"/>
            <w:vAlign w:val="bottom"/>
          </w:tcPr>
          <w:p>
            <w:pPr>
              <w:spacing w:after="0"/>
              <w:rPr>
                <w:sz w:val="7"/>
                <w:szCs w:val="7"/>
                <w:color w:val="auto"/>
              </w:rPr>
            </w:pPr>
          </w:p>
        </w:tc>
        <w:tc>
          <w:tcPr>
            <w:tcW w:w="39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940" w:type="dxa"/>
            <w:vAlign w:val="bottom"/>
          </w:tcPr>
          <w:p>
            <w:pPr>
              <w:spacing w:after="0"/>
              <w:rPr>
                <w:sz w:val="7"/>
                <w:szCs w:val="7"/>
                <w:color w:val="auto"/>
              </w:rPr>
            </w:pPr>
          </w:p>
        </w:tc>
      </w:tr>
      <w:tr>
        <w:trPr>
          <w:trHeight w:val="207"/>
        </w:trPr>
        <w:tc>
          <w:tcPr>
            <w:tcW w:w="2160" w:type="dxa"/>
            <w:vAlign w:val="bottom"/>
            <w:shd w:val="clear" w:color="auto" w:fill="000000"/>
          </w:tcPr>
          <w:p>
            <w:pPr>
              <w:ind w:left="100"/>
              <w:spacing w:after="0"/>
              <w:rPr>
                <w:sz w:val="20"/>
                <w:szCs w:val="20"/>
                <w:color w:val="auto"/>
              </w:rPr>
            </w:pPr>
            <w:r>
              <w:rPr>
                <w:rFonts w:ascii="Arial" w:cs="Arial" w:eastAsia="Arial" w:hAnsi="Arial"/>
                <w:sz w:val="16"/>
                <w:szCs w:val="16"/>
                <w:b w:val="1"/>
                <w:bCs w:val="1"/>
                <w:color w:val="FFFFFF"/>
              </w:rPr>
              <w:t>Attendance</w:t>
            </w:r>
          </w:p>
        </w:tc>
        <w:tc>
          <w:tcPr>
            <w:tcW w:w="8380" w:type="dxa"/>
            <w:vAlign w:val="bottom"/>
            <w:gridSpan w:val="3"/>
            <w:shd w:val="clear" w:color="auto" w:fill="DBDBDB"/>
          </w:tcPr>
          <w:p>
            <w:pPr>
              <w:ind w:left="120"/>
              <w:spacing w:after="0"/>
              <w:rPr>
                <w:sz w:val="20"/>
                <w:szCs w:val="20"/>
                <w:color w:val="auto"/>
              </w:rPr>
            </w:pPr>
            <w:r>
              <w:rPr>
                <w:rFonts w:ascii="Arial" w:cs="Arial" w:eastAsia="Arial" w:hAnsi="Arial"/>
                <w:sz w:val="16"/>
                <w:szCs w:val="16"/>
                <w:color w:val="auto"/>
              </w:rPr>
              <w:t>All stockholders as of the record date and their duly appointed proxies may attend the meeting.</w:t>
            </w:r>
          </w:p>
        </w:tc>
      </w:tr>
    </w:tbl>
    <w:p>
      <w:pPr>
        <w:spacing w:after="0" w:line="200" w:lineRule="exact"/>
        <w:rPr>
          <w:sz w:val="20"/>
          <w:szCs w:val="20"/>
          <w:color w:val="auto"/>
        </w:rPr>
      </w:pPr>
    </w:p>
    <w:p>
      <w:pPr>
        <w:sectPr>
          <w:pgSz w:w="11900" w:h="16838" w:orient="portrait"/>
          <w:cols w:equalWidth="0" w:num="1">
            <w:col w:w="11080"/>
          </w:cols>
          <w:pgMar w:left="320" w:top="123" w:right="499" w:bottom="1440" w:gutter="0" w:footer="0" w:header="0"/>
        </w:sectPr>
      </w:pP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CORPORATE GOVERNANCE HIGHLIGHTS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FFFFFF"/>
        </w:rPr>
        <w:t>Board Structure and Independence</w:t>
      </w:r>
    </w:p>
    <w:p>
      <w:pPr>
        <w:spacing w:after="0" w:line="64" w:lineRule="exact"/>
        <w:rPr>
          <w:sz w:val="20"/>
          <w:szCs w:val="20"/>
          <w:color w:val="auto"/>
        </w:rPr>
      </w:pPr>
    </w:p>
    <w:tbl>
      <w:tblPr>
        <w:tblLayout w:type="fixed"/>
        <w:tblInd w:w="180" w:type="dxa"/>
        <w:tblCellMar>
          <w:top w:w="0" w:type="dxa"/>
          <w:left w:w="0" w:type="dxa"/>
          <w:bottom w:w="0" w:type="dxa"/>
          <w:right w:w="0" w:type="dxa"/>
        </w:tblCellMar>
      </w:tblPr>
      <w:tr>
        <w:trPr>
          <w:trHeight w:val="192"/>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440" w:type="dxa"/>
            <w:vAlign w:val="bottom"/>
          </w:tcPr>
          <w:p>
            <w:pPr>
              <w:ind w:left="120"/>
              <w:spacing w:after="0"/>
              <w:rPr>
                <w:sz w:val="20"/>
                <w:szCs w:val="20"/>
                <w:color w:val="auto"/>
              </w:rPr>
            </w:pPr>
            <w:r>
              <w:rPr>
                <w:rFonts w:ascii="Arial" w:cs="Arial" w:eastAsia="Arial" w:hAnsi="Arial"/>
                <w:sz w:val="15"/>
                <w:szCs w:val="15"/>
                <w:color w:val="auto"/>
                <w:w w:val="99"/>
              </w:rPr>
              <w:t>89%</w:t>
            </w:r>
          </w:p>
        </w:tc>
        <w:tc>
          <w:tcPr>
            <w:tcW w:w="2520" w:type="dxa"/>
            <w:vAlign w:val="bottom"/>
          </w:tcPr>
          <w:p>
            <w:pPr>
              <w:ind w:left="20"/>
              <w:spacing w:after="0"/>
              <w:rPr>
                <w:sz w:val="20"/>
                <w:szCs w:val="20"/>
                <w:color w:val="auto"/>
              </w:rPr>
            </w:pPr>
            <w:r>
              <w:rPr>
                <w:rFonts w:ascii="Arial" w:cs="Arial" w:eastAsia="Arial" w:hAnsi="Arial"/>
                <w:sz w:val="15"/>
                <w:szCs w:val="15"/>
                <w:color w:val="auto"/>
              </w:rPr>
              <w:t>Independent Directors</w:t>
            </w:r>
          </w:p>
        </w:tc>
      </w:tr>
      <w:tr>
        <w:trPr>
          <w:trHeight w:val="219"/>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440" w:type="dxa"/>
            <w:vAlign w:val="bottom"/>
          </w:tcPr>
          <w:p>
            <w:pPr>
              <w:ind w:left="120"/>
              <w:spacing w:after="0"/>
              <w:rPr>
                <w:sz w:val="20"/>
                <w:szCs w:val="20"/>
                <w:color w:val="auto"/>
              </w:rPr>
            </w:pPr>
            <w:r>
              <w:rPr>
                <w:rFonts w:ascii="Arial" w:cs="Arial" w:eastAsia="Arial" w:hAnsi="Arial"/>
                <w:sz w:val="15"/>
                <w:szCs w:val="15"/>
                <w:color w:val="auto"/>
                <w:w w:val="99"/>
              </w:rPr>
              <w:t>33%</w:t>
            </w:r>
          </w:p>
        </w:tc>
        <w:tc>
          <w:tcPr>
            <w:tcW w:w="2520" w:type="dxa"/>
            <w:vAlign w:val="bottom"/>
          </w:tcPr>
          <w:p>
            <w:pPr>
              <w:ind w:left="20"/>
              <w:spacing w:after="0"/>
              <w:rPr>
                <w:sz w:val="20"/>
                <w:szCs w:val="20"/>
                <w:color w:val="auto"/>
              </w:rPr>
            </w:pPr>
            <w:r>
              <w:rPr>
                <w:rFonts w:ascii="Arial" w:cs="Arial" w:eastAsia="Arial" w:hAnsi="Arial"/>
                <w:sz w:val="15"/>
                <w:szCs w:val="15"/>
                <w:color w:val="auto"/>
              </w:rPr>
              <w:t>Gender/Racial Diversity</w:t>
            </w:r>
          </w:p>
        </w:tc>
      </w:tr>
      <w:tr>
        <w:trPr>
          <w:trHeight w:val="207"/>
        </w:trPr>
        <w:tc>
          <w:tcPr>
            <w:tcW w:w="160" w:type="dxa"/>
            <w:vAlign w:val="bottom"/>
          </w:tcPr>
          <w:p>
            <w:pPr>
              <w:spacing w:after="0"/>
              <w:rPr>
                <w:sz w:val="20"/>
                <w:szCs w:val="20"/>
                <w:color w:val="auto"/>
              </w:rPr>
            </w:pPr>
            <w:r>
              <w:rPr>
                <w:rFonts w:ascii="Arial" w:cs="Arial" w:eastAsia="Arial" w:hAnsi="Arial"/>
                <w:sz w:val="15"/>
                <w:szCs w:val="15"/>
                <w:color w:val="auto"/>
              </w:rPr>
              <w:t>•</w:t>
            </w:r>
          </w:p>
        </w:tc>
        <w:tc>
          <w:tcPr>
            <w:tcW w:w="2960" w:type="dxa"/>
            <w:vAlign w:val="bottom"/>
            <w:gridSpan w:val="2"/>
          </w:tcPr>
          <w:p>
            <w:pPr>
              <w:ind w:left="120"/>
              <w:spacing w:after="0"/>
              <w:rPr>
                <w:sz w:val="20"/>
                <w:szCs w:val="20"/>
                <w:color w:val="auto"/>
              </w:rPr>
            </w:pPr>
            <w:r>
              <w:rPr>
                <w:rFonts w:ascii="Arial" w:cs="Arial" w:eastAsia="Arial" w:hAnsi="Arial"/>
                <w:sz w:val="15"/>
                <w:szCs w:val="15"/>
                <w:color w:val="auto"/>
              </w:rPr>
              <w:t>Independent Board Chair</w:t>
            </w:r>
          </w:p>
        </w:tc>
      </w:tr>
      <w:tr>
        <w:trPr>
          <w:trHeight w:val="175"/>
        </w:trPr>
        <w:tc>
          <w:tcPr>
            <w:tcW w:w="3120" w:type="dxa"/>
            <w:vAlign w:val="bottom"/>
            <w:gridSpan w:val="3"/>
          </w:tcPr>
          <w:p>
            <w:pPr>
              <w:spacing w:after="0"/>
              <w:rPr>
                <w:sz w:val="20"/>
                <w:szCs w:val="20"/>
                <w:color w:val="auto"/>
              </w:rPr>
            </w:pPr>
            <w:r>
              <w:rPr>
                <w:rFonts w:ascii="Arial" w:cs="Arial" w:eastAsia="Arial" w:hAnsi="Arial"/>
                <w:sz w:val="15"/>
                <w:szCs w:val="15"/>
                <w:color w:val="auto"/>
              </w:rPr>
              <w:t>•   Regular Executive Sessions of Independent</w:t>
            </w:r>
          </w:p>
        </w:tc>
      </w:tr>
    </w:tbl>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160" w:type="dxa"/>
            <w:vAlign w:val="bottom"/>
            <w:tcBorders>
              <w:bottom w:val="single" w:sz="8" w:color="auto"/>
            </w:tcBorders>
            <w:shd w:val="clear" w:color="auto" w:fill="000000"/>
          </w:tcPr>
          <w:p>
            <w:pPr>
              <w:spacing w:after="0"/>
              <w:rPr>
                <w:sz w:val="22"/>
                <w:szCs w:val="22"/>
                <w:color w:val="auto"/>
              </w:rPr>
            </w:pPr>
          </w:p>
        </w:tc>
        <w:tc>
          <w:tcPr>
            <w:tcW w:w="3280" w:type="dxa"/>
            <w:vAlign w:val="bottom"/>
            <w:tcBorders>
              <w:bottom w:val="single" w:sz="8" w:color="auto"/>
            </w:tcBorders>
            <w:shd w:val="clear" w:color="auto" w:fill="000000"/>
          </w:tcPr>
          <w:p>
            <w:pPr>
              <w:ind w:left="60"/>
              <w:spacing w:after="0"/>
              <w:rPr>
                <w:sz w:val="20"/>
                <w:szCs w:val="20"/>
                <w:color w:val="auto"/>
              </w:rPr>
            </w:pPr>
            <w:r>
              <w:rPr>
                <w:rFonts w:ascii="Arial" w:cs="Arial" w:eastAsia="Arial" w:hAnsi="Arial"/>
                <w:sz w:val="16"/>
                <w:szCs w:val="16"/>
                <w:b w:val="1"/>
                <w:bCs w:val="1"/>
                <w:color w:val="FFFFFF"/>
              </w:rPr>
              <w:t>Shareholder Rights and Accountability</w:t>
            </w:r>
          </w:p>
        </w:tc>
        <w:tc>
          <w:tcPr>
            <w:tcW w:w="120" w:type="dxa"/>
            <w:vAlign w:val="bottom"/>
          </w:tcPr>
          <w:p>
            <w:pPr>
              <w:spacing w:after="0"/>
              <w:rPr>
                <w:sz w:val="22"/>
                <w:szCs w:val="22"/>
                <w:color w:val="auto"/>
              </w:rPr>
            </w:pPr>
          </w:p>
        </w:tc>
        <w:tc>
          <w:tcPr>
            <w:tcW w:w="180" w:type="dxa"/>
            <w:vAlign w:val="bottom"/>
            <w:tcBorders>
              <w:bottom w:val="single" w:sz="8" w:color="auto"/>
            </w:tcBorders>
            <w:shd w:val="clear" w:color="auto" w:fill="000000"/>
          </w:tcPr>
          <w:p>
            <w:pPr>
              <w:spacing w:after="0"/>
              <w:rPr>
                <w:sz w:val="22"/>
                <w:szCs w:val="22"/>
                <w:color w:val="auto"/>
              </w:rPr>
            </w:pPr>
          </w:p>
        </w:tc>
        <w:tc>
          <w:tcPr>
            <w:tcW w:w="3260" w:type="dxa"/>
            <w:vAlign w:val="bottom"/>
            <w:tcBorders>
              <w:bottom w:val="single" w:sz="8" w:color="auto"/>
            </w:tcBorders>
            <w:shd w:val="clear" w:color="auto" w:fill="000000"/>
          </w:tcPr>
          <w:p>
            <w:pPr>
              <w:ind w:left="980"/>
              <w:spacing w:after="0"/>
              <w:rPr>
                <w:sz w:val="20"/>
                <w:szCs w:val="20"/>
                <w:color w:val="auto"/>
              </w:rPr>
            </w:pPr>
            <w:r>
              <w:rPr>
                <w:rFonts w:ascii="Arial" w:cs="Arial" w:eastAsia="Arial" w:hAnsi="Arial"/>
                <w:sz w:val="16"/>
                <w:szCs w:val="16"/>
                <w:b w:val="1"/>
                <w:bCs w:val="1"/>
                <w:color w:val="FFFFFF"/>
              </w:rPr>
              <w:t>Best Practices</w:t>
            </w:r>
          </w:p>
        </w:tc>
      </w:tr>
      <w:tr>
        <w:trPr>
          <w:trHeight w:val="192"/>
        </w:trPr>
        <w:tc>
          <w:tcPr>
            <w:tcW w:w="3440" w:type="dxa"/>
            <w:vAlign w:val="bottom"/>
            <w:gridSpan w:val="2"/>
          </w:tcPr>
          <w:p>
            <w:pPr>
              <w:ind w:left="20"/>
              <w:spacing w:after="0"/>
              <w:rPr>
                <w:sz w:val="20"/>
                <w:szCs w:val="20"/>
                <w:color w:val="auto"/>
              </w:rPr>
            </w:pPr>
            <w:r>
              <w:rPr>
                <w:rFonts w:ascii="Arial" w:cs="Arial" w:eastAsia="Arial" w:hAnsi="Arial"/>
                <w:sz w:val="15"/>
                <w:szCs w:val="15"/>
                <w:color w:val="auto"/>
              </w:rPr>
              <w:t>•   10-Year Director Tenure Limit*</w:t>
            </w:r>
          </w:p>
        </w:tc>
        <w:tc>
          <w:tcPr>
            <w:tcW w:w="120" w:type="dxa"/>
            <w:vAlign w:val="bottom"/>
          </w:tcPr>
          <w:p>
            <w:pPr>
              <w:spacing w:after="0"/>
              <w:rPr>
                <w:sz w:val="16"/>
                <w:szCs w:val="16"/>
                <w:color w:val="auto"/>
              </w:rPr>
            </w:pPr>
          </w:p>
        </w:tc>
        <w:tc>
          <w:tcPr>
            <w:tcW w:w="180" w:type="dxa"/>
            <w:vAlign w:val="bottom"/>
          </w:tcPr>
          <w:p>
            <w:pPr>
              <w:ind w:left="20"/>
              <w:spacing w:after="0"/>
              <w:rPr>
                <w:sz w:val="20"/>
                <w:szCs w:val="20"/>
                <w:color w:val="auto"/>
              </w:rPr>
            </w:pPr>
            <w:r>
              <w:rPr>
                <w:rFonts w:ascii="Arial" w:cs="Arial" w:eastAsia="Arial" w:hAnsi="Arial"/>
                <w:sz w:val="15"/>
                <w:szCs w:val="15"/>
                <w:color w:val="auto"/>
              </w:rPr>
              <w:t>•</w:t>
            </w:r>
          </w:p>
        </w:tc>
        <w:tc>
          <w:tcPr>
            <w:tcW w:w="3260" w:type="dxa"/>
            <w:vAlign w:val="bottom"/>
          </w:tcPr>
          <w:p>
            <w:pPr>
              <w:ind w:left="120"/>
              <w:spacing w:after="0"/>
              <w:rPr>
                <w:sz w:val="20"/>
                <w:szCs w:val="20"/>
                <w:color w:val="auto"/>
              </w:rPr>
            </w:pPr>
            <w:r>
              <w:rPr>
                <w:rFonts w:ascii="Arial" w:cs="Arial" w:eastAsia="Arial" w:hAnsi="Arial"/>
                <w:sz w:val="15"/>
                <w:szCs w:val="15"/>
                <w:color w:val="auto"/>
              </w:rPr>
              <w:t>Active Stockholder Engagement</w:t>
            </w:r>
          </w:p>
        </w:tc>
      </w:tr>
      <w:tr>
        <w:trPr>
          <w:trHeight w:val="219"/>
        </w:trPr>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3280" w:type="dxa"/>
            <w:vAlign w:val="bottom"/>
          </w:tcPr>
          <w:p>
            <w:pPr>
              <w:ind w:left="140"/>
              <w:spacing w:after="0"/>
              <w:rPr>
                <w:sz w:val="20"/>
                <w:szCs w:val="20"/>
                <w:color w:val="auto"/>
              </w:rPr>
            </w:pPr>
            <w:r>
              <w:rPr>
                <w:rFonts w:ascii="Arial" w:cs="Arial" w:eastAsia="Arial" w:hAnsi="Arial"/>
                <w:sz w:val="15"/>
                <w:szCs w:val="15"/>
                <w:color w:val="auto"/>
              </w:rPr>
              <w:t>Annual Election of Directors</w:t>
            </w:r>
          </w:p>
        </w:tc>
        <w:tc>
          <w:tcPr>
            <w:tcW w:w="120" w:type="dxa"/>
            <w:vAlign w:val="bottom"/>
          </w:tcPr>
          <w:p>
            <w:pPr>
              <w:spacing w:after="0"/>
              <w:rPr>
                <w:sz w:val="19"/>
                <w:szCs w:val="19"/>
                <w:color w:val="auto"/>
              </w:rPr>
            </w:pPr>
          </w:p>
        </w:tc>
        <w:tc>
          <w:tcPr>
            <w:tcW w:w="3440" w:type="dxa"/>
            <w:vAlign w:val="bottom"/>
            <w:gridSpan w:val="2"/>
          </w:tcPr>
          <w:p>
            <w:pPr>
              <w:ind w:left="20"/>
              <w:spacing w:after="0"/>
              <w:rPr>
                <w:sz w:val="20"/>
                <w:szCs w:val="20"/>
                <w:color w:val="auto"/>
              </w:rPr>
            </w:pPr>
            <w:r>
              <w:rPr>
                <w:rFonts w:ascii="Arial" w:cs="Arial" w:eastAsia="Arial" w:hAnsi="Arial"/>
                <w:sz w:val="15"/>
                <w:szCs w:val="15"/>
                <w:color w:val="auto"/>
              </w:rPr>
              <w:t>•   CEO and Management Succession Planning</w:t>
            </w:r>
          </w:p>
        </w:tc>
      </w:tr>
      <w:tr>
        <w:trPr>
          <w:trHeight w:val="161"/>
        </w:trPr>
        <w:tc>
          <w:tcPr>
            <w:tcW w:w="160" w:type="dxa"/>
            <w:vAlign w:val="bottom"/>
          </w:tcPr>
          <w:p>
            <w:pPr>
              <w:ind w:left="20"/>
              <w:spacing w:after="0" w:line="161" w:lineRule="exact"/>
              <w:rPr>
                <w:sz w:val="20"/>
                <w:szCs w:val="20"/>
                <w:color w:val="auto"/>
              </w:rPr>
            </w:pPr>
            <w:r>
              <w:rPr>
                <w:rFonts w:ascii="Arial" w:cs="Arial" w:eastAsia="Arial" w:hAnsi="Arial"/>
                <w:sz w:val="15"/>
                <w:szCs w:val="15"/>
                <w:color w:val="auto"/>
              </w:rPr>
              <w:t>•</w:t>
            </w:r>
          </w:p>
        </w:tc>
        <w:tc>
          <w:tcPr>
            <w:tcW w:w="3280" w:type="dxa"/>
            <w:vAlign w:val="bottom"/>
          </w:tcPr>
          <w:p>
            <w:pPr>
              <w:ind w:left="140"/>
              <w:spacing w:after="0" w:line="161" w:lineRule="exact"/>
              <w:rPr>
                <w:sz w:val="20"/>
                <w:szCs w:val="20"/>
                <w:color w:val="auto"/>
              </w:rPr>
            </w:pPr>
            <w:r>
              <w:rPr>
                <w:rFonts w:ascii="Arial" w:cs="Arial" w:eastAsia="Arial" w:hAnsi="Arial"/>
                <w:sz w:val="15"/>
                <w:szCs w:val="15"/>
                <w:color w:val="auto"/>
                <w:w w:val="99"/>
              </w:rPr>
              <w:t>Majority Voting with Director Resignation Policy</w:t>
            </w:r>
          </w:p>
        </w:tc>
        <w:tc>
          <w:tcPr>
            <w:tcW w:w="120" w:type="dxa"/>
            <w:vAlign w:val="bottom"/>
          </w:tcPr>
          <w:p>
            <w:pPr>
              <w:spacing w:after="0"/>
              <w:rPr>
                <w:sz w:val="14"/>
                <w:szCs w:val="14"/>
                <w:color w:val="auto"/>
              </w:rPr>
            </w:pPr>
          </w:p>
        </w:tc>
        <w:tc>
          <w:tcPr>
            <w:tcW w:w="180" w:type="dxa"/>
            <w:vAlign w:val="bottom"/>
          </w:tcPr>
          <w:p>
            <w:pPr>
              <w:ind w:left="20"/>
              <w:spacing w:after="0" w:line="161" w:lineRule="exact"/>
              <w:rPr>
                <w:sz w:val="20"/>
                <w:szCs w:val="20"/>
                <w:color w:val="auto"/>
              </w:rPr>
            </w:pPr>
            <w:r>
              <w:rPr>
                <w:rFonts w:ascii="Arial" w:cs="Arial" w:eastAsia="Arial" w:hAnsi="Arial"/>
                <w:sz w:val="15"/>
                <w:szCs w:val="15"/>
                <w:color w:val="auto"/>
              </w:rPr>
              <w:t>•</w:t>
            </w:r>
          </w:p>
        </w:tc>
        <w:tc>
          <w:tcPr>
            <w:tcW w:w="3260" w:type="dxa"/>
            <w:vAlign w:val="bottom"/>
          </w:tcPr>
          <w:p>
            <w:pPr>
              <w:ind w:left="120"/>
              <w:spacing w:after="0" w:line="161" w:lineRule="exact"/>
              <w:rPr>
                <w:sz w:val="20"/>
                <w:szCs w:val="20"/>
                <w:color w:val="auto"/>
              </w:rPr>
            </w:pPr>
            <w:r>
              <w:rPr>
                <w:rFonts w:ascii="Arial" w:cs="Arial" w:eastAsia="Arial" w:hAnsi="Arial"/>
                <w:sz w:val="15"/>
                <w:szCs w:val="15"/>
                <w:color w:val="auto"/>
              </w:rPr>
              <w:t>Robust Stock Ownership Guidelines for</w:t>
            </w:r>
          </w:p>
        </w:tc>
      </w:tr>
      <w:tr>
        <w:trPr>
          <w:trHeight w:val="192"/>
        </w:trPr>
        <w:tc>
          <w:tcPr>
            <w:tcW w:w="160" w:type="dxa"/>
            <w:vAlign w:val="bottom"/>
          </w:tcPr>
          <w:p>
            <w:pPr>
              <w:spacing w:after="0"/>
              <w:rPr>
                <w:sz w:val="16"/>
                <w:szCs w:val="16"/>
                <w:color w:val="auto"/>
              </w:rPr>
            </w:pPr>
          </w:p>
        </w:tc>
        <w:tc>
          <w:tcPr>
            <w:tcW w:w="3280" w:type="dxa"/>
            <w:vAlign w:val="bottom"/>
          </w:tcPr>
          <w:p>
            <w:pPr>
              <w:ind w:left="160"/>
              <w:spacing w:after="0"/>
              <w:rPr>
                <w:sz w:val="20"/>
                <w:szCs w:val="20"/>
                <w:color w:val="auto"/>
              </w:rPr>
            </w:pPr>
            <w:r>
              <w:rPr>
                <w:rFonts w:ascii="Arial" w:cs="Arial" w:eastAsia="Arial" w:hAnsi="Arial"/>
                <w:sz w:val="15"/>
                <w:szCs w:val="15"/>
                <w:color w:val="auto"/>
              </w:rPr>
              <w:t>in Uncontested Elections*</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60" w:type="dxa"/>
            <w:vAlign w:val="bottom"/>
          </w:tcPr>
          <w:p>
            <w:pPr>
              <w:ind w:left="120"/>
              <w:spacing w:after="0"/>
              <w:rPr>
                <w:sz w:val="20"/>
                <w:szCs w:val="20"/>
                <w:color w:val="auto"/>
              </w:rPr>
            </w:pPr>
            <w:r>
              <w:rPr>
                <w:rFonts w:ascii="Arial" w:cs="Arial" w:eastAsia="Arial" w:hAnsi="Arial"/>
                <w:sz w:val="15"/>
                <w:szCs w:val="15"/>
                <w:color w:val="auto"/>
              </w:rPr>
              <w:t>Directors and Executives</w:t>
            </w:r>
          </w:p>
        </w:tc>
      </w:tr>
    </w:tbl>
    <w:p>
      <w:pPr>
        <w:spacing w:after="0" w:line="29" w:lineRule="exact"/>
        <w:rPr>
          <w:sz w:val="20"/>
          <w:szCs w:val="20"/>
          <w:color w:val="auto"/>
        </w:rPr>
      </w:pPr>
    </w:p>
    <w:p>
      <w:pPr>
        <w:sectPr>
          <w:pgSz w:w="11900" w:h="16838" w:orient="portrait"/>
          <w:cols w:equalWidth="0" w:num="2">
            <w:col w:w="3440" w:space="260"/>
            <w:col w:w="7380"/>
          </w:cols>
          <w:pgMar w:left="320" w:top="123" w:right="499" w:bottom="1440" w:gutter="0" w:footer="0" w:header="0"/>
          <w:type w:val="continuous"/>
        </w:sectPr>
      </w:pPr>
    </w:p>
    <w:p>
      <w:pPr>
        <w:ind w:left="460"/>
        <w:spacing w:after="0"/>
        <w:rPr>
          <w:sz w:val="20"/>
          <w:szCs w:val="20"/>
          <w:color w:val="auto"/>
        </w:rPr>
      </w:pPr>
      <w:r>
        <w:rPr>
          <w:rFonts w:ascii="Arial" w:cs="Arial" w:eastAsia="Arial" w:hAnsi="Arial"/>
          <w:sz w:val="15"/>
          <w:szCs w:val="15"/>
          <w:color w:val="auto"/>
        </w:rPr>
        <w:t>Directors</w:t>
      </w:r>
    </w:p>
    <w:p>
      <w:pPr>
        <w:spacing w:after="0" w:line="20"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All Committees Comprised Entirely of</w:t>
      </w:r>
    </w:p>
    <w:p>
      <w:pPr>
        <w:ind w:left="460"/>
        <w:spacing w:after="0"/>
        <w:rPr>
          <w:sz w:val="20"/>
          <w:szCs w:val="20"/>
          <w:color w:val="auto"/>
        </w:rPr>
      </w:pPr>
      <w:r>
        <w:rPr>
          <w:rFonts w:ascii="Arial" w:cs="Arial" w:eastAsia="Arial" w:hAnsi="Arial"/>
          <w:sz w:val="15"/>
          <w:szCs w:val="15"/>
          <w:color w:val="auto"/>
        </w:rPr>
        <w:t>Independent Directors</w:t>
      </w:r>
    </w:p>
    <w:p>
      <w:pPr>
        <w:spacing w:after="0" w:line="21"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Committees Can Engage Independent Advisors</w:t>
      </w:r>
    </w:p>
    <w:p>
      <w:pPr>
        <w:spacing w:after="0" w:line="46" w:lineRule="exact"/>
        <w:rPr>
          <w:sz w:val="20"/>
          <w:szCs w:val="20"/>
          <w:color w:val="auto"/>
        </w:rPr>
      </w:pPr>
    </w:p>
    <w:p>
      <w:pPr>
        <w:ind w:left="180"/>
        <w:spacing w:after="0"/>
        <w:tabs>
          <w:tab w:leader="none" w:pos="44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Annual Board and Committee Self-Evaluations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80"/>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3"/>
          <w:szCs w:val="13"/>
          <w:color w:val="auto"/>
        </w:rPr>
        <w:t>See below.</w:t>
      </w:r>
    </w:p>
    <w:p>
      <w:pPr>
        <w:spacing w:after="0" w:line="20" w:lineRule="exact"/>
        <w:rPr>
          <w:sz w:val="20"/>
          <w:szCs w:val="20"/>
          <w:color w:val="auto"/>
        </w:rPr>
      </w:pPr>
      <w:r>
        <w:rPr>
          <w:sz w:val="20"/>
          <w:szCs w:val="20"/>
          <w:color w:val="auto"/>
        </w:rPr>
        <w:br w:type="column"/>
      </w:r>
    </w:p>
    <w:p>
      <w:pPr>
        <w:ind w:left="300" w:right="20" w:hanging="300"/>
        <w:spacing w:after="0" w:line="243" w:lineRule="auto"/>
        <w:tabs>
          <w:tab w:leader="none" w:pos="290" w:val="left"/>
        </w:tabs>
        <w:numPr>
          <w:ilvl w:val="0"/>
          <w:numId w:val="8"/>
        </w:numPr>
        <w:rPr>
          <w:rFonts w:ascii="Arial" w:cs="Arial" w:eastAsia="Arial" w:hAnsi="Arial"/>
          <w:sz w:val="14"/>
          <w:szCs w:val="14"/>
          <w:color w:val="auto"/>
        </w:rPr>
      </w:pPr>
      <w:r>
        <w:rPr>
          <w:rFonts w:ascii="Arial" w:cs="Arial" w:eastAsia="Arial" w:hAnsi="Arial"/>
          <w:sz w:val="14"/>
          <w:szCs w:val="14"/>
          <w:color w:val="auto"/>
        </w:rPr>
        <w:t>Annual CEO Performance and Compensation Evaluation by Independent Directors</w:t>
      </w:r>
    </w:p>
    <w:p>
      <w:pPr>
        <w:spacing w:after="0" w:line="25" w:lineRule="exact"/>
        <w:rPr>
          <w:rFonts w:ascii="Arial" w:cs="Arial" w:eastAsia="Arial" w:hAnsi="Arial"/>
          <w:sz w:val="14"/>
          <w:szCs w:val="14"/>
          <w:color w:val="auto"/>
        </w:rPr>
      </w:pPr>
    </w:p>
    <w:p>
      <w:pPr>
        <w:ind w:left="300" w:hanging="300"/>
        <w:spacing w:after="0" w:line="224" w:lineRule="auto"/>
        <w:tabs>
          <w:tab w:leader="none" w:pos="29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Annual Election of Board Chair and, if Board Chair is not independent, a Lead Independent Director</w:t>
      </w:r>
    </w:p>
    <w:p>
      <w:pPr>
        <w:spacing w:after="0" w:line="16" w:lineRule="exact"/>
        <w:rPr>
          <w:rFonts w:ascii="Arial" w:cs="Arial" w:eastAsia="Arial" w:hAnsi="Arial"/>
          <w:sz w:val="15"/>
          <w:szCs w:val="15"/>
          <w:color w:val="auto"/>
        </w:rPr>
      </w:pPr>
    </w:p>
    <w:p>
      <w:pPr>
        <w:ind w:left="280" w:hanging="280"/>
        <w:spacing w:after="0"/>
        <w:tabs>
          <w:tab w:leader="none" w:pos="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Clawback Policy</w:t>
      </w:r>
    </w:p>
    <w:p>
      <w:pPr>
        <w:spacing w:after="0" w:line="34" w:lineRule="exact"/>
        <w:rPr>
          <w:rFonts w:ascii="Arial" w:cs="Arial" w:eastAsia="Arial" w:hAnsi="Arial"/>
          <w:sz w:val="15"/>
          <w:szCs w:val="15"/>
          <w:color w:val="auto"/>
        </w:rPr>
      </w:pPr>
    </w:p>
    <w:p>
      <w:pPr>
        <w:ind w:left="280" w:hanging="280"/>
        <w:spacing w:after="0"/>
        <w:tabs>
          <w:tab w:leader="none" w:pos="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 "Poison Pill" (Stockholder Rights Plan)</w:t>
      </w:r>
    </w:p>
    <w:p>
      <w:pPr>
        <w:spacing w:after="0" w:line="46" w:lineRule="exact"/>
        <w:rPr>
          <w:rFonts w:ascii="Arial" w:cs="Arial" w:eastAsia="Arial" w:hAnsi="Arial"/>
          <w:sz w:val="15"/>
          <w:szCs w:val="15"/>
          <w:color w:val="auto"/>
        </w:rPr>
      </w:pPr>
    </w:p>
    <w:p>
      <w:pPr>
        <w:ind w:left="280" w:hanging="280"/>
        <w:spacing w:after="0"/>
        <w:tabs>
          <w:tab w:leader="none" w:pos="280" w:val="left"/>
        </w:tabs>
        <w:numPr>
          <w:ilvl w:val="0"/>
          <w:numId w:val="8"/>
        </w:numPr>
        <w:rPr>
          <w:rFonts w:ascii="Arial" w:cs="Arial" w:eastAsia="Arial" w:hAnsi="Arial"/>
          <w:sz w:val="15"/>
          <w:szCs w:val="15"/>
          <w:color w:val="auto"/>
        </w:rPr>
      </w:pPr>
      <w:r>
        <w:rPr>
          <w:rFonts w:ascii="Arial" w:cs="Arial" w:eastAsia="Arial" w:hAnsi="Arial"/>
          <w:sz w:val="15"/>
          <w:szCs w:val="15"/>
          <w:color w:val="auto"/>
        </w:rPr>
        <w:t>No Dual-Class Stock</w:t>
      </w:r>
    </w:p>
    <w:p>
      <w:pPr>
        <w:spacing w:after="0" w:line="20" w:lineRule="exact"/>
        <w:rPr>
          <w:sz w:val="20"/>
          <w:szCs w:val="20"/>
          <w:color w:val="auto"/>
        </w:rPr>
      </w:pPr>
      <w:r>
        <w:rPr>
          <w:sz w:val="20"/>
          <w:szCs w:val="20"/>
          <w:color w:val="auto"/>
        </w:rPr>
        <w:br w:type="column"/>
      </w:r>
    </w:p>
    <w:p>
      <w:pPr>
        <w:ind w:left="284" w:hanging="284"/>
        <w:spacing w:after="0"/>
        <w:tabs>
          <w:tab w:leader="none" w:pos="284" w:val="left"/>
        </w:tabs>
        <w:numPr>
          <w:ilvl w:val="0"/>
          <w:numId w:val="9"/>
        </w:numPr>
        <w:rPr>
          <w:rFonts w:ascii="Arial" w:cs="Arial" w:eastAsia="Arial" w:hAnsi="Arial"/>
          <w:sz w:val="15"/>
          <w:szCs w:val="15"/>
          <w:color w:val="auto"/>
        </w:rPr>
      </w:pPr>
      <w:r>
        <w:rPr>
          <w:rFonts w:ascii="Arial" w:cs="Arial" w:eastAsia="Arial" w:hAnsi="Arial"/>
          <w:sz w:val="15"/>
          <w:szCs w:val="15"/>
          <w:color w:val="auto"/>
        </w:rPr>
        <w:t>Limits on Director Overboarding</w:t>
      </w:r>
    </w:p>
    <w:p>
      <w:pPr>
        <w:spacing w:after="0" w:line="32" w:lineRule="exact"/>
        <w:rPr>
          <w:rFonts w:ascii="Arial" w:cs="Arial" w:eastAsia="Arial" w:hAnsi="Arial"/>
          <w:sz w:val="15"/>
          <w:szCs w:val="15"/>
          <w:color w:val="auto"/>
        </w:rPr>
      </w:pPr>
    </w:p>
    <w:p>
      <w:pPr>
        <w:ind w:left="284" w:right="500" w:hanging="284"/>
        <w:spacing w:after="0" w:line="235" w:lineRule="auto"/>
        <w:tabs>
          <w:tab w:leader="none" w:pos="274" w:val="left"/>
        </w:tabs>
        <w:numPr>
          <w:ilvl w:val="0"/>
          <w:numId w:val="9"/>
        </w:numPr>
        <w:rPr>
          <w:rFonts w:ascii="Arial" w:cs="Arial" w:eastAsia="Arial" w:hAnsi="Arial"/>
          <w:sz w:val="15"/>
          <w:szCs w:val="15"/>
          <w:color w:val="auto"/>
        </w:rPr>
      </w:pPr>
      <w:r>
        <w:rPr>
          <w:rFonts w:ascii="Arial" w:cs="Arial" w:eastAsia="Arial" w:hAnsi="Arial"/>
          <w:sz w:val="15"/>
          <w:szCs w:val="15"/>
          <w:color w:val="auto"/>
        </w:rPr>
        <w:t>New Director Orientation and Ongoing Director Education</w:t>
      </w:r>
    </w:p>
    <w:p>
      <w:pPr>
        <w:spacing w:after="0" w:line="15" w:lineRule="exact"/>
        <w:rPr>
          <w:rFonts w:ascii="Arial" w:cs="Arial" w:eastAsia="Arial" w:hAnsi="Arial"/>
          <w:sz w:val="15"/>
          <w:szCs w:val="15"/>
          <w:color w:val="auto"/>
        </w:rPr>
      </w:pPr>
    </w:p>
    <w:p>
      <w:pPr>
        <w:ind w:left="284" w:right="620" w:hanging="284"/>
        <w:spacing w:after="0" w:line="235" w:lineRule="auto"/>
        <w:tabs>
          <w:tab w:leader="none" w:pos="274" w:val="left"/>
        </w:tabs>
        <w:numPr>
          <w:ilvl w:val="0"/>
          <w:numId w:val="9"/>
        </w:numPr>
        <w:rPr>
          <w:rFonts w:ascii="Arial" w:cs="Arial" w:eastAsia="Arial" w:hAnsi="Arial"/>
          <w:sz w:val="15"/>
          <w:szCs w:val="15"/>
          <w:color w:val="auto"/>
        </w:rPr>
      </w:pPr>
      <w:r>
        <w:rPr>
          <w:rFonts w:ascii="Arial" w:cs="Arial" w:eastAsia="Arial" w:hAnsi="Arial"/>
          <w:sz w:val="15"/>
          <w:szCs w:val="15"/>
          <w:color w:val="auto"/>
        </w:rPr>
        <w:t>Oversight of Strategy and Risk by Board and Committees</w:t>
      </w:r>
    </w:p>
    <w:p>
      <w:pPr>
        <w:spacing w:after="0" w:line="15" w:lineRule="exact"/>
        <w:rPr>
          <w:rFonts w:ascii="Arial" w:cs="Arial" w:eastAsia="Arial" w:hAnsi="Arial"/>
          <w:sz w:val="15"/>
          <w:szCs w:val="15"/>
          <w:color w:val="auto"/>
        </w:rPr>
      </w:pPr>
    </w:p>
    <w:p>
      <w:pPr>
        <w:ind w:left="284" w:right="480" w:hanging="284"/>
        <w:spacing w:after="0" w:line="235" w:lineRule="auto"/>
        <w:tabs>
          <w:tab w:leader="none" w:pos="274"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CIC Tax Gross Ups or Single Trigger Equity Vesting</w:t>
      </w:r>
    </w:p>
    <w:p>
      <w:pPr>
        <w:spacing w:after="0" w:line="27" w:lineRule="exact"/>
        <w:rPr>
          <w:rFonts w:ascii="Arial" w:cs="Arial" w:eastAsia="Arial" w:hAnsi="Arial"/>
          <w:sz w:val="15"/>
          <w:szCs w:val="15"/>
          <w:color w:val="auto"/>
        </w:rPr>
      </w:pPr>
    </w:p>
    <w:p>
      <w:pPr>
        <w:ind w:left="284" w:hanging="284"/>
        <w:spacing w:after="0"/>
        <w:tabs>
          <w:tab w:leader="none" w:pos="284"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Hedging or Pledging Policy</w:t>
      </w:r>
    </w:p>
    <w:p>
      <w:pPr>
        <w:spacing w:after="0" w:line="34" w:lineRule="exact"/>
        <w:rPr>
          <w:rFonts w:ascii="Arial" w:cs="Arial" w:eastAsia="Arial" w:hAnsi="Arial"/>
          <w:sz w:val="15"/>
          <w:szCs w:val="15"/>
          <w:color w:val="auto"/>
        </w:rPr>
      </w:pPr>
    </w:p>
    <w:p>
      <w:pPr>
        <w:ind w:left="284" w:right="680" w:hanging="284"/>
        <w:spacing w:after="0" w:line="235" w:lineRule="auto"/>
        <w:tabs>
          <w:tab w:leader="none" w:pos="274" w:val="left"/>
        </w:tabs>
        <w:numPr>
          <w:ilvl w:val="0"/>
          <w:numId w:val="9"/>
        </w:numPr>
        <w:rPr>
          <w:rFonts w:ascii="Arial" w:cs="Arial" w:eastAsia="Arial" w:hAnsi="Arial"/>
          <w:sz w:val="15"/>
          <w:szCs w:val="15"/>
          <w:color w:val="auto"/>
        </w:rPr>
      </w:pPr>
      <w:r>
        <w:rPr>
          <w:rFonts w:ascii="Arial" w:cs="Arial" w:eastAsia="Arial" w:hAnsi="Arial"/>
          <w:sz w:val="15"/>
          <w:szCs w:val="15"/>
          <w:color w:val="auto"/>
        </w:rPr>
        <w:t>No Employment Agreements with Executive Officers</w:t>
      </w:r>
    </w:p>
    <w:p>
      <w:pPr>
        <w:spacing w:after="0" w:line="448" w:lineRule="exact"/>
        <w:rPr>
          <w:sz w:val="20"/>
          <w:szCs w:val="20"/>
          <w:color w:val="auto"/>
        </w:rPr>
      </w:pPr>
    </w:p>
    <w:p>
      <w:pPr>
        <w:sectPr>
          <w:pgSz w:w="11900" w:h="16838" w:orient="portrait"/>
          <w:cols w:equalWidth="0" w:num="3">
            <w:col w:w="3540" w:space="180"/>
            <w:col w:w="3260" w:space="296"/>
            <w:col w:w="3804"/>
          </w:cols>
          <w:pgMar w:left="320" w:top="123" w:right="499" w:bottom="1440" w:gutter="0" w:footer="0" w:header="0"/>
          <w:type w:val="continuous"/>
        </w:sectPr>
      </w:pPr>
    </w:p>
    <w:p>
      <w:pPr>
        <w:ind w:left="160" w:right="20"/>
        <w:spacing w:after="0" w:line="267" w:lineRule="auto"/>
        <w:rPr>
          <w:sz w:val="20"/>
          <w:szCs w:val="20"/>
          <w:color w:val="auto"/>
        </w:rPr>
      </w:pPr>
      <w:r>
        <w:rPr>
          <w:rFonts w:ascii="Arial" w:cs="Arial" w:eastAsia="Arial" w:hAnsi="Arial"/>
          <w:sz w:val="16"/>
          <w:szCs w:val="16"/>
          <w:b w:val="1"/>
          <w:bCs w:val="1"/>
          <w:color w:val="auto"/>
        </w:rPr>
        <w:t xml:space="preserve">10-Year Director Tenure Limit. </w:t>
      </w:r>
      <w:r>
        <w:rPr>
          <w:rFonts w:ascii="Arial" w:cs="Arial" w:eastAsia="Arial" w:hAnsi="Arial"/>
          <w:sz w:val="16"/>
          <w:szCs w:val="16"/>
          <w:color w:val="auto"/>
        </w:rPr>
        <w:t>In 2015, our Board adopted a 10-year director tenure policy that provides that (1) no person may be nominated to serve</w:t>
      </w:r>
      <w:r>
        <w:rPr>
          <w:rFonts w:ascii="Arial" w:cs="Arial" w:eastAsia="Arial" w:hAnsi="Arial"/>
          <w:sz w:val="16"/>
          <w:szCs w:val="16"/>
          <w:b w:val="1"/>
          <w:bCs w:val="1"/>
          <w:color w:val="auto"/>
        </w:rPr>
        <w:t xml:space="preserve"> </w:t>
      </w:r>
      <w:r>
        <w:rPr>
          <w:rFonts w:ascii="Arial" w:cs="Arial" w:eastAsia="Arial" w:hAnsi="Arial"/>
          <w:sz w:val="16"/>
          <w:szCs w:val="16"/>
          <w:color w:val="auto"/>
        </w:rPr>
        <w:t>on the Board if they have more than 10 years of service prior to the date of such election and (2) a director is deemed to resign and retire at the next annual meeting of stockholders following the term in which 10 years of service is attained. See "10-Year Director Tenure Limit" under Corporate Governance — Board Function, Leadership and Executive Sessions below.</w:t>
      </w:r>
    </w:p>
    <w:p>
      <w:pPr>
        <w:spacing w:after="0" w:line="34"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b w:val="1"/>
          <w:bCs w:val="1"/>
          <w:color w:val="auto"/>
        </w:rPr>
        <w:t xml:space="preserve">Majority Voting with Director Resignation Policy. </w:t>
      </w:r>
      <w:r>
        <w:rPr>
          <w:rFonts w:ascii="Arial" w:cs="Arial" w:eastAsia="Arial" w:hAnsi="Arial"/>
          <w:sz w:val="16"/>
          <w:szCs w:val="16"/>
          <w:color w:val="auto"/>
        </w:rPr>
        <w:t>Our Bylaws provide that, in an election of directors where the number of director nominees does not</w:t>
      </w:r>
      <w:r>
        <w:rPr>
          <w:rFonts w:ascii="Arial" w:cs="Arial" w:eastAsia="Arial" w:hAnsi="Arial"/>
          <w:sz w:val="16"/>
          <w:szCs w:val="16"/>
          <w:b w:val="1"/>
          <w:bCs w:val="1"/>
          <w:color w:val="auto"/>
        </w:rPr>
        <w:t xml:space="preserve"> </w:t>
      </w:r>
      <w:r>
        <w:rPr>
          <w:rFonts w:ascii="Arial" w:cs="Arial" w:eastAsia="Arial" w:hAnsi="Arial"/>
          <w:sz w:val="16"/>
          <w:szCs w:val="16"/>
          <w:color w:val="auto"/>
        </w:rPr>
        <w:t>exceed the number of directors to be elected (an "Uncontested Election"), each director nominee must receive the majority of the votes cast with respect to that director. Each director nominee has submitted an irrevocable resignation contingent on (i) the receipt of a majority of the votes cast in an Uncontested Election and (ii) acceptance of such resignation by the Board. If a director nominee were not to receive a majority vote, the Governance Committee would make a recommendation to the Board on whether to accept or reject the resignation or take other action. Any action taken by the Board would be publicly disclosed within 90 days of certification of the election results.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(ii) </w:t>
      </w:r>
      <w:r>
        <w:rPr>
          <w:sz w:val="1"/>
          <w:szCs w:val="1"/>
          <w:color w:val="auto"/>
        </w:rPr>
        <w:drawing>
          <wp:inline distT="0" distB="0" distL="0" distR="0">
            <wp:extent cx="401955" cy="16256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080"/>
          </w:cols>
          <w:pgMar w:left="320" w:top="123" w:right="499" w:bottom="1440" w:gutter="0" w:footer="0" w:header="0"/>
          <w:type w:val="continuous"/>
        </w:sectPr>
      </w:pPr>
    </w:p>
    <w:bookmarkStart w:id="7" w:name="page8"/>
    <w:bookmarkEnd w:id="7"/>
    <w:p>
      <w:pPr>
        <w:ind w:left="906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7150735" cy="64909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0735" cy="649097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Board Leadership. </w:t>
      </w:r>
      <w:r>
        <w:rPr>
          <w:rFonts w:ascii="Arial" w:cs="Arial" w:eastAsia="Arial" w:hAnsi="Arial"/>
          <w:sz w:val="16"/>
          <w:szCs w:val="16"/>
          <w:color w:val="auto"/>
        </w:rPr>
        <w:t>Female directors represent 50% of our Board leadership positions. In May 2022, we made the following Board leadership changes:</w:t>
      </w:r>
    </w:p>
    <w:p>
      <w:pPr>
        <w:spacing w:after="0" w:line="96" w:lineRule="exact"/>
        <w:rPr>
          <w:sz w:val="20"/>
          <w:szCs w:val="20"/>
          <w:color w:val="auto"/>
        </w:rPr>
      </w:pPr>
    </w:p>
    <w:p>
      <w:pPr>
        <w:ind w:left="580" w:right="560" w:hanging="288"/>
        <w:spacing w:after="0" w:line="294"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Jan A. Bertsch, who formerly was Chair of the Audit and Finance Committee, was elected as our Independent Board Chair, succeeding our former Non-Executive Chairman who retired from the Board at that time.</w:t>
      </w:r>
    </w:p>
    <w:p>
      <w:pPr>
        <w:spacing w:after="0" w:line="12" w:lineRule="exact"/>
        <w:rPr>
          <w:rFonts w:ascii="Arial" w:cs="Arial" w:eastAsia="Arial" w:hAnsi="Arial"/>
          <w:sz w:val="16"/>
          <w:szCs w:val="16"/>
          <w:color w:val="auto"/>
        </w:rPr>
      </w:pPr>
    </w:p>
    <w:p>
      <w:pPr>
        <w:ind w:left="580" w:hanging="288"/>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Barbara A. Niland, who formerly was Chair of the Compensation Committee, was appointed Chair of the Audit and Finance Committee.</w:t>
      </w:r>
    </w:p>
    <w:p>
      <w:pPr>
        <w:spacing w:after="0" w:line="96" w:lineRule="exact"/>
        <w:rPr>
          <w:rFonts w:ascii="Arial" w:cs="Arial" w:eastAsia="Arial" w:hAnsi="Arial"/>
          <w:sz w:val="16"/>
          <w:szCs w:val="16"/>
          <w:color w:val="auto"/>
        </w:rPr>
      </w:pPr>
    </w:p>
    <w:p>
      <w:pPr>
        <w:ind w:left="580" w:right="840" w:hanging="288"/>
        <w:spacing w:after="0" w:line="294" w:lineRule="auto"/>
        <w:tabs>
          <w:tab w:leader="none" w:pos="576"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Gerhard F. Burbach was appointed Chair of the Compensation Committee, and James M. Jaska continued as Chair of the Governance Committee.</w:t>
      </w:r>
    </w:p>
    <w:p>
      <w:pPr>
        <w:spacing w:after="0" w:line="24" w:lineRule="exact"/>
        <w:rPr>
          <w:sz w:val="20"/>
          <w:szCs w:val="20"/>
          <w:color w:val="auto"/>
        </w:rPr>
      </w:pPr>
    </w:p>
    <w:p>
      <w:pPr>
        <w:ind w:right="420"/>
        <w:spacing w:after="0" w:line="274" w:lineRule="auto"/>
        <w:rPr>
          <w:sz w:val="20"/>
          <w:szCs w:val="20"/>
          <w:color w:val="auto"/>
        </w:rPr>
      </w:pPr>
      <w:r>
        <w:rPr>
          <w:rFonts w:ascii="Arial" w:cs="Arial" w:eastAsia="Arial" w:hAnsi="Arial"/>
          <w:sz w:val="16"/>
          <w:szCs w:val="16"/>
          <w:b w:val="1"/>
          <w:bCs w:val="1"/>
          <w:color w:val="auto"/>
        </w:rPr>
        <w:t xml:space="preserve">Board Refreshment. </w:t>
      </w:r>
      <w:r>
        <w:rPr>
          <w:rFonts w:ascii="Arial" w:cs="Arial" w:eastAsia="Arial" w:hAnsi="Arial"/>
          <w:sz w:val="16"/>
          <w:szCs w:val="16"/>
          <w:color w:val="auto"/>
        </w:rPr>
        <w:t>Since 2018, we have recruited three new directors, including one diverse candidate, with medical industry, aeronautical and</w:t>
      </w:r>
      <w:r>
        <w:rPr>
          <w:rFonts w:ascii="Arial" w:cs="Arial" w:eastAsia="Arial" w:hAnsi="Arial"/>
          <w:sz w:val="16"/>
          <w:szCs w:val="16"/>
          <w:b w:val="1"/>
          <w:bCs w:val="1"/>
          <w:color w:val="auto"/>
        </w:rPr>
        <w:t xml:space="preserve"> </w:t>
      </w:r>
      <w:r>
        <w:rPr>
          <w:rFonts w:ascii="Arial" w:cs="Arial" w:eastAsia="Arial" w:hAnsi="Arial"/>
          <w:sz w:val="16"/>
          <w:szCs w:val="16"/>
          <w:color w:val="auto"/>
        </w:rPr>
        <w:t>nuclear propulsion experience, respectively, to align the Board with and further support our strategic initiatives. We have had four directors retire from the Board and one director resign to accept a position with the Company in that time period.</w:t>
      </w:r>
    </w:p>
    <w:p>
      <w:pPr>
        <w:spacing w:after="0" w:line="2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b w:val="1"/>
          <w:bCs w:val="1"/>
          <w:color w:val="auto"/>
        </w:rPr>
        <w:t xml:space="preserve">Board Composition and Diversity. </w:t>
      </w:r>
      <w:r>
        <w:rPr>
          <w:rFonts w:ascii="Arial" w:cs="Arial" w:eastAsia="Arial" w:hAnsi="Arial"/>
          <w:sz w:val="16"/>
          <w:szCs w:val="16"/>
          <w:color w:val="auto"/>
        </w:rPr>
        <w:t>Our Board is committed to the diversity of its membership. We have had two female directors since 2016 and</w:t>
      </w:r>
      <w:r>
        <w:rPr>
          <w:rFonts w:ascii="Arial" w:cs="Arial" w:eastAsia="Arial" w:hAnsi="Arial"/>
          <w:sz w:val="16"/>
          <w:szCs w:val="16"/>
          <w:b w:val="1"/>
          <w:bCs w:val="1"/>
          <w:color w:val="auto"/>
        </w:rPr>
        <w:t xml:space="preserve"> </w:t>
      </w:r>
      <w:r>
        <w:rPr>
          <w:rFonts w:ascii="Arial" w:cs="Arial" w:eastAsia="Arial" w:hAnsi="Arial"/>
          <w:sz w:val="16"/>
          <w:szCs w:val="16"/>
          <w:color w:val="auto"/>
        </w:rPr>
        <w:t>currently have three diverse directors, representing 33% of the Board. Our Board regularly evaluates its composition to ensure directors have an appropriate and diverse mix of perspectives, skills, professional experience and background (see "Board Expertise Summary" on next page). Our director criteria and recruitment process seeks to align the Board's capabilities with the Company's business strategy, as well as provide for periodic director refreshment and overall Board diversity, cohesiveness and collegiality. The Company intends to add at least one additional female or diverse director in the next year. Below is a summary of our director composition related to the tenure, age, diversity, independence and expertise of our current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right"/>
        <w:spacing w:after="0"/>
        <w:rPr>
          <w:sz w:val="20"/>
          <w:szCs w:val="20"/>
          <w:color w:val="auto"/>
        </w:rPr>
      </w:pPr>
      <w:r>
        <w:rPr>
          <w:sz w:val="1"/>
          <w:szCs w:val="1"/>
          <w:color w:val="auto"/>
        </w:rPr>
        <w:drawing>
          <wp:inline distT="0" distB="0" distL="0" distR="0">
            <wp:extent cx="401955" cy="1625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81915</wp:posOffset>
            </wp:positionV>
            <wp:extent cx="7171055"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735" cy="6351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0735" cy="635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ENVIRONMENTAL, SOCIAL AND GOVERNANCE HIGHLIGHTS</w:t>
      </w:r>
    </w:p>
    <w:p>
      <w:pPr>
        <w:spacing w:after="0" w:line="84" w:lineRule="exact"/>
        <w:rPr>
          <w:sz w:val="20"/>
          <w:szCs w:val="20"/>
          <w:color w:val="auto"/>
        </w:rPr>
      </w:pPr>
    </w:p>
    <w:p>
      <w:pPr>
        <w:ind w:left="300" w:right="280" w:hanging="140"/>
        <w:spacing w:after="0" w:line="294" w:lineRule="auto"/>
        <w:tabs>
          <w:tab w:leader="none" w:pos="2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believe that a commitment to environmental, social and governance ("ESG") matters enhances stockholder value. The Board has structured oversight of ESG processes and priorities with regular reporting by management to the Board and its Committees.</w:t>
      </w:r>
    </w:p>
    <w:p>
      <w:pPr>
        <w:spacing w:after="0" w:line="24" w:lineRule="exact"/>
        <w:rPr>
          <w:rFonts w:ascii="Arial" w:cs="Arial" w:eastAsia="Arial" w:hAnsi="Arial"/>
          <w:sz w:val="16"/>
          <w:szCs w:val="16"/>
          <w:color w:val="auto"/>
        </w:rPr>
      </w:pPr>
    </w:p>
    <w:p>
      <w:pPr>
        <w:ind w:left="300" w:hanging="140"/>
        <w:spacing w:after="0" w:line="294" w:lineRule="auto"/>
        <w:tabs>
          <w:tab w:leader="none" w:pos="2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Since 2015, the Compensation Committee has included an ESG performance metric (safety) in our annual incentive plans to emphasize continuous focus on safety performance.</w:t>
      </w:r>
    </w:p>
    <w:p>
      <w:pPr>
        <w:spacing w:after="0" w:line="24" w:lineRule="exact"/>
        <w:rPr>
          <w:rFonts w:ascii="Arial" w:cs="Arial" w:eastAsia="Arial" w:hAnsi="Arial"/>
          <w:sz w:val="16"/>
          <w:szCs w:val="16"/>
          <w:color w:val="auto"/>
        </w:rPr>
      </w:pPr>
    </w:p>
    <w:p>
      <w:pPr>
        <w:ind w:left="300" w:right="40" w:hanging="140"/>
        <w:spacing w:after="0" w:line="274" w:lineRule="auto"/>
        <w:tabs>
          <w:tab w:leader="none" w:pos="296"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In March 2023, we published our annual Sustainability Report, which is available on our website at </w:t>
      </w:r>
      <w:r>
        <w:rPr>
          <w:rFonts w:ascii="Arial" w:cs="Arial" w:eastAsia="Arial" w:hAnsi="Arial"/>
          <w:sz w:val="16"/>
          <w:szCs w:val="16"/>
          <w:u w:val="single" w:color="auto"/>
          <w:color w:val="auto"/>
        </w:rPr>
        <w:t>www.bwxt.com/about/corporate-citizenship</w:t>
      </w:r>
      <w:r>
        <w:rPr>
          <w:rFonts w:ascii="Arial" w:cs="Arial" w:eastAsia="Arial" w:hAnsi="Arial"/>
          <w:sz w:val="16"/>
          <w:szCs w:val="16"/>
          <w:color w:val="auto"/>
        </w:rPr>
        <w:t>, to provide enhanced transparency regarding our policies and practices as they relate to our corporate purpose, people, diversity and inclusion, health, safety, security, product impact, environment, governance, ethics, human rights, supply chain and community service.</w:t>
      </w:r>
    </w:p>
    <w:p>
      <w:pPr>
        <w:spacing w:after="0" w:line="10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2022 PERFORMANCE HIGHLIGHTS*</w:t>
      </w:r>
    </w:p>
    <w:p>
      <w:pPr>
        <w:spacing w:after="0" w:line="84" w:lineRule="exact"/>
        <w:rPr>
          <w:sz w:val="20"/>
          <w:szCs w:val="20"/>
          <w:color w:val="auto"/>
        </w:rPr>
      </w:pPr>
    </w:p>
    <w:p>
      <w:pPr>
        <w:ind w:left="300" w:hanging="140"/>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Consolidated revenue was over $2.2 billion, a 5% increase over the prior year.</w:t>
      </w:r>
    </w:p>
    <w:p>
      <w:pPr>
        <w:spacing w:after="0" w:line="96" w:lineRule="exact"/>
        <w:rPr>
          <w:rFonts w:ascii="Arial" w:cs="Arial" w:eastAsia="Arial" w:hAnsi="Arial"/>
          <w:sz w:val="16"/>
          <w:szCs w:val="16"/>
          <w:color w:val="auto"/>
        </w:rPr>
      </w:pPr>
    </w:p>
    <w:p>
      <w:pPr>
        <w:ind w:left="300" w:hanging="140"/>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income and adjusted EBITDA were $238.6 million and $439.4 million, respectively.</w:t>
      </w:r>
    </w:p>
    <w:p>
      <w:pPr>
        <w:spacing w:after="0" w:line="96" w:lineRule="exact"/>
        <w:rPr>
          <w:rFonts w:ascii="Arial" w:cs="Arial" w:eastAsia="Arial" w:hAnsi="Arial"/>
          <w:sz w:val="16"/>
          <w:szCs w:val="16"/>
          <w:color w:val="auto"/>
        </w:rPr>
      </w:pPr>
    </w:p>
    <w:p>
      <w:pPr>
        <w:ind w:left="300" w:hanging="140"/>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GAAP and non-GAAP earnings per share were $2.60 and $3.13, respectively.</w:t>
      </w:r>
    </w:p>
    <w:p>
      <w:pPr>
        <w:spacing w:after="0" w:line="83" w:lineRule="exact"/>
        <w:rPr>
          <w:rFonts w:ascii="Arial" w:cs="Arial" w:eastAsia="Arial" w:hAnsi="Arial"/>
          <w:sz w:val="16"/>
          <w:szCs w:val="16"/>
          <w:color w:val="auto"/>
        </w:rPr>
      </w:pPr>
    </w:p>
    <w:p>
      <w:pPr>
        <w:ind w:left="300" w:hanging="140"/>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 2022, we returned $81.1 million to stockholders in the form of dividends.</w:t>
      </w:r>
    </w:p>
    <w:p>
      <w:pPr>
        <w:spacing w:after="0" w:line="96" w:lineRule="exact"/>
        <w:rPr>
          <w:rFonts w:ascii="Arial" w:cs="Arial" w:eastAsia="Arial" w:hAnsi="Arial"/>
          <w:sz w:val="16"/>
          <w:szCs w:val="16"/>
          <w:color w:val="auto"/>
        </w:rPr>
      </w:pPr>
    </w:p>
    <w:p>
      <w:pPr>
        <w:ind w:left="300" w:hanging="140"/>
        <w:spacing w:after="0"/>
        <w:tabs>
          <w:tab w:leader="none" w:pos="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 of December 31, 2022, our backlog was $4.1 billion.</w:t>
      </w:r>
    </w:p>
    <w:p>
      <w:pPr>
        <w:spacing w:after="0" w:line="202" w:lineRule="exact"/>
        <w:rPr>
          <w:rFonts w:ascii="Arial" w:cs="Arial" w:eastAsia="Arial" w:hAnsi="Arial"/>
          <w:sz w:val="16"/>
          <w:szCs w:val="16"/>
          <w:color w:val="auto"/>
        </w:rPr>
      </w:pPr>
    </w:p>
    <w:p>
      <w:pPr>
        <w:ind w:left="380" w:right="20"/>
        <w:spacing w:after="0" w:line="235" w:lineRule="auto"/>
        <w:rPr>
          <w:rFonts w:ascii="Arial" w:cs="Arial" w:eastAsia="Arial" w:hAnsi="Arial"/>
          <w:sz w:val="16"/>
          <w:szCs w:val="16"/>
          <w:color w:val="auto"/>
        </w:rPr>
      </w:pPr>
      <w:r>
        <w:rPr>
          <w:rFonts w:ascii="Arial" w:cs="Arial" w:eastAsia="Arial" w:hAnsi="Arial"/>
          <w:sz w:val="13"/>
          <w:szCs w:val="13"/>
          <w:i w:val="1"/>
          <w:iCs w:val="1"/>
          <w:color w:val="auto"/>
        </w:rPr>
        <w:t>* Please refer to Appendix A, "Reconciliation of Reported (GAAP) to Adjusted (Non-GAAP) Results," for a reconciliation of adjusted results, including adjusted EBITDA and non-GAAP earnings per share, to reported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(iv) </w:t>
      </w:r>
      <w:r>
        <w:rPr>
          <w:sz w:val="1"/>
          <w:szCs w:val="1"/>
          <w:color w:val="auto"/>
        </w:rPr>
        <w:drawing>
          <wp:inline distT="0" distB="0" distL="0" distR="0">
            <wp:extent cx="401955" cy="16256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0900"/>
          </w:cols>
          <w:pgMar w:left="320" w:top="123" w:right="679" w:bottom="1440" w:gutter="0" w:footer="0" w:header="0"/>
        </w:sectPr>
      </w:pPr>
    </w:p>
    <w:bookmarkStart w:id="9" w:name="page10"/>
    <w:bookmarkEnd w:id="9"/>
    <w:p>
      <w:pPr>
        <w:ind w:left="906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7150735" cy="58026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0735" cy="580263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STOCKHOLDER RETURN</w:t>
      </w:r>
    </w:p>
    <w:p>
      <w:pPr>
        <w:spacing w:after="0" w:line="96"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The following graph depicts the cumulative total stockholder return of BWXT for the one, three and five years ended December 31, 2022 relative to those of the S&amp;P 500 Index ("S&amp;P 500"), the S&amp;P Aerospace and Defense Select Index ("S&amp;P A&amp;D Select") and our custom compensation peer group for 2022. See "Section 4: Other Benefits and Practices" in Compensation Discussion and Analysis for information on our peer group.</w:t>
      </w:r>
    </w:p>
    <w:p>
      <w:pPr>
        <w:spacing w:after="0" w:line="48"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One-Year, Three-Year and Five-Year Total Stockholder Return as of December 31, 2022</w:t>
      </w:r>
      <w:r>
        <w:rPr>
          <w:rFonts w:ascii="Arial" w:cs="Arial" w:eastAsia="Arial" w:hAnsi="Arial"/>
          <w:sz w:val="21"/>
          <w:szCs w:val="21"/>
          <w:b w:val="1"/>
          <w:bCs w:val="1"/>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940" w:right="860" w:hanging="283"/>
        <w:spacing w:after="0" w:line="289" w:lineRule="auto"/>
        <w:tabs>
          <w:tab w:leader="none" w:pos="951" w:val="left"/>
        </w:tabs>
        <w:numPr>
          <w:ilvl w:val="0"/>
          <w:numId w:val="13"/>
        </w:numPr>
        <w:rPr>
          <w:rFonts w:ascii="Arial" w:cs="Arial" w:eastAsia="Arial" w:hAnsi="Arial"/>
          <w:sz w:val="13"/>
          <w:szCs w:val="13"/>
          <w:i w:val="1"/>
          <w:iCs w:val="1"/>
          <w:color w:val="auto"/>
        </w:rPr>
      </w:pPr>
      <w:r>
        <w:rPr>
          <w:rFonts w:ascii="Arial" w:cs="Arial" w:eastAsia="Arial" w:hAnsi="Arial"/>
          <w:sz w:val="13"/>
          <w:szCs w:val="13"/>
          <w:i w:val="1"/>
          <w:iCs w:val="1"/>
          <w:color w:val="auto"/>
        </w:rPr>
        <w:t>Measured by dividing (i) the sum of the cumulative amount of dividends for the measurement period, assuming dividend reinvestment, and the difference between the applicable share price at the end and the beginning of the measurement period by (ii) the share price at the beginning of the measurement period.</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AGENDA</w:t>
      </w:r>
    </w:p>
    <w:p>
      <w:pPr>
        <w:sectPr>
          <w:pgSz w:w="11900" w:h="16838" w:orient="portrait"/>
          <w:cols w:equalWidth="0" w:num="1">
            <w:col w:w="11100"/>
          </w:cols>
          <w:pgMar w:left="480" w:top="123" w:right="319" w:bottom="1440" w:gutter="0" w:footer="0" w:header="0"/>
        </w:sectPr>
      </w:pPr>
    </w:p>
    <w:p>
      <w:pPr>
        <w:spacing w:after="0" w:line="276" w:lineRule="exact"/>
        <w:rPr>
          <w:sz w:val="20"/>
          <w:szCs w:val="20"/>
          <w:color w:val="auto"/>
        </w:rPr>
      </w:pPr>
    </w:p>
    <w:p>
      <w:pPr>
        <w:ind w:left="420"/>
        <w:spacing w:after="0"/>
        <w:rPr>
          <w:sz w:val="20"/>
          <w:szCs w:val="20"/>
          <w:color w:val="auto"/>
        </w:rPr>
      </w:pPr>
      <w:r>
        <w:rPr>
          <w:rFonts w:ascii="Arial" w:cs="Arial" w:eastAsia="Arial" w:hAnsi="Arial"/>
          <w:sz w:val="13"/>
          <w:szCs w:val="13"/>
          <w:b w:val="1"/>
          <w:bCs w:val="1"/>
          <w:color w:val="FFFFFF"/>
        </w:rPr>
        <w:t>Proposal</w:t>
      </w:r>
    </w:p>
    <w:p>
      <w:pPr>
        <w:spacing w:after="0" w:line="195" w:lineRule="exact"/>
        <w:rPr>
          <w:sz w:val="20"/>
          <w:szCs w:val="20"/>
          <w:color w:val="auto"/>
        </w:rPr>
      </w:pPr>
    </w:p>
    <w:p>
      <w:pPr>
        <w:ind w:left="440" w:hanging="278"/>
        <w:spacing w:after="0"/>
        <w:tabs>
          <w:tab w:leader="none" w:pos="4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Election of nine director nominees to one-year terms</w:t>
      </w:r>
    </w:p>
    <w:p>
      <w:pPr>
        <w:spacing w:after="0" w:line="206" w:lineRule="exact"/>
        <w:rPr>
          <w:sz w:val="20"/>
          <w:szCs w:val="20"/>
          <w:color w:val="auto"/>
        </w:rPr>
      </w:pPr>
    </w:p>
    <w:p>
      <w:pPr>
        <w:ind w:left="440" w:hanging="278"/>
        <w:spacing w:after="0"/>
        <w:tabs>
          <w:tab w:leader="none" w:pos="4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Advisory vote on the compensation of our named executive officers</w:t>
      </w:r>
    </w:p>
    <w:p>
      <w:pPr>
        <w:spacing w:after="0" w:line="72" w:lineRule="exact"/>
        <w:rPr>
          <w:sz w:val="20"/>
          <w:szCs w:val="20"/>
          <w:color w:val="auto"/>
        </w:rPr>
      </w:pPr>
    </w:p>
    <w:p>
      <w:pPr>
        <w:ind w:left="440" w:right="460" w:hanging="278"/>
        <w:spacing w:after="0" w:line="181" w:lineRule="auto"/>
        <w:tabs>
          <w:tab w:leader="none" w:pos="440" w:val="left"/>
        </w:tabs>
        <w:numPr>
          <w:ilvl w:val="0"/>
          <w:numId w:val="16"/>
        </w:numPr>
        <w:rPr>
          <w:rFonts w:ascii="Arial" w:cs="Arial" w:eastAsia="Arial" w:hAnsi="Arial"/>
          <w:sz w:val="28"/>
          <w:szCs w:val="28"/>
          <w:color w:val="auto"/>
          <w:vertAlign w:val="subscript"/>
        </w:rPr>
      </w:pPr>
      <w:r>
        <w:rPr>
          <w:rFonts w:ascii="Arial" w:cs="Arial" w:eastAsia="Arial" w:hAnsi="Arial"/>
          <w:sz w:val="15"/>
          <w:szCs w:val="15"/>
          <w:color w:val="auto"/>
        </w:rPr>
        <w:t>Advisory vote on the frequency of the advisory vote on the compensation of our named executive officers</w:t>
      </w:r>
    </w:p>
    <w:p>
      <w:pPr>
        <w:spacing w:after="0" w:line="53" w:lineRule="exact"/>
        <w:rPr>
          <w:sz w:val="20"/>
          <w:szCs w:val="20"/>
          <w:color w:val="auto"/>
        </w:rPr>
      </w:pPr>
    </w:p>
    <w:p>
      <w:pPr>
        <w:ind w:left="440" w:hanging="278"/>
        <w:spacing w:after="0" w:line="181" w:lineRule="auto"/>
        <w:tabs>
          <w:tab w:leader="none" w:pos="440" w:val="left"/>
        </w:tabs>
        <w:numPr>
          <w:ilvl w:val="0"/>
          <w:numId w:val="17"/>
        </w:numPr>
        <w:rPr>
          <w:rFonts w:ascii="Arial" w:cs="Arial" w:eastAsia="Arial" w:hAnsi="Arial"/>
          <w:sz w:val="28"/>
          <w:szCs w:val="28"/>
          <w:color w:val="auto"/>
          <w:vertAlign w:val="subscript"/>
        </w:rPr>
      </w:pPr>
      <w:r>
        <w:rPr>
          <w:rFonts w:ascii="Arial" w:cs="Arial" w:eastAsia="Arial" w:hAnsi="Arial"/>
          <w:sz w:val="15"/>
          <w:szCs w:val="15"/>
          <w:color w:val="auto"/>
        </w:rPr>
        <w:t>Ratification of Deloitte &amp; Touche LLP as our independent registered public accounting firm for the fiscal year ending December 31, 2023</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MATTERS</w:t>
      </w:r>
    </w:p>
    <w:p>
      <w:pPr>
        <w:spacing w:after="0" w:line="20" w:lineRule="exact"/>
        <w:rPr>
          <w:sz w:val="20"/>
          <w:szCs w:val="20"/>
          <w:color w:val="auto"/>
        </w:rPr>
      </w:pPr>
      <w:r>
        <w:rPr>
          <w:sz w:val="20"/>
          <w:szCs w:val="20"/>
          <w:color w:val="auto"/>
        </w:rPr>
        <w:br w:type="column"/>
      </w:r>
    </w:p>
    <w:p>
      <w:pPr>
        <w:spacing w:after="0" w:line="1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Borders>
              <w:right w:val="single" w:sz="8" w:color="auto"/>
            </w:tcBorders>
          </w:tcPr>
          <w:p>
            <w:pPr>
              <w:jc w:val="center"/>
              <w:ind w:right="483"/>
              <w:spacing w:after="0"/>
              <w:rPr>
                <w:sz w:val="20"/>
                <w:szCs w:val="20"/>
                <w:color w:val="auto"/>
              </w:rPr>
            </w:pPr>
            <w:r>
              <w:rPr>
                <w:rFonts w:ascii="Arial" w:cs="Arial" w:eastAsia="Arial" w:hAnsi="Arial"/>
                <w:sz w:val="13"/>
                <w:szCs w:val="13"/>
                <w:b w:val="1"/>
                <w:bCs w:val="1"/>
                <w:color w:val="FFFFFF"/>
              </w:rPr>
              <w:t>Board Vote</w:t>
            </w:r>
          </w:p>
        </w:tc>
        <w:tc>
          <w:tcPr>
            <w:tcW w:w="1120" w:type="dxa"/>
            <w:vAlign w:val="bottom"/>
            <w:vMerge w:val="restart"/>
          </w:tcPr>
          <w:p>
            <w:pPr>
              <w:ind w:left="120"/>
              <w:spacing w:after="0"/>
              <w:rPr>
                <w:sz w:val="20"/>
                <w:szCs w:val="20"/>
                <w:color w:val="auto"/>
              </w:rPr>
            </w:pPr>
            <w:r>
              <w:rPr>
                <w:rFonts w:ascii="Arial" w:cs="Arial" w:eastAsia="Arial" w:hAnsi="Arial"/>
                <w:sz w:val="13"/>
                <w:szCs w:val="13"/>
                <w:b w:val="1"/>
                <w:bCs w:val="1"/>
                <w:color w:val="FFFFFF"/>
              </w:rPr>
              <w:t>Page Reference</w:t>
            </w:r>
          </w:p>
        </w:tc>
        <w:tc>
          <w:tcPr>
            <w:tcW w:w="0" w:type="dxa"/>
            <w:vAlign w:val="bottom"/>
          </w:tcPr>
          <w:p>
            <w:pPr>
              <w:spacing w:after="0"/>
              <w:rPr>
                <w:sz w:val="1"/>
                <w:szCs w:val="1"/>
                <w:color w:val="auto"/>
              </w:rPr>
            </w:pPr>
          </w:p>
        </w:tc>
      </w:tr>
      <w:tr>
        <w:trPr>
          <w:trHeight w:val="171"/>
        </w:trPr>
        <w:tc>
          <w:tcPr>
            <w:tcW w:w="1840" w:type="dxa"/>
            <w:vAlign w:val="bottom"/>
            <w:tcBorders>
              <w:right w:val="single" w:sz="8" w:color="auto"/>
            </w:tcBorders>
          </w:tcPr>
          <w:p>
            <w:pPr>
              <w:jc w:val="center"/>
              <w:ind w:right="483"/>
              <w:spacing w:after="0"/>
              <w:rPr>
                <w:sz w:val="20"/>
                <w:szCs w:val="20"/>
                <w:color w:val="auto"/>
              </w:rPr>
            </w:pPr>
            <w:r>
              <w:rPr>
                <w:rFonts w:ascii="Arial" w:cs="Arial" w:eastAsia="Arial" w:hAnsi="Arial"/>
                <w:sz w:val="13"/>
                <w:szCs w:val="13"/>
                <w:b w:val="1"/>
                <w:bCs w:val="1"/>
                <w:color w:val="FFFFFF"/>
                <w:w w:val="98"/>
              </w:rPr>
              <w:t>Recommendation</w:t>
            </w: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7"/>
        </w:trPr>
        <w:tc>
          <w:tcPr>
            <w:tcW w:w="1840" w:type="dxa"/>
            <w:vAlign w:val="bottom"/>
          </w:tcPr>
          <w:p>
            <w:pPr>
              <w:jc w:val="center"/>
              <w:ind w:right="503"/>
              <w:spacing w:after="0"/>
              <w:rPr>
                <w:sz w:val="20"/>
                <w:szCs w:val="20"/>
                <w:color w:val="auto"/>
              </w:rPr>
            </w:pPr>
            <w:r>
              <w:rPr>
                <w:rFonts w:ascii="Arial" w:cs="Arial" w:eastAsia="Arial" w:hAnsi="Arial"/>
                <w:sz w:val="16"/>
                <w:szCs w:val="16"/>
                <w:b w:val="1"/>
                <w:bCs w:val="1"/>
                <w:color w:val="BF2115"/>
              </w:rPr>
              <w:t>FOR</w:t>
            </w:r>
          </w:p>
        </w:tc>
        <w:tc>
          <w:tcPr>
            <w:tcW w:w="1120" w:type="dxa"/>
            <w:vAlign w:val="bottom"/>
            <w:vMerge w:val="restart"/>
          </w:tcPr>
          <w:p>
            <w:pPr>
              <w:jc w:val="center"/>
              <w:ind w:left="22"/>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89"/>
        </w:trPr>
        <w:tc>
          <w:tcPr>
            <w:tcW w:w="1840" w:type="dxa"/>
            <w:vAlign w:val="bottom"/>
            <w:vMerge w:val="restart"/>
          </w:tcPr>
          <w:p>
            <w:pPr>
              <w:jc w:val="center"/>
              <w:ind w:right="503"/>
              <w:spacing w:after="0"/>
              <w:rPr>
                <w:sz w:val="20"/>
                <w:szCs w:val="20"/>
                <w:color w:val="auto"/>
              </w:rPr>
            </w:pPr>
            <w:r>
              <w:rPr>
                <w:rFonts w:ascii="Arial" w:cs="Arial" w:eastAsia="Arial" w:hAnsi="Arial"/>
                <w:sz w:val="16"/>
                <w:szCs w:val="16"/>
                <w:b w:val="1"/>
                <w:bCs w:val="1"/>
                <w:color w:val="BF2115"/>
              </w:rPr>
              <w:t>EACH NOMINEE</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84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6"/>
        </w:trPr>
        <w:tc>
          <w:tcPr>
            <w:tcW w:w="1840" w:type="dxa"/>
            <w:vAlign w:val="bottom"/>
          </w:tcPr>
          <w:p>
            <w:pPr>
              <w:jc w:val="center"/>
              <w:ind w:right="503"/>
              <w:spacing w:after="0"/>
              <w:rPr>
                <w:sz w:val="20"/>
                <w:szCs w:val="20"/>
                <w:color w:val="auto"/>
              </w:rPr>
            </w:pPr>
            <w:r>
              <w:rPr>
                <w:rFonts w:ascii="Arial" w:cs="Arial" w:eastAsia="Arial" w:hAnsi="Arial"/>
                <w:sz w:val="16"/>
                <w:szCs w:val="16"/>
                <w:b w:val="1"/>
                <w:bCs w:val="1"/>
                <w:color w:val="BF2115"/>
              </w:rPr>
              <w:t>FOR</w:t>
            </w:r>
          </w:p>
        </w:tc>
        <w:tc>
          <w:tcPr>
            <w:tcW w:w="1120" w:type="dxa"/>
            <w:vAlign w:val="bottom"/>
          </w:tcPr>
          <w:p>
            <w:pPr>
              <w:jc w:val="center"/>
              <w:ind w:left="22"/>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41"/>
        </w:trPr>
        <w:tc>
          <w:tcPr>
            <w:tcW w:w="1840" w:type="dxa"/>
            <w:vAlign w:val="bottom"/>
          </w:tcPr>
          <w:p>
            <w:pPr>
              <w:jc w:val="center"/>
              <w:ind w:right="483"/>
              <w:spacing w:after="0"/>
              <w:rPr>
                <w:sz w:val="20"/>
                <w:szCs w:val="20"/>
                <w:color w:val="auto"/>
              </w:rPr>
            </w:pPr>
            <w:r>
              <w:rPr>
                <w:rFonts w:ascii="Arial" w:cs="Arial" w:eastAsia="Arial" w:hAnsi="Arial"/>
                <w:sz w:val="16"/>
                <w:szCs w:val="16"/>
                <w:b w:val="1"/>
                <w:bCs w:val="1"/>
                <w:color w:val="BF2115"/>
              </w:rPr>
              <w:t>1 YEAR</w:t>
            </w:r>
          </w:p>
        </w:tc>
        <w:tc>
          <w:tcPr>
            <w:tcW w:w="1120" w:type="dxa"/>
            <w:vAlign w:val="bottom"/>
          </w:tcPr>
          <w:p>
            <w:pPr>
              <w:jc w:val="center"/>
              <w:ind w:left="22"/>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426"/>
        </w:trPr>
        <w:tc>
          <w:tcPr>
            <w:tcW w:w="1840" w:type="dxa"/>
            <w:vAlign w:val="bottom"/>
          </w:tcPr>
          <w:p>
            <w:pPr>
              <w:jc w:val="center"/>
              <w:ind w:right="503"/>
              <w:spacing w:after="0"/>
              <w:rPr>
                <w:sz w:val="20"/>
                <w:szCs w:val="20"/>
                <w:color w:val="auto"/>
              </w:rPr>
            </w:pPr>
            <w:r>
              <w:rPr>
                <w:rFonts w:ascii="Arial" w:cs="Arial" w:eastAsia="Arial" w:hAnsi="Arial"/>
                <w:sz w:val="16"/>
                <w:szCs w:val="16"/>
                <w:b w:val="1"/>
                <w:bCs w:val="1"/>
                <w:color w:val="BF2115"/>
              </w:rPr>
              <w:t>FOR</w:t>
            </w:r>
          </w:p>
        </w:tc>
        <w:tc>
          <w:tcPr>
            <w:tcW w:w="1120" w:type="dxa"/>
            <w:vAlign w:val="bottom"/>
          </w:tcPr>
          <w:p>
            <w:pPr>
              <w:jc w:val="center"/>
              <w:ind w:left="22"/>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bl>
    <w:p>
      <w:pPr>
        <w:spacing w:after="0" w:line="495" w:lineRule="exact"/>
        <w:rPr>
          <w:sz w:val="20"/>
          <w:szCs w:val="20"/>
          <w:color w:val="auto"/>
        </w:rPr>
      </w:pPr>
    </w:p>
    <w:p>
      <w:pPr>
        <w:sectPr>
          <w:pgSz w:w="11900" w:h="16838" w:orient="portrait"/>
          <w:cols w:equalWidth="0" w:num="2">
            <w:col w:w="7120" w:space="640"/>
            <w:col w:w="3340"/>
          </w:cols>
          <w:pgMar w:left="480" w:top="123" w:right="319" w:bottom="1440" w:gutter="0" w:footer="0" w:header="0"/>
          <w:type w:val="continuous"/>
        </w:sectPr>
      </w:pPr>
    </w:p>
    <w:p>
      <w:pPr>
        <w:ind w:right="220"/>
        <w:spacing w:after="0" w:line="274" w:lineRule="auto"/>
        <w:rPr>
          <w:sz w:val="20"/>
          <w:szCs w:val="20"/>
          <w:color w:val="auto"/>
        </w:rPr>
      </w:pPr>
      <w:r>
        <w:rPr>
          <w:rFonts w:ascii="Arial" w:cs="Arial" w:eastAsia="Arial" w:hAnsi="Arial"/>
          <w:sz w:val="16"/>
          <w:szCs w:val="16"/>
          <w:color w:val="auto"/>
        </w:rPr>
        <w:t xml:space="preserve">Your vote is important. Please submit your proxy promptly so your shares can be represented and voted, even if you plan to participate in the Annual Meeting. You may submit a proxy to have your shares voted via the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 xml:space="preserve"> or via telephone at 1-800-690-6903; by requesting a printed copy of the proxy materials and using the enclosed proxy card; or by voting your shares during the Annual Meeting.</w:t>
      </w:r>
    </w:p>
    <w:p>
      <w:pPr>
        <w:spacing w:after="0" w:line="200" w:lineRule="exact"/>
        <w:rPr>
          <w:sz w:val="20"/>
          <w:szCs w:val="20"/>
          <w:color w:val="auto"/>
        </w:rPr>
      </w:pPr>
    </w:p>
    <w:p>
      <w:pPr>
        <w:spacing w:after="0" w:line="392" w:lineRule="exact"/>
        <w:rPr>
          <w:sz w:val="20"/>
          <w:szCs w:val="20"/>
          <w:color w:val="auto"/>
        </w:rPr>
      </w:pPr>
    </w:p>
    <w:p>
      <w:pPr>
        <w:jc w:val="right"/>
        <w:spacing w:after="0"/>
        <w:rPr>
          <w:sz w:val="20"/>
          <w:szCs w:val="20"/>
          <w:color w:val="auto"/>
        </w:rPr>
      </w:pPr>
      <w:r>
        <w:rPr>
          <w:sz w:val="1"/>
          <w:szCs w:val="1"/>
          <w:color w:val="auto"/>
        </w:rPr>
        <w:drawing>
          <wp:inline distT="0" distB="0" distL="0" distR="0">
            <wp:extent cx="401955" cy="16256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89535</wp:posOffset>
            </wp:positionV>
            <wp:extent cx="7171055"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90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150735" cy="57486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0735" cy="574865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PROPOSAL 1: ELECTION OF DIRECTOR NOMINEES</w:t>
      </w:r>
    </w:p>
    <w:p>
      <w:pPr>
        <w:spacing w:after="0" w:line="96" w:lineRule="exact"/>
        <w:rPr>
          <w:sz w:val="20"/>
          <w:szCs w:val="20"/>
          <w:color w:val="auto"/>
        </w:rPr>
      </w:pPr>
    </w:p>
    <w:p>
      <w:pPr>
        <w:ind w:left="160" w:right="540"/>
        <w:spacing w:after="0" w:line="294" w:lineRule="auto"/>
        <w:rPr>
          <w:sz w:val="20"/>
          <w:szCs w:val="20"/>
          <w:color w:val="auto"/>
        </w:rPr>
      </w:pPr>
      <w:r>
        <w:rPr>
          <w:rFonts w:ascii="Arial" w:cs="Arial" w:eastAsia="Arial" w:hAnsi="Arial"/>
          <w:sz w:val="16"/>
          <w:szCs w:val="16"/>
          <w:color w:val="auto"/>
        </w:rPr>
        <w:t>The Board of Directors has nominated nine directors to serve a one-year term expiring at the 2024 annual meeting of stockholders and until their successors are duly elected and qualified. The following table provides summary information about each director nominee.</w:t>
      </w:r>
    </w:p>
    <w:p>
      <w:pPr>
        <w:spacing w:after="0" w:line="42" w:lineRule="exact"/>
        <w:rPr>
          <w:sz w:val="20"/>
          <w:szCs w:val="20"/>
          <w:color w:val="auto"/>
        </w:rPr>
      </w:pPr>
    </w:p>
    <w:tbl>
      <w:tblPr>
        <w:tblLayout w:type="fixed"/>
        <w:tblInd w:w="160" w:type="dxa"/>
        <w:tblCellMar>
          <w:top w:w="0" w:type="dxa"/>
          <w:left w:w="0" w:type="dxa"/>
          <w:bottom w:w="0" w:type="dxa"/>
          <w:right w:w="0" w:type="dxa"/>
        </w:tblCellMar>
      </w:tblPr>
      <w:tr>
        <w:trPr>
          <w:trHeight w:val="149"/>
        </w:trPr>
        <w:tc>
          <w:tcPr>
            <w:tcW w:w="1900" w:type="dxa"/>
            <w:vAlign w:val="bottom"/>
            <w:vMerge w:val="restart"/>
            <w:shd w:val="clear" w:color="auto" w:fill="000000"/>
          </w:tcPr>
          <w:p>
            <w:pPr>
              <w:ind w:left="460"/>
              <w:spacing w:after="0"/>
              <w:rPr>
                <w:sz w:val="20"/>
                <w:szCs w:val="20"/>
                <w:color w:val="auto"/>
              </w:rPr>
            </w:pPr>
            <w:r>
              <w:rPr>
                <w:rFonts w:ascii="Arial" w:cs="Arial" w:eastAsia="Arial" w:hAnsi="Arial"/>
                <w:sz w:val="13"/>
                <w:szCs w:val="13"/>
                <w:b w:val="1"/>
                <w:bCs w:val="1"/>
                <w:color w:val="FFFFFF"/>
              </w:rPr>
              <w:t>Director Nominee</w:t>
            </w:r>
          </w:p>
        </w:tc>
        <w:tc>
          <w:tcPr>
            <w:tcW w:w="820" w:type="dxa"/>
            <w:vAlign w:val="bottom"/>
            <w:vMerge w:val="restart"/>
            <w:shd w:val="clear" w:color="auto" w:fill="000000"/>
          </w:tcPr>
          <w:p>
            <w:pPr>
              <w:jc w:val="center"/>
              <w:ind w:left="68"/>
              <w:spacing w:after="0"/>
              <w:rPr>
                <w:sz w:val="20"/>
                <w:szCs w:val="20"/>
                <w:color w:val="auto"/>
              </w:rPr>
            </w:pPr>
            <w:r>
              <w:rPr>
                <w:rFonts w:ascii="Arial" w:cs="Arial" w:eastAsia="Arial" w:hAnsi="Arial"/>
                <w:sz w:val="13"/>
                <w:szCs w:val="13"/>
                <w:b w:val="1"/>
                <w:bCs w:val="1"/>
                <w:color w:val="FFFFFF"/>
                <w:w w:val="97"/>
              </w:rPr>
              <w:t>Age</w:t>
            </w:r>
          </w:p>
        </w:tc>
        <w:tc>
          <w:tcPr>
            <w:tcW w:w="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Director</w:t>
            </w:r>
          </w:p>
        </w:tc>
        <w:tc>
          <w:tcPr>
            <w:tcW w:w="240" w:type="dxa"/>
            <w:vAlign w:val="bottom"/>
            <w:shd w:val="clear" w:color="auto" w:fill="000000"/>
          </w:tcPr>
          <w:p>
            <w:pPr>
              <w:spacing w:after="0"/>
              <w:rPr>
                <w:sz w:val="13"/>
                <w:szCs w:val="13"/>
                <w:color w:val="auto"/>
              </w:rPr>
            </w:pPr>
          </w:p>
        </w:tc>
        <w:tc>
          <w:tcPr>
            <w:tcW w:w="4880" w:type="dxa"/>
            <w:vAlign w:val="bottom"/>
            <w:vMerge w:val="restart"/>
            <w:shd w:val="clear" w:color="auto" w:fill="000000"/>
          </w:tcPr>
          <w:p>
            <w:pPr>
              <w:ind w:left="1720"/>
              <w:spacing w:after="0"/>
              <w:rPr>
                <w:sz w:val="20"/>
                <w:szCs w:val="20"/>
                <w:color w:val="auto"/>
              </w:rPr>
            </w:pPr>
            <w:r>
              <w:rPr>
                <w:rFonts w:ascii="Arial" w:cs="Arial" w:eastAsia="Arial" w:hAnsi="Arial"/>
                <w:sz w:val="13"/>
                <w:szCs w:val="13"/>
                <w:b w:val="1"/>
                <w:bCs w:val="1"/>
                <w:color w:val="FFFFFF"/>
              </w:rPr>
              <w:t>Principal Occupation</w:t>
            </w:r>
          </w:p>
        </w:tc>
        <w:tc>
          <w:tcPr>
            <w:tcW w:w="160" w:type="dxa"/>
            <w:vAlign w:val="bottom"/>
            <w:shd w:val="clear" w:color="auto" w:fill="000000"/>
          </w:tcPr>
          <w:p>
            <w:pPr>
              <w:spacing w:after="0"/>
              <w:rPr>
                <w:sz w:val="13"/>
                <w:szCs w:val="13"/>
                <w:color w:val="auto"/>
              </w:rPr>
            </w:pPr>
          </w:p>
        </w:tc>
        <w:tc>
          <w:tcPr>
            <w:tcW w:w="2020" w:type="dxa"/>
            <w:vAlign w:val="bottom"/>
            <w:vMerge w:val="restart"/>
            <w:shd w:val="clear" w:color="auto" w:fill="000000"/>
          </w:tcPr>
          <w:p>
            <w:pPr>
              <w:ind w:left="560"/>
              <w:spacing w:after="0"/>
              <w:rPr>
                <w:sz w:val="20"/>
                <w:szCs w:val="20"/>
                <w:color w:val="auto"/>
              </w:rPr>
            </w:pPr>
            <w:r>
              <w:rPr>
                <w:rFonts w:ascii="Arial" w:cs="Arial" w:eastAsia="Arial" w:hAnsi="Arial"/>
                <w:sz w:val="13"/>
                <w:szCs w:val="13"/>
                <w:b w:val="1"/>
                <w:bCs w:val="1"/>
                <w:color w:val="FFFFFF"/>
              </w:rPr>
              <w:t>Committee(s)</w:t>
            </w:r>
          </w:p>
        </w:tc>
        <w:tc>
          <w:tcPr>
            <w:tcW w:w="0" w:type="dxa"/>
            <w:vAlign w:val="bottom"/>
          </w:tcPr>
          <w:p>
            <w:pPr>
              <w:spacing w:after="0"/>
              <w:rPr>
                <w:sz w:val="1"/>
                <w:szCs w:val="1"/>
                <w:color w:val="auto"/>
              </w:rPr>
            </w:pPr>
          </w:p>
        </w:tc>
      </w:tr>
      <w:tr>
        <w:trPr>
          <w:trHeight w:val="166"/>
        </w:trPr>
        <w:tc>
          <w:tcPr>
            <w:tcW w:w="1900" w:type="dxa"/>
            <w:vAlign w:val="bottom"/>
            <w:vMerge w:val="continue"/>
            <w:shd w:val="clear" w:color="auto" w:fill="000000"/>
          </w:tcPr>
          <w:p>
            <w:pPr>
              <w:spacing w:after="0"/>
              <w:rPr>
                <w:sz w:val="14"/>
                <w:szCs w:val="14"/>
                <w:color w:val="auto"/>
              </w:rPr>
            </w:pPr>
          </w:p>
        </w:tc>
        <w:tc>
          <w:tcPr>
            <w:tcW w:w="820" w:type="dxa"/>
            <w:vAlign w:val="bottom"/>
            <w:vMerge w:val="continue"/>
            <w:shd w:val="clear" w:color="auto" w:fill="000000"/>
          </w:tcPr>
          <w:p>
            <w:pPr>
              <w:spacing w:after="0"/>
              <w:rPr>
                <w:sz w:val="14"/>
                <w:szCs w:val="14"/>
                <w:color w:val="auto"/>
              </w:rPr>
            </w:pPr>
          </w:p>
        </w:tc>
        <w:tc>
          <w:tcPr>
            <w:tcW w:w="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Since</w:t>
            </w:r>
          </w:p>
        </w:tc>
        <w:tc>
          <w:tcPr>
            <w:tcW w:w="240" w:type="dxa"/>
            <w:vAlign w:val="bottom"/>
            <w:shd w:val="clear" w:color="auto" w:fill="000000"/>
          </w:tcPr>
          <w:p>
            <w:pPr>
              <w:spacing w:after="0"/>
              <w:rPr>
                <w:sz w:val="14"/>
                <w:szCs w:val="14"/>
                <w:color w:val="auto"/>
              </w:rPr>
            </w:pPr>
          </w:p>
        </w:tc>
        <w:tc>
          <w:tcPr>
            <w:tcW w:w="4880" w:type="dxa"/>
            <w:vAlign w:val="bottom"/>
            <w:vMerge w:val="continue"/>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2020" w:type="dxa"/>
            <w:vAlign w:val="bottom"/>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ind w:left="20"/>
              <w:spacing w:after="0" w:line="146" w:lineRule="exact"/>
              <w:rPr>
                <w:sz w:val="20"/>
                <w:szCs w:val="20"/>
                <w:color w:val="auto"/>
              </w:rPr>
            </w:pPr>
            <w:r>
              <w:rPr>
                <w:rFonts w:ascii="Arial" w:cs="Arial" w:eastAsia="Arial" w:hAnsi="Arial"/>
                <w:sz w:val="15"/>
                <w:szCs w:val="15"/>
                <w:color w:val="auto"/>
              </w:rPr>
              <w:t>Jan A. Bertsch</w:t>
            </w:r>
          </w:p>
        </w:tc>
        <w:tc>
          <w:tcPr>
            <w:tcW w:w="820" w:type="dxa"/>
            <w:vAlign w:val="bottom"/>
            <w:shd w:val="clear" w:color="auto" w:fill="DBDBDB"/>
          </w:tcPr>
          <w:p>
            <w:pPr>
              <w:jc w:val="center"/>
              <w:ind w:left="68"/>
              <w:spacing w:after="0" w:line="146" w:lineRule="exact"/>
              <w:rPr>
                <w:sz w:val="20"/>
                <w:szCs w:val="20"/>
                <w:color w:val="auto"/>
              </w:rPr>
            </w:pPr>
            <w:r>
              <w:rPr>
                <w:rFonts w:ascii="Arial" w:cs="Arial" w:eastAsia="Arial" w:hAnsi="Arial"/>
                <w:sz w:val="15"/>
                <w:szCs w:val="15"/>
                <w:color w:val="auto"/>
                <w:w w:val="95"/>
              </w:rPr>
              <w:t>66</w:t>
            </w:r>
          </w:p>
        </w:tc>
        <w:tc>
          <w:tcPr>
            <w:tcW w:w="880" w:type="dxa"/>
            <w:vAlign w:val="bottom"/>
            <w:shd w:val="clear" w:color="auto" w:fill="DBDBDB"/>
          </w:tcPr>
          <w:p>
            <w:pPr>
              <w:jc w:val="center"/>
              <w:spacing w:after="0" w:line="146" w:lineRule="exact"/>
              <w:rPr>
                <w:sz w:val="20"/>
                <w:szCs w:val="20"/>
                <w:color w:val="auto"/>
              </w:rPr>
            </w:pPr>
            <w:r>
              <w:rPr>
                <w:rFonts w:ascii="Arial" w:cs="Arial" w:eastAsia="Arial" w:hAnsi="Arial"/>
                <w:sz w:val="15"/>
                <w:szCs w:val="15"/>
                <w:color w:val="auto"/>
              </w:rPr>
              <w:t>2013</w:t>
            </w: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Former Chief Financial Officer, Owens-Illinois, Inc.</w:t>
            </w:r>
          </w:p>
        </w:tc>
        <w:tc>
          <w:tcPr>
            <w:tcW w:w="160" w:type="dxa"/>
            <w:vAlign w:val="bottom"/>
            <w:shd w:val="clear" w:color="auto" w:fill="DBDBDB"/>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i w:val="1"/>
                <w:iCs w:val="1"/>
                <w:color w:val="auto"/>
              </w:rPr>
              <w:t xml:space="preserve">Ex officio </w:t>
            </w:r>
            <w:r>
              <w:rPr>
                <w:rFonts w:ascii="Arial" w:cs="Arial" w:eastAsia="Arial" w:hAnsi="Arial"/>
                <w:sz w:val="15"/>
                <w:szCs w:val="15"/>
                <w:color w:val="auto"/>
              </w:rPr>
              <w:t>member of each</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color w:val="auto"/>
              </w:rPr>
              <w:t>Former Executive Vice President and Chief Financial Officer, Sigma-</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committee</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vMerge w:val="restart"/>
            <w:shd w:val="clear" w:color="auto" w:fill="DBDBDB"/>
          </w:tcPr>
          <w:p>
            <w:pPr>
              <w:ind w:left="160"/>
              <w:spacing w:after="0"/>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Aldrich Corporation</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vMerge w:val="continue"/>
            <w:shd w:val="clear" w:color="auto" w:fill="DBDBDB"/>
          </w:tcPr>
          <w:p>
            <w:pPr>
              <w:spacing w:after="0"/>
              <w:rPr>
                <w:sz w:val="16"/>
                <w:szCs w:val="16"/>
                <w:color w:val="auto"/>
              </w:rPr>
            </w:pPr>
          </w:p>
        </w:tc>
        <w:tc>
          <w:tcPr>
            <w:tcW w:w="4880" w:type="dxa"/>
            <w:vAlign w:val="bottom"/>
            <w:shd w:val="clear" w:color="auto" w:fill="DBDBDB"/>
          </w:tcPr>
          <w:p>
            <w:pPr>
              <w:ind w:left="40"/>
              <w:spacing w:after="0"/>
              <w:rPr>
                <w:sz w:val="20"/>
                <w:szCs w:val="20"/>
                <w:color w:val="auto"/>
              </w:rPr>
            </w:pPr>
            <w:r>
              <w:rPr>
                <w:rFonts w:ascii="Arial" w:cs="Arial" w:eastAsia="Arial" w:hAnsi="Arial"/>
                <w:sz w:val="15"/>
                <w:szCs w:val="15"/>
                <w:color w:val="auto"/>
                <w:w w:val="97"/>
              </w:rPr>
              <w:t>Former Vice President and Principal Accounting Officer, Borg Warner, Inc.</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00" w:type="dxa"/>
            <w:vAlign w:val="bottom"/>
          </w:tcPr>
          <w:p>
            <w:pPr>
              <w:ind w:left="20"/>
              <w:spacing w:after="0" w:line="146" w:lineRule="exact"/>
              <w:rPr>
                <w:sz w:val="20"/>
                <w:szCs w:val="20"/>
                <w:color w:val="auto"/>
              </w:rPr>
            </w:pPr>
            <w:r>
              <w:rPr>
                <w:rFonts w:ascii="Arial" w:cs="Arial" w:eastAsia="Arial" w:hAnsi="Arial"/>
                <w:sz w:val="15"/>
                <w:szCs w:val="15"/>
                <w:color w:val="auto"/>
              </w:rPr>
              <w:t>Gerhard F. Burbach</w:t>
            </w:r>
          </w:p>
        </w:tc>
        <w:tc>
          <w:tcPr>
            <w:tcW w:w="820" w:type="dxa"/>
            <w:vAlign w:val="bottom"/>
          </w:tcPr>
          <w:p>
            <w:pPr>
              <w:jc w:val="center"/>
              <w:ind w:left="68"/>
              <w:spacing w:after="0" w:line="146" w:lineRule="exact"/>
              <w:rPr>
                <w:sz w:val="20"/>
                <w:szCs w:val="20"/>
                <w:color w:val="auto"/>
              </w:rPr>
            </w:pPr>
            <w:r>
              <w:rPr>
                <w:rFonts w:ascii="Arial" w:cs="Arial" w:eastAsia="Arial" w:hAnsi="Arial"/>
                <w:sz w:val="15"/>
                <w:szCs w:val="15"/>
                <w:color w:val="auto"/>
                <w:w w:val="95"/>
              </w:rPr>
              <w:t>61</w:t>
            </w:r>
          </w:p>
        </w:tc>
        <w:tc>
          <w:tcPr>
            <w:tcW w:w="880" w:type="dxa"/>
            <w:vAlign w:val="bottom"/>
          </w:tcPr>
          <w:p>
            <w:pPr>
              <w:jc w:val="center"/>
              <w:spacing w:after="0" w:line="146" w:lineRule="exact"/>
              <w:rPr>
                <w:sz w:val="20"/>
                <w:szCs w:val="20"/>
                <w:color w:val="auto"/>
              </w:rPr>
            </w:pPr>
            <w:r>
              <w:rPr>
                <w:rFonts w:ascii="Arial" w:cs="Arial" w:eastAsia="Arial" w:hAnsi="Arial"/>
                <w:sz w:val="15"/>
                <w:szCs w:val="15"/>
                <w:color w:val="auto"/>
              </w:rPr>
              <w:t>2018</w:t>
            </w:r>
          </w:p>
        </w:tc>
        <w:tc>
          <w:tcPr>
            <w:tcW w:w="24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Former President, Chief Executive Officer and Director of Thoratec</w:t>
            </w:r>
          </w:p>
        </w:tc>
        <w:tc>
          <w:tcPr>
            <w:tcW w:w="160" w:type="dxa"/>
            <w:vAlign w:val="bottom"/>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tcPr>
          <w:p>
            <w:pPr>
              <w:ind w:left="40"/>
              <w:spacing w:after="0" w:line="146" w:lineRule="exact"/>
              <w:rPr>
                <w:sz w:val="20"/>
                <w:szCs w:val="20"/>
                <w:color w:val="auto"/>
              </w:rPr>
            </w:pPr>
            <w:r>
              <w:rPr>
                <w:rFonts w:ascii="Arial" w:cs="Arial" w:eastAsia="Arial" w:hAnsi="Arial"/>
                <w:sz w:val="15"/>
                <w:szCs w:val="15"/>
                <w:color w:val="auto"/>
              </w:rPr>
              <w:t>Compensation, Chair</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Corporation</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880" w:type="dxa"/>
            <w:vAlign w:val="bottom"/>
          </w:tcPr>
          <w:p>
            <w:pPr>
              <w:ind w:left="40"/>
              <w:spacing w:after="0" w:line="146" w:lineRule="exact"/>
              <w:rPr>
                <w:sz w:val="20"/>
                <w:szCs w:val="20"/>
                <w:color w:val="auto"/>
              </w:rPr>
            </w:pPr>
            <w:r>
              <w:rPr>
                <w:rFonts w:ascii="Arial" w:cs="Arial" w:eastAsia="Arial" w:hAnsi="Arial"/>
                <w:sz w:val="15"/>
                <w:szCs w:val="15"/>
                <w:color w:val="auto"/>
              </w:rPr>
              <w:t>Former leadership roles with Digirad Corporation, Philips Medical</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80" w:type="dxa"/>
            <w:vAlign w:val="bottom"/>
          </w:tcPr>
          <w:p>
            <w:pPr>
              <w:ind w:left="60"/>
              <w:spacing w:after="0"/>
              <w:rPr>
                <w:sz w:val="20"/>
                <w:szCs w:val="20"/>
                <w:color w:val="auto"/>
              </w:rPr>
            </w:pPr>
            <w:r>
              <w:rPr>
                <w:rFonts w:ascii="Arial" w:cs="Arial" w:eastAsia="Arial" w:hAnsi="Arial"/>
                <w:sz w:val="15"/>
                <w:szCs w:val="15"/>
                <w:color w:val="auto"/>
              </w:rPr>
              <w:t>Systems, ADAC Laboratories, McKinsey &amp; Company and CitiCorp</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DBDBDB"/>
          </w:tcPr>
          <w:p>
            <w:pPr>
              <w:ind w:left="20"/>
              <w:spacing w:after="0" w:line="148" w:lineRule="exact"/>
              <w:rPr>
                <w:sz w:val="20"/>
                <w:szCs w:val="20"/>
                <w:color w:val="auto"/>
              </w:rPr>
            </w:pPr>
            <w:r>
              <w:rPr>
                <w:rFonts w:ascii="Arial" w:cs="Arial" w:eastAsia="Arial" w:hAnsi="Arial"/>
                <w:sz w:val="15"/>
                <w:szCs w:val="15"/>
                <w:color w:val="auto"/>
              </w:rPr>
              <w:t>Rex D. Geveden</w:t>
            </w:r>
          </w:p>
        </w:tc>
        <w:tc>
          <w:tcPr>
            <w:tcW w:w="820" w:type="dxa"/>
            <w:vAlign w:val="bottom"/>
            <w:shd w:val="clear" w:color="auto" w:fill="DBDBDB"/>
          </w:tcPr>
          <w:p>
            <w:pPr>
              <w:jc w:val="center"/>
              <w:ind w:left="68"/>
              <w:spacing w:after="0" w:line="148" w:lineRule="exact"/>
              <w:rPr>
                <w:sz w:val="20"/>
                <w:szCs w:val="20"/>
                <w:color w:val="auto"/>
              </w:rPr>
            </w:pPr>
            <w:r>
              <w:rPr>
                <w:rFonts w:ascii="Arial" w:cs="Arial" w:eastAsia="Arial" w:hAnsi="Arial"/>
                <w:sz w:val="15"/>
                <w:szCs w:val="15"/>
                <w:color w:val="auto"/>
                <w:w w:val="95"/>
              </w:rPr>
              <w:t>62</w:t>
            </w:r>
          </w:p>
        </w:tc>
        <w:tc>
          <w:tcPr>
            <w:tcW w:w="880" w:type="dxa"/>
            <w:vAlign w:val="bottom"/>
            <w:shd w:val="clear" w:color="auto" w:fill="DBDBDB"/>
          </w:tcPr>
          <w:p>
            <w:pPr>
              <w:jc w:val="center"/>
              <w:spacing w:after="0" w:line="148" w:lineRule="exact"/>
              <w:rPr>
                <w:sz w:val="20"/>
                <w:szCs w:val="20"/>
                <w:color w:val="auto"/>
              </w:rPr>
            </w:pPr>
            <w:r>
              <w:rPr>
                <w:rFonts w:ascii="Arial" w:cs="Arial" w:eastAsia="Arial" w:hAnsi="Arial"/>
                <w:sz w:val="15"/>
                <w:szCs w:val="15"/>
                <w:color w:val="auto"/>
              </w:rPr>
              <w:t>2017</w:t>
            </w:r>
          </w:p>
        </w:tc>
        <w:tc>
          <w:tcPr>
            <w:tcW w:w="240" w:type="dxa"/>
            <w:vAlign w:val="bottom"/>
            <w:shd w:val="clear" w:color="auto" w:fill="DBDBDB"/>
          </w:tcPr>
          <w:p>
            <w:pPr>
              <w:ind w:left="160"/>
              <w:spacing w:after="0" w:line="148"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8" w:lineRule="exact"/>
              <w:rPr>
                <w:sz w:val="20"/>
                <w:szCs w:val="20"/>
                <w:color w:val="auto"/>
              </w:rPr>
            </w:pPr>
            <w:r>
              <w:rPr>
                <w:rFonts w:ascii="Arial" w:cs="Arial" w:eastAsia="Arial" w:hAnsi="Arial"/>
                <w:sz w:val="15"/>
                <w:szCs w:val="15"/>
                <w:color w:val="auto"/>
              </w:rPr>
              <w:t>President and Chief Executive Officer since 2017</w:t>
            </w:r>
          </w:p>
        </w:tc>
        <w:tc>
          <w:tcPr>
            <w:tcW w:w="160" w:type="dxa"/>
            <w:vAlign w:val="bottom"/>
            <w:shd w:val="clear" w:color="auto" w:fill="DBDBDB"/>
          </w:tcPr>
          <w:p>
            <w:pPr>
              <w:ind w:left="80"/>
              <w:spacing w:after="0" w:line="148" w:lineRule="exact"/>
              <w:rPr>
                <w:sz w:val="20"/>
                <w:szCs w:val="20"/>
                <w:color w:val="auto"/>
              </w:rPr>
            </w:pPr>
            <w:r>
              <w:rPr>
                <w:rFonts w:ascii="Arial" w:cs="Arial" w:eastAsia="Arial" w:hAnsi="Arial"/>
                <w:sz w:val="15"/>
                <w:szCs w:val="15"/>
                <w:color w:val="auto"/>
              </w:rPr>
              <w:t>•</w:t>
            </w:r>
          </w:p>
        </w:tc>
        <w:tc>
          <w:tcPr>
            <w:tcW w:w="2020" w:type="dxa"/>
            <w:vAlign w:val="bottom"/>
            <w:shd w:val="clear" w:color="auto" w:fill="DBDBDB"/>
          </w:tcPr>
          <w:p>
            <w:pPr>
              <w:ind w:left="40"/>
              <w:spacing w:after="0" w:line="148" w:lineRule="exact"/>
              <w:rPr>
                <w:sz w:val="20"/>
                <w:szCs w:val="20"/>
                <w:color w:val="auto"/>
              </w:rPr>
            </w:pPr>
            <w:r>
              <w:rPr>
                <w:rFonts w:ascii="Arial" w:cs="Arial" w:eastAsia="Arial" w:hAnsi="Arial"/>
                <w:sz w:val="15"/>
                <w:szCs w:val="15"/>
                <w:color w:val="auto"/>
              </w:rPr>
              <w:t>None</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Former Chief Operating Officer from October 2015 to December 2016</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rPr>
                <w:sz w:val="20"/>
                <w:szCs w:val="20"/>
                <w:color w:val="auto"/>
              </w:rPr>
            </w:pPr>
            <w:r>
              <w:rPr>
                <w:rFonts w:ascii="Arial" w:cs="Arial" w:eastAsia="Arial" w:hAnsi="Arial"/>
                <w:sz w:val="15"/>
                <w:szCs w:val="15"/>
                <w:color w:val="auto"/>
              </w:rPr>
              <w:t>Former Associate Administrator of NASA</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00" w:type="dxa"/>
            <w:vAlign w:val="bottom"/>
          </w:tcPr>
          <w:p>
            <w:pPr>
              <w:ind w:left="20"/>
              <w:spacing w:after="0" w:line="146" w:lineRule="exact"/>
              <w:rPr>
                <w:sz w:val="20"/>
                <w:szCs w:val="20"/>
                <w:color w:val="auto"/>
              </w:rPr>
            </w:pPr>
            <w:r>
              <w:rPr>
                <w:rFonts w:ascii="Arial" w:cs="Arial" w:eastAsia="Arial" w:hAnsi="Arial"/>
                <w:sz w:val="15"/>
                <w:szCs w:val="15"/>
                <w:color w:val="auto"/>
              </w:rPr>
              <w:t>James M. Jaska</w:t>
            </w:r>
          </w:p>
        </w:tc>
        <w:tc>
          <w:tcPr>
            <w:tcW w:w="820" w:type="dxa"/>
            <w:vAlign w:val="bottom"/>
          </w:tcPr>
          <w:p>
            <w:pPr>
              <w:jc w:val="center"/>
              <w:ind w:left="68"/>
              <w:spacing w:after="0" w:line="146" w:lineRule="exact"/>
              <w:rPr>
                <w:sz w:val="20"/>
                <w:szCs w:val="20"/>
                <w:color w:val="auto"/>
              </w:rPr>
            </w:pPr>
            <w:r>
              <w:rPr>
                <w:rFonts w:ascii="Arial" w:cs="Arial" w:eastAsia="Arial" w:hAnsi="Arial"/>
                <w:sz w:val="15"/>
                <w:szCs w:val="15"/>
                <w:color w:val="auto"/>
                <w:w w:val="95"/>
              </w:rPr>
              <w:t>72</w:t>
            </w:r>
          </w:p>
        </w:tc>
        <w:tc>
          <w:tcPr>
            <w:tcW w:w="880" w:type="dxa"/>
            <w:vAlign w:val="bottom"/>
          </w:tcPr>
          <w:p>
            <w:pPr>
              <w:jc w:val="center"/>
              <w:spacing w:after="0" w:line="146" w:lineRule="exact"/>
              <w:rPr>
                <w:sz w:val="20"/>
                <w:szCs w:val="20"/>
                <w:color w:val="auto"/>
              </w:rPr>
            </w:pPr>
            <w:r>
              <w:rPr>
                <w:rFonts w:ascii="Arial" w:cs="Arial" w:eastAsia="Arial" w:hAnsi="Arial"/>
                <w:sz w:val="15"/>
                <w:szCs w:val="15"/>
                <w:color w:val="auto"/>
              </w:rPr>
              <w:t>2016</w:t>
            </w:r>
          </w:p>
        </w:tc>
        <w:tc>
          <w:tcPr>
            <w:tcW w:w="24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Chief Executive Officer, Versar, Inc.</w:t>
            </w:r>
          </w:p>
        </w:tc>
        <w:tc>
          <w:tcPr>
            <w:tcW w:w="2180" w:type="dxa"/>
            <w:vAlign w:val="bottom"/>
            <w:gridSpan w:val="2"/>
          </w:tcPr>
          <w:p>
            <w:pPr>
              <w:ind w:left="80"/>
              <w:spacing w:after="0" w:line="146" w:lineRule="exact"/>
              <w:rPr>
                <w:sz w:val="20"/>
                <w:szCs w:val="20"/>
                <w:color w:val="auto"/>
              </w:rPr>
            </w:pPr>
            <w:r>
              <w:rPr>
                <w:rFonts w:ascii="Arial" w:cs="Arial" w:eastAsia="Arial" w:hAnsi="Arial"/>
                <w:sz w:val="15"/>
                <w:szCs w:val="15"/>
                <w:color w:val="auto"/>
              </w:rPr>
              <w:t>• Audit and Finance</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tcPr>
          <w:p>
            <w:pPr>
              <w:ind w:left="40"/>
              <w:spacing w:after="0" w:line="146" w:lineRule="exact"/>
              <w:rPr>
                <w:sz w:val="20"/>
                <w:szCs w:val="20"/>
                <w:color w:val="auto"/>
              </w:rPr>
            </w:pPr>
            <w:r>
              <w:rPr>
                <w:rFonts w:ascii="Arial" w:cs="Arial" w:eastAsia="Arial" w:hAnsi="Arial"/>
                <w:sz w:val="15"/>
                <w:szCs w:val="15"/>
                <w:color w:val="auto"/>
              </w:rPr>
              <w:t>Former President, Valiant Integrated Services LLC</w:t>
            </w:r>
          </w:p>
        </w:tc>
        <w:tc>
          <w:tcPr>
            <w:tcW w:w="160" w:type="dxa"/>
            <w:vAlign w:val="bottom"/>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tcPr>
          <w:p>
            <w:pPr>
              <w:ind w:left="40"/>
              <w:spacing w:after="0" w:line="146" w:lineRule="exact"/>
              <w:rPr>
                <w:sz w:val="20"/>
                <w:szCs w:val="20"/>
                <w:color w:val="auto"/>
              </w:rPr>
            </w:pPr>
            <w:r>
              <w:rPr>
                <w:rFonts w:ascii="Arial" w:cs="Arial" w:eastAsia="Arial" w:hAnsi="Arial"/>
                <w:sz w:val="15"/>
                <w:szCs w:val="15"/>
                <w:color w:val="auto"/>
              </w:rPr>
              <w:t>Governance, Chair</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120" w:type="dxa"/>
            <w:vAlign w:val="bottom"/>
            <w:gridSpan w:val="2"/>
          </w:tcPr>
          <w:p>
            <w:pPr>
              <w:ind w:left="160"/>
              <w:spacing w:after="0" w:line="146" w:lineRule="exact"/>
              <w:rPr>
                <w:sz w:val="20"/>
                <w:szCs w:val="20"/>
                <w:color w:val="auto"/>
              </w:rPr>
            </w:pPr>
            <w:r>
              <w:rPr>
                <w:rFonts w:ascii="Arial" w:cs="Arial" w:eastAsia="Arial" w:hAnsi="Arial"/>
                <w:sz w:val="15"/>
                <w:szCs w:val="15"/>
                <w:color w:val="auto"/>
                <w:w w:val="98"/>
              </w:rPr>
              <w:t>• Former President, Government for AECOM (formerly AECOM Technology</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Corporation)</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880" w:type="dxa"/>
            <w:vAlign w:val="bottom"/>
          </w:tcPr>
          <w:p>
            <w:pPr>
              <w:ind w:left="40"/>
              <w:spacing w:after="0" w:line="146" w:lineRule="exact"/>
              <w:rPr>
                <w:sz w:val="20"/>
                <w:szCs w:val="20"/>
                <w:color w:val="auto"/>
              </w:rPr>
            </w:pPr>
            <w:r>
              <w:rPr>
                <w:rFonts w:ascii="Arial" w:cs="Arial" w:eastAsia="Arial" w:hAnsi="Arial"/>
                <w:sz w:val="15"/>
                <w:szCs w:val="15"/>
                <w:color w:val="auto"/>
              </w:rPr>
              <w:t>Former Director, President, Chief Financial Officer and Treasurer, Tetra</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80" w:type="dxa"/>
            <w:vAlign w:val="bottom"/>
          </w:tcPr>
          <w:p>
            <w:pPr>
              <w:ind w:left="60"/>
              <w:spacing w:after="0"/>
              <w:rPr>
                <w:sz w:val="20"/>
                <w:szCs w:val="20"/>
                <w:color w:val="auto"/>
              </w:rPr>
            </w:pPr>
            <w:r>
              <w:rPr>
                <w:rFonts w:ascii="Arial" w:cs="Arial" w:eastAsia="Arial" w:hAnsi="Arial"/>
                <w:sz w:val="15"/>
                <w:szCs w:val="15"/>
                <w:color w:val="auto"/>
              </w:rPr>
              <w:t>Tech, Inc.</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DBDBDB"/>
          </w:tcPr>
          <w:p>
            <w:pPr>
              <w:ind w:left="20"/>
              <w:spacing w:after="0" w:line="148" w:lineRule="exact"/>
              <w:rPr>
                <w:sz w:val="20"/>
                <w:szCs w:val="20"/>
                <w:color w:val="auto"/>
              </w:rPr>
            </w:pPr>
            <w:r>
              <w:rPr>
                <w:rFonts w:ascii="Arial" w:cs="Arial" w:eastAsia="Arial" w:hAnsi="Arial"/>
                <w:sz w:val="15"/>
                <w:szCs w:val="15"/>
                <w:color w:val="auto"/>
              </w:rPr>
              <w:t>Kenneth J. Krieg</w:t>
            </w:r>
          </w:p>
        </w:tc>
        <w:tc>
          <w:tcPr>
            <w:tcW w:w="820" w:type="dxa"/>
            <w:vAlign w:val="bottom"/>
            <w:shd w:val="clear" w:color="auto" w:fill="DBDBDB"/>
          </w:tcPr>
          <w:p>
            <w:pPr>
              <w:jc w:val="center"/>
              <w:ind w:left="68"/>
              <w:spacing w:after="0" w:line="148" w:lineRule="exact"/>
              <w:rPr>
                <w:sz w:val="20"/>
                <w:szCs w:val="20"/>
                <w:color w:val="auto"/>
              </w:rPr>
            </w:pPr>
            <w:r>
              <w:rPr>
                <w:rFonts w:ascii="Arial" w:cs="Arial" w:eastAsia="Arial" w:hAnsi="Arial"/>
                <w:sz w:val="15"/>
                <w:szCs w:val="15"/>
                <w:color w:val="auto"/>
                <w:w w:val="95"/>
              </w:rPr>
              <w:t>62</w:t>
            </w:r>
          </w:p>
        </w:tc>
        <w:tc>
          <w:tcPr>
            <w:tcW w:w="880" w:type="dxa"/>
            <w:vAlign w:val="bottom"/>
            <w:shd w:val="clear" w:color="auto" w:fill="DBDBDB"/>
          </w:tcPr>
          <w:p>
            <w:pPr>
              <w:jc w:val="center"/>
              <w:spacing w:after="0" w:line="148" w:lineRule="exact"/>
              <w:rPr>
                <w:sz w:val="20"/>
                <w:szCs w:val="20"/>
                <w:color w:val="auto"/>
              </w:rPr>
            </w:pPr>
            <w:r>
              <w:rPr>
                <w:rFonts w:ascii="Arial" w:cs="Arial" w:eastAsia="Arial" w:hAnsi="Arial"/>
                <w:sz w:val="15"/>
                <w:szCs w:val="15"/>
                <w:color w:val="auto"/>
              </w:rPr>
              <w:t>2016</w:t>
            </w:r>
          </w:p>
        </w:tc>
        <w:tc>
          <w:tcPr>
            <w:tcW w:w="240" w:type="dxa"/>
            <w:vAlign w:val="bottom"/>
            <w:shd w:val="clear" w:color="auto" w:fill="DBDBDB"/>
          </w:tcPr>
          <w:p>
            <w:pPr>
              <w:ind w:left="160"/>
              <w:spacing w:after="0" w:line="148"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8" w:lineRule="exact"/>
              <w:rPr>
                <w:sz w:val="20"/>
                <w:szCs w:val="20"/>
                <w:color w:val="auto"/>
              </w:rPr>
            </w:pPr>
            <w:r>
              <w:rPr>
                <w:rFonts w:ascii="Arial" w:cs="Arial" w:eastAsia="Arial" w:hAnsi="Arial"/>
                <w:sz w:val="15"/>
                <w:szCs w:val="15"/>
                <w:color w:val="auto"/>
              </w:rPr>
              <w:t>Founder and Principal, Samford Global Strategies</w:t>
            </w:r>
          </w:p>
        </w:tc>
        <w:tc>
          <w:tcPr>
            <w:tcW w:w="160" w:type="dxa"/>
            <w:vAlign w:val="bottom"/>
            <w:shd w:val="clear" w:color="auto" w:fill="DBDBDB"/>
          </w:tcPr>
          <w:p>
            <w:pPr>
              <w:ind w:left="80"/>
              <w:spacing w:after="0" w:line="148" w:lineRule="exact"/>
              <w:rPr>
                <w:sz w:val="20"/>
                <w:szCs w:val="20"/>
                <w:color w:val="auto"/>
              </w:rPr>
            </w:pPr>
            <w:r>
              <w:rPr>
                <w:rFonts w:ascii="Arial" w:cs="Arial" w:eastAsia="Arial" w:hAnsi="Arial"/>
                <w:sz w:val="15"/>
                <w:szCs w:val="15"/>
                <w:color w:val="auto"/>
              </w:rPr>
              <w:t>•</w:t>
            </w:r>
          </w:p>
        </w:tc>
        <w:tc>
          <w:tcPr>
            <w:tcW w:w="2020" w:type="dxa"/>
            <w:vAlign w:val="bottom"/>
            <w:shd w:val="clear" w:color="auto" w:fill="DBDBDB"/>
          </w:tcPr>
          <w:p>
            <w:pPr>
              <w:ind w:left="40"/>
              <w:spacing w:after="0" w:line="148" w:lineRule="exact"/>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color w:val="auto"/>
              </w:rPr>
              <w:t>Former Under Secretary of Defense for Acquisition, Technology and</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Logistics, as well as a variety of other roles with the Department of</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880" w:type="dxa"/>
            <w:vAlign w:val="bottom"/>
            <w:shd w:val="clear" w:color="auto" w:fill="DBDBDB"/>
          </w:tcPr>
          <w:p>
            <w:pPr>
              <w:ind w:left="60"/>
              <w:spacing w:after="0"/>
              <w:rPr>
                <w:sz w:val="20"/>
                <w:szCs w:val="20"/>
                <w:color w:val="auto"/>
              </w:rPr>
            </w:pPr>
            <w:r>
              <w:rPr>
                <w:rFonts w:ascii="Arial" w:cs="Arial" w:eastAsia="Arial" w:hAnsi="Arial"/>
                <w:sz w:val="15"/>
                <w:szCs w:val="15"/>
                <w:color w:val="auto"/>
              </w:rPr>
              <w:t>Defense</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00" w:type="dxa"/>
            <w:vAlign w:val="bottom"/>
          </w:tcPr>
          <w:p>
            <w:pPr>
              <w:ind w:left="20"/>
              <w:spacing w:after="0" w:line="146" w:lineRule="exact"/>
              <w:rPr>
                <w:sz w:val="20"/>
                <w:szCs w:val="20"/>
                <w:color w:val="auto"/>
              </w:rPr>
            </w:pPr>
            <w:r>
              <w:rPr>
                <w:rFonts w:ascii="Arial" w:cs="Arial" w:eastAsia="Arial" w:hAnsi="Arial"/>
                <w:sz w:val="15"/>
                <w:szCs w:val="15"/>
                <w:color w:val="auto"/>
              </w:rPr>
              <w:t>Leland D. Melvin</w:t>
            </w:r>
          </w:p>
        </w:tc>
        <w:tc>
          <w:tcPr>
            <w:tcW w:w="820" w:type="dxa"/>
            <w:vAlign w:val="bottom"/>
          </w:tcPr>
          <w:p>
            <w:pPr>
              <w:jc w:val="center"/>
              <w:ind w:left="68"/>
              <w:spacing w:after="0" w:line="146" w:lineRule="exact"/>
              <w:rPr>
                <w:sz w:val="20"/>
                <w:szCs w:val="20"/>
                <w:color w:val="auto"/>
              </w:rPr>
            </w:pPr>
            <w:r>
              <w:rPr>
                <w:rFonts w:ascii="Arial" w:cs="Arial" w:eastAsia="Arial" w:hAnsi="Arial"/>
                <w:sz w:val="15"/>
                <w:szCs w:val="15"/>
                <w:color w:val="auto"/>
                <w:w w:val="95"/>
              </w:rPr>
              <w:t>59</w:t>
            </w:r>
          </w:p>
        </w:tc>
        <w:tc>
          <w:tcPr>
            <w:tcW w:w="880" w:type="dxa"/>
            <w:vAlign w:val="bottom"/>
          </w:tcPr>
          <w:p>
            <w:pPr>
              <w:jc w:val="center"/>
              <w:spacing w:after="0" w:line="146" w:lineRule="exact"/>
              <w:rPr>
                <w:sz w:val="20"/>
                <w:szCs w:val="20"/>
                <w:color w:val="auto"/>
              </w:rPr>
            </w:pPr>
            <w:r>
              <w:rPr>
                <w:rFonts w:ascii="Arial" w:cs="Arial" w:eastAsia="Arial" w:hAnsi="Arial"/>
                <w:sz w:val="15"/>
                <w:szCs w:val="15"/>
                <w:color w:val="auto"/>
              </w:rPr>
              <w:t>2019</w:t>
            </w:r>
          </w:p>
        </w:tc>
        <w:tc>
          <w:tcPr>
            <w:tcW w:w="24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Former astronaut serving twice on space shuttle Atlantis as a mission</w:t>
            </w:r>
          </w:p>
        </w:tc>
        <w:tc>
          <w:tcPr>
            <w:tcW w:w="160" w:type="dxa"/>
            <w:vAlign w:val="bottom"/>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tcPr>
          <w:p>
            <w:pPr>
              <w:ind w:left="40"/>
              <w:spacing w:after="0" w:line="146" w:lineRule="exact"/>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specialist in support of the International Space Station</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4880" w:type="dxa"/>
            <w:vAlign w:val="bottom"/>
          </w:tcPr>
          <w:p>
            <w:pPr>
              <w:ind w:left="60"/>
              <w:spacing w:after="0"/>
              <w:rPr>
                <w:sz w:val="20"/>
                <w:szCs w:val="20"/>
                <w:color w:val="auto"/>
              </w:rPr>
            </w:pPr>
            <w:r>
              <w:rPr>
                <w:rFonts w:ascii="Arial" w:cs="Arial" w:eastAsia="Arial" w:hAnsi="Arial"/>
                <w:sz w:val="15"/>
                <w:szCs w:val="15"/>
                <w:color w:val="auto"/>
              </w:rPr>
              <w:t>Former NASA associate administrator for education</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DBDBDB"/>
          </w:tcPr>
          <w:p>
            <w:pPr>
              <w:ind w:left="20"/>
              <w:spacing w:after="0" w:line="148" w:lineRule="exact"/>
              <w:rPr>
                <w:sz w:val="20"/>
                <w:szCs w:val="20"/>
                <w:color w:val="auto"/>
              </w:rPr>
            </w:pPr>
            <w:r>
              <w:rPr>
                <w:rFonts w:ascii="Arial" w:cs="Arial" w:eastAsia="Arial" w:hAnsi="Arial"/>
                <w:sz w:val="15"/>
                <w:szCs w:val="15"/>
                <w:color w:val="auto"/>
              </w:rPr>
              <w:t>Robert L. Nardelli</w:t>
            </w:r>
          </w:p>
        </w:tc>
        <w:tc>
          <w:tcPr>
            <w:tcW w:w="820" w:type="dxa"/>
            <w:vAlign w:val="bottom"/>
            <w:shd w:val="clear" w:color="auto" w:fill="DBDBDB"/>
          </w:tcPr>
          <w:p>
            <w:pPr>
              <w:jc w:val="center"/>
              <w:ind w:left="68"/>
              <w:spacing w:after="0" w:line="148" w:lineRule="exact"/>
              <w:rPr>
                <w:sz w:val="20"/>
                <w:szCs w:val="20"/>
                <w:color w:val="auto"/>
              </w:rPr>
            </w:pPr>
            <w:r>
              <w:rPr>
                <w:rFonts w:ascii="Arial" w:cs="Arial" w:eastAsia="Arial" w:hAnsi="Arial"/>
                <w:sz w:val="15"/>
                <w:szCs w:val="15"/>
                <w:color w:val="auto"/>
                <w:w w:val="95"/>
              </w:rPr>
              <w:t>74</w:t>
            </w:r>
          </w:p>
        </w:tc>
        <w:tc>
          <w:tcPr>
            <w:tcW w:w="880" w:type="dxa"/>
            <w:vAlign w:val="bottom"/>
            <w:shd w:val="clear" w:color="auto" w:fill="DBDBDB"/>
          </w:tcPr>
          <w:p>
            <w:pPr>
              <w:jc w:val="center"/>
              <w:spacing w:after="0" w:line="148" w:lineRule="exact"/>
              <w:rPr>
                <w:sz w:val="20"/>
                <w:szCs w:val="20"/>
                <w:color w:val="auto"/>
              </w:rPr>
            </w:pPr>
            <w:r>
              <w:rPr>
                <w:rFonts w:ascii="Arial" w:cs="Arial" w:eastAsia="Arial" w:hAnsi="Arial"/>
                <w:sz w:val="15"/>
                <w:szCs w:val="15"/>
                <w:color w:val="auto"/>
              </w:rPr>
              <w:t>2014</w:t>
            </w:r>
          </w:p>
        </w:tc>
        <w:tc>
          <w:tcPr>
            <w:tcW w:w="240" w:type="dxa"/>
            <w:vAlign w:val="bottom"/>
            <w:shd w:val="clear" w:color="auto" w:fill="DBDBDB"/>
          </w:tcPr>
          <w:p>
            <w:pPr>
              <w:ind w:left="160"/>
              <w:spacing w:after="0" w:line="148"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8" w:lineRule="exact"/>
              <w:rPr>
                <w:sz w:val="20"/>
                <w:szCs w:val="20"/>
                <w:color w:val="auto"/>
              </w:rPr>
            </w:pPr>
            <w:r>
              <w:rPr>
                <w:rFonts w:ascii="Arial" w:cs="Arial" w:eastAsia="Arial" w:hAnsi="Arial"/>
                <w:sz w:val="15"/>
                <w:szCs w:val="15"/>
                <w:color w:val="auto"/>
              </w:rPr>
              <w:t>Founder and CEO of XLR-8, LLC</w:t>
            </w:r>
          </w:p>
        </w:tc>
        <w:tc>
          <w:tcPr>
            <w:tcW w:w="2180" w:type="dxa"/>
            <w:vAlign w:val="bottom"/>
            <w:gridSpan w:val="2"/>
            <w:shd w:val="clear" w:color="auto" w:fill="DBDBDB"/>
          </w:tcPr>
          <w:p>
            <w:pPr>
              <w:ind w:left="80"/>
              <w:spacing w:after="0" w:line="148" w:lineRule="exact"/>
              <w:rPr>
                <w:sz w:val="20"/>
                <w:szCs w:val="20"/>
                <w:color w:val="auto"/>
              </w:rPr>
            </w:pPr>
            <w:r>
              <w:rPr>
                <w:rFonts w:ascii="Arial" w:cs="Arial" w:eastAsia="Arial" w:hAnsi="Arial"/>
                <w:sz w:val="15"/>
                <w:szCs w:val="15"/>
                <w:color w:val="auto"/>
              </w:rPr>
              <w:t>• Audit and Finance</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w w:val="99"/>
              </w:rPr>
              <w:t>Former Senior Advisor to founder of Cerberus Capital Management, L.P.</w:t>
            </w:r>
          </w:p>
        </w:tc>
        <w:tc>
          <w:tcPr>
            <w:tcW w:w="160" w:type="dxa"/>
            <w:vAlign w:val="bottom"/>
            <w:shd w:val="clear" w:color="auto" w:fill="DBDBDB"/>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color w:val="auto"/>
              </w:rPr>
              <w:t>Governance</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5120" w:type="dxa"/>
            <w:vAlign w:val="bottom"/>
            <w:gridSpan w:val="2"/>
            <w:shd w:val="clear" w:color="auto" w:fill="DBDBDB"/>
          </w:tcPr>
          <w:p>
            <w:pPr>
              <w:ind w:left="160"/>
              <w:spacing w:after="0" w:line="146" w:lineRule="exact"/>
              <w:rPr>
                <w:sz w:val="20"/>
                <w:szCs w:val="20"/>
                <w:color w:val="auto"/>
              </w:rPr>
            </w:pPr>
            <w:r>
              <w:rPr>
                <w:rFonts w:ascii="Arial" w:cs="Arial" w:eastAsia="Arial" w:hAnsi="Arial"/>
                <w:sz w:val="15"/>
                <w:szCs w:val="15"/>
                <w:color w:val="auto"/>
              </w:rPr>
              <w:t>• Former Chairman and CEO of Chrysler LLC</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shd w:val="clear" w:color="auto" w:fill="DBDBDB"/>
          </w:tcPr>
          <w:p>
            <w:pPr>
              <w:ind w:left="160"/>
              <w:spacing w:after="0"/>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rPr>
                <w:sz w:val="20"/>
                <w:szCs w:val="20"/>
                <w:color w:val="auto"/>
              </w:rPr>
            </w:pPr>
            <w:r>
              <w:rPr>
                <w:rFonts w:ascii="Arial" w:cs="Arial" w:eastAsia="Arial" w:hAnsi="Arial"/>
                <w:sz w:val="15"/>
                <w:szCs w:val="15"/>
                <w:color w:val="auto"/>
              </w:rPr>
              <w:t>Former Chairman, President and CEO of The Home Depot, Inc.</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1900" w:type="dxa"/>
            <w:vAlign w:val="bottom"/>
          </w:tcPr>
          <w:p>
            <w:pPr>
              <w:ind w:left="20"/>
              <w:spacing w:after="0" w:line="146" w:lineRule="exact"/>
              <w:rPr>
                <w:sz w:val="20"/>
                <w:szCs w:val="20"/>
                <w:color w:val="auto"/>
              </w:rPr>
            </w:pPr>
            <w:r>
              <w:rPr>
                <w:rFonts w:ascii="Arial" w:cs="Arial" w:eastAsia="Arial" w:hAnsi="Arial"/>
                <w:sz w:val="15"/>
                <w:szCs w:val="15"/>
                <w:color w:val="auto"/>
              </w:rPr>
              <w:t>Barbara A. Niland</w:t>
            </w:r>
          </w:p>
        </w:tc>
        <w:tc>
          <w:tcPr>
            <w:tcW w:w="820" w:type="dxa"/>
            <w:vAlign w:val="bottom"/>
          </w:tcPr>
          <w:p>
            <w:pPr>
              <w:jc w:val="center"/>
              <w:ind w:left="68"/>
              <w:spacing w:after="0" w:line="146" w:lineRule="exact"/>
              <w:rPr>
                <w:sz w:val="20"/>
                <w:szCs w:val="20"/>
                <w:color w:val="auto"/>
              </w:rPr>
            </w:pPr>
            <w:r>
              <w:rPr>
                <w:rFonts w:ascii="Arial" w:cs="Arial" w:eastAsia="Arial" w:hAnsi="Arial"/>
                <w:sz w:val="15"/>
                <w:szCs w:val="15"/>
                <w:color w:val="auto"/>
                <w:w w:val="95"/>
              </w:rPr>
              <w:t>64</w:t>
            </w:r>
          </w:p>
        </w:tc>
        <w:tc>
          <w:tcPr>
            <w:tcW w:w="880" w:type="dxa"/>
            <w:vAlign w:val="bottom"/>
          </w:tcPr>
          <w:p>
            <w:pPr>
              <w:jc w:val="center"/>
              <w:spacing w:after="0" w:line="146" w:lineRule="exact"/>
              <w:rPr>
                <w:sz w:val="20"/>
                <w:szCs w:val="20"/>
                <w:color w:val="auto"/>
              </w:rPr>
            </w:pPr>
            <w:r>
              <w:rPr>
                <w:rFonts w:ascii="Arial" w:cs="Arial" w:eastAsia="Arial" w:hAnsi="Arial"/>
                <w:sz w:val="15"/>
                <w:szCs w:val="15"/>
                <w:color w:val="auto"/>
              </w:rPr>
              <w:t>2016</w:t>
            </w:r>
          </w:p>
        </w:tc>
        <w:tc>
          <w:tcPr>
            <w:tcW w:w="240" w:type="dxa"/>
            <w:vAlign w:val="bottom"/>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Former Corporate Vice President and Chief Financial Officer of</w:t>
            </w:r>
          </w:p>
        </w:tc>
        <w:tc>
          <w:tcPr>
            <w:tcW w:w="2180" w:type="dxa"/>
            <w:vAlign w:val="bottom"/>
            <w:gridSpan w:val="2"/>
          </w:tcPr>
          <w:p>
            <w:pPr>
              <w:ind w:left="80"/>
              <w:spacing w:after="0" w:line="146" w:lineRule="exact"/>
              <w:rPr>
                <w:sz w:val="20"/>
                <w:szCs w:val="20"/>
                <w:color w:val="auto"/>
              </w:rPr>
            </w:pPr>
            <w:r>
              <w:rPr>
                <w:rFonts w:ascii="Arial" w:cs="Arial" w:eastAsia="Arial" w:hAnsi="Arial"/>
                <w:sz w:val="15"/>
                <w:szCs w:val="15"/>
                <w:color w:val="auto"/>
              </w:rPr>
              <w:t>• Audit and Finance, Chair</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Huntington Ingalls Industries, Inc. ("HII"), a Fortune 500 shipbuilding</w:t>
            </w:r>
          </w:p>
        </w:tc>
        <w:tc>
          <w:tcPr>
            <w:tcW w:w="160" w:type="dxa"/>
            <w:vAlign w:val="bottom"/>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tcPr>
          <w:p>
            <w:pPr>
              <w:ind w:left="40"/>
              <w:spacing w:after="0" w:line="146" w:lineRule="exact"/>
              <w:rPr>
                <w:sz w:val="20"/>
                <w:szCs w:val="20"/>
                <w:color w:val="auto"/>
              </w:rPr>
            </w:pPr>
            <w:r>
              <w:rPr>
                <w:rFonts w:ascii="Arial" w:cs="Arial" w:eastAsia="Arial" w:hAnsi="Arial"/>
                <w:sz w:val="15"/>
                <w:szCs w:val="15"/>
                <w:color w:val="auto"/>
              </w:rPr>
              <w:t>Governance</w:t>
            </w: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restart"/>
          </w:tcPr>
          <w:p>
            <w:pPr>
              <w:ind w:left="160"/>
              <w:spacing w:after="0"/>
              <w:rPr>
                <w:sz w:val="20"/>
                <w:szCs w:val="20"/>
                <w:color w:val="auto"/>
              </w:rPr>
            </w:pPr>
            <w:r>
              <w:rPr>
                <w:rFonts w:ascii="Arial" w:cs="Arial" w:eastAsia="Arial" w:hAnsi="Arial"/>
                <w:sz w:val="15"/>
                <w:szCs w:val="15"/>
                <w:color w:val="auto"/>
              </w:rPr>
              <w:t>•</w:t>
            </w: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company for the U.S. Navy and Coast Guard</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1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vMerge w:val="continue"/>
          </w:tcPr>
          <w:p>
            <w:pPr>
              <w:spacing w:after="0"/>
              <w:rPr>
                <w:sz w:val="12"/>
                <w:szCs w:val="12"/>
                <w:color w:val="auto"/>
              </w:rPr>
            </w:pPr>
          </w:p>
        </w:tc>
        <w:tc>
          <w:tcPr>
            <w:tcW w:w="4880" w:type="dxa"/>
            <w:vAlign w:val="bottom"/>
          </w:tcPr>
          <w:p>
            <w:pPr>
              <w:ind w:left="60"/>
              <w:spacing w:after="0" w:line="146" w:lineRule="exact"/>
              <w:rPr>
                <w:sz w:val="20"/>
                <w:szCs w:val="20"/>
                <w:color w:val="auto"/>
              </w:rPr>
            </w:pPr>
            <w:r>
              <w:rPr>
                <w:rFonts w:ascii="Arial" w:cs="Arial" w:eastAsia="Arial" w:hAnsi="Arial"/>
                <w:sz w:val="15"/>
                <w:szCs w:val="15"/>
                <w:color w:val="auto"/>
              </w:rPr>
              <w:t>Over 30-year career with Northrop Grumman in roles of increasing</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9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80" w:type="dxa"/>
            <w:vAlign w:val="bottom"/>
          </w:tcPr>
          <w:p>
            <w:pPr>
              <w:ind w:left="60"/>
              <w:spacing w:after="0"/>
              <w:rPr>
                <w:sz w:val="20"/>
                <w:szCs w:val="20"/>
                <w:color w:val="auto"/>
              </w:rPr>
            </w:pPr>
            <w:r>
              <w:rPr>
                <w:rFonts w:ascii="Arial" w:cs="Arial" w:eastAsia="Arial" w:hAnsi="Arial"/>
                <w:sz w:val="15"/>
                <w:szCs w:val="15"/>
                <w:color w:val="auto"/>
              </w:rPr>
              <w:t>responsibility, including the spin-off of HII in 2011</w:t>
            </w:r>
          </w:p>
        </w:tc>
        <w:tc>
          <w:tcPr>
            <w:tcW w:w="16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900" w:type="dxa"/>
            <w:vAlign w:val="bottom"/>
            <w:shd w:val="clear" w:color="auto" w:fill="DBDBDB"/>
          </w:tcPr>
          <w:p>
            <w:pPr>
              <w:ind w:left="20"/>
              <w:spacing w:after="0" w:line="148" w:lineRule="exact"/>
              <w:rPr>
                <w:sz w:val="20"/>
                <w:szCs w:val="20"/>
                <w:color w:val="auto"/>
              </w:rPr>
            </w:pPr>
            <w:r>
              <w:rPr>
                <w:rFonts w:ascii="Arial" w:cs="Arial" w:eastAsia="Arial" w:hAnsi="Arial"/>
                <w:sz w:val="15"/>
                <w:szCs w:val="15"/>
                <w:color w:val="auto"/>
              </w:rPr>
              <w:t>John M. Richardson</w:t>
            </w:r>
          </w:p>
        </w:tc>
        <w:tc>
          <w:tcPr>
            <w:tcW w:w="820" w:type="dxa"/>
            <w:vAlign w:val="bottom"/>
            <w:shd w:val="clear" w:color="auto" w:fill="DBDBDB"/>
          </w:tcPr>
          <w:p>
            <w:pPr>
              <w:jc w:val="center"/>
              <w:ind w:left="68"/>
              <w:spacing w:after="0" w:line="148" w:lineRule="exact"/>
              <w:rPr>
                <w:sz w:val="20"/>
                <w:szCs w:val="20"/>
                <w:color w:val="auto"/>
              </w:rPr>
            </w:pPr>
            <w:r>
              <w:rPr>
                <w:rFonts w:ascii="Arial" w:cs="Arial" w:eastAsia="Arial" w:hAnsi="Arial"/>
                <w:sz w:val="15"/>
                <w:szCs w:val="15"/>
                <w:color w:val="auto"/>
                <w:w w:val="95"/>
              </w:rPr>
              <w:t>63</w:t>
            </w:r>
          </w:p>
        </w:tc>
        <w:tc>
          <w:tcPr>
            <w:tcW w:w="880" w:type="dxa"/>
            <w:vAlign w:val="bottom"/>
            <w:shd w:val="clear" w:color="auto" w:fill="DBDBDB"/>
          </w:tcPr>
          <w:p>
            <w:pPr>
              <w:jc w:val="center"/>
              <w:spacing w:after="0" w:line="148" w:lineRule="exact"/>
              <w:rPr>
                <w:sz w:val="20"/>
                <w:szCs w:val="20"/>
                <w:color w:val="auto"/>
              </w:rPr>
            </w:pPr>
            <w:r>
              <w:rPr>
                <w:rFonts w:ascii="Arial" w:cs="Arial" w:eastAsia="Arial" w:hAnsi="Arial"/>
                <w:sz w:val="15"/>
                <w:szCs w:val="15"/>
                <w:color w:val="auto"/>
              </w:rPr>
              <w:t>2020</w:t>
            </w:r>
          </w:p>
        </w:tc>
        <w:tc>
          <w:tcPr>
            <w:tcW w:w="240" w:type="dxa"/>
            <w:vAlign w:val="bottom"/>
            <w:shd w:val="clear" w:color="auto" w:fill="DBDBDB"/>
          </w:tcPr>
          <w:p>
            <w:pPr>
              <w:ind w:left="160"/>
              <w:spacing w:after="0" w:line="148"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60"/>
              <w:spacing w:after="0" w:line="148" w:lineRule="exact"/>
              <w:rPr>
                <w:sz w:val="20"/>
                <w:szCs w:val="20"/>
                <w:color w:val="auto"/>
              </w:rPr>
            </w:pPr>
            <w:r>
              <w:rPr>
                <w:rFonts w:ascii="Arial" w:cs="Arial" w:eastAsia="Arial" w:hAnsi="Arial"/>
                <w:sz w:val="15"/>
                <w:szCs w:val="15"/>
                <w:color w:val="auto"/>
              </w:rPr>
              <w:t>Former Chief of Naval Operations for the U.S. Navy</w:t>
            </w:r>
          </w:p>
        </w:tc>
        <w:tc>
          <w:tcPr>
            <w:tcW w:w="2180" w:type="dxa"/>
            <w:vAlign w:val="bottom"/>
            <w:gridSpan w:val="2"/>
            <w:shd w:val="clear" w:color="auto" w:fill="DBDBDB"/>
          </w:tcPr>
          <w:p>
            <w:pPr>
              <w:ind w:left="80"/>
              <w:spacing w:after="0" w:line="148" w:lineRule="exact"/>
              <w:rPr>
                <w:sz w:val="20"/>
                <w:szCs w:val="20"/>
                <w:color w:val="auto"/>
              </w:rPr>
            </w:pPr>
            <w:r>
              <w:rPr>
                <w:rFonts w:ascii="Arial" w:cs="Arial" w:eastAsia="Arial" w:hAnsi="Arial"/>
                <w:sz w:val="15"/>
                <w:szCs w:val="15"/>
                <w:color w:val="auto"/>
              </w:rPr>
              <w:t>• Audit and Finance</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ind w:left="160"/>
              <w:spacing w:after="0" w:line="146" w:lineRule="exact"/>
              <w:rPr>
                <w:sz w:val="20"/>
                <w:szCs w:val="20"/>
                <w:color w:val="auto"/>
              </w:rPr>
            </w:pPr>
            <w:r>
              <w:rPr>
                <w:rFonts w:ascii="Arial" w:cs="Arial" w:eastAsia="Arial" w:hAnsi="Arial"/>
                <w:sz w:val="15"/>
                <w:szCs w:val="15"/>
                <w:color w:val="auto"/>
              </w:rPr>
              <w:t>•</w:t>
            </w:r>
          </w:p>
        </w:tc>
        <w:tc>
          <w:tcPr>
            <w:tcW w:w="488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color w:val="auto"/>
              </w:rPr>
              <w:t>Over 37 years of service in the U.S. Navy with service as Director of the</w:t>
            </w:r>
          </w:p>
        </w:tc>
        <w:tc>
          <w:tcPr>
            <w:tcW w:w="160" w:type="dxa"/>
            <w:vAlign w:val="bottom"/>
            <w:shd w:val="clear" w:color="auto" w:fill="DBDBDB"/>
          </w:tcPr>
          <w:p>
            <w:pPr>
              <w:ind w:left="80"/>
              <w:spacing w:after="0" w:line="146" w:lineRule="exact"/>
              <w:rPr>
                <w:sz w:val="20"/>
                <w:szCs w:val="20"/>
                <w:color w:val="auto"/>
              </w:rPr>
            </w:pPr>
            <w:r>
              <w:rPr>
                <w:rFonts w:ascii="Arial" w:cs="Arial" w:eastAsia="Arial" w:hAnsi="Arial"/>
                <w:sz w:val="15"/>
                <w:szCs w:val="15"/>
                <w:color w:val="auto"/>
              </w:rPr>
              <w:t>•</w:t>
            </w:r>
          </w:p>
        </w:tc>
        <w:tc>
          <w:tcPr>
            <w:tcW w:w="2020" w:type="dxa"/>
            <w:vAlign w:val="bottom"/>
            <w:shd w:val="clear" w:color="auto" w:fill="DBDBDB"/>
          </w:tcPr>
          <w:p>
            <w:pPr>
              <w:ind w:left="40"/>
              <w:spacing w:after="0" w:line="146" w:lineRule="exact"/>
              <w:rPr>
                <w:sz w:val="20"/>
                <w:szCs w:val="20"/>
                <w:color w:val="auto"/>
              </w:rPr>
            </w:pPr>
            <w:r>
              <w:rPr>
                <w:rFonts w:ascii="Arial" w:cs="Arial" w:eastAsia="Arial" w:hAnsi="Arial"/>
                <w:sz w:val="15"/>
                <w:szCs w:val="15"/>
                <w:color w:val="auto"/>
              </w:rPr>
              <w:t>Compensation</w:t>
            </w:r>
          </w:p>
        </w:tc>
        <w:tc>
          <w:tcPr>
            <w:tcW w:w="0" w:type="dxa"/>
            <w:vAlign w:val="bottom"/>
          </w:tcPr>
          <w:p>
            <w:pPr>
              <w:spacing w:after="0"/>
              <w:rPr>
                <w:sz w:val="1"/>
                <w:szCs w:val="1"/>
                <w:color w:val="auto"/>
              </w:rPr>
            </w:pPr>
          </w:p>
        </w:tc>
      </w:tr>
      <w:tr>
        <w:trPr>
          <w:trHeight w:val="146"/>
        </w:trPr>
        <w:tc>
          <w:tcPr>
            <w:tcW w:w="190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c>
          <w:tcPr>
            <w:tcW w:w="880" w:type="dxa"/>
            <w:vAlign w:val="bottom"/>
            <w:shd w:val="clear" w:color="auto" w:fill="DBDBDB"/>
          </w:tcPr>
          <w:p>
            <w:pPr>
              <w:spacing w:after="0"/>
              <w:rPr>
                <w:sz w:val="12"/>
                <w:szCs w:val="12"/>
                <w:color w:val="auto"/>
              </w:rPr>
            </w:pPr>
          </w:p>
        </w:tc>
        <w:tc>
          <w:tcPr>
            <w:tcW w:w="240" w:type="dxa"/>
            <w:vAlign w:val="bottom"/>
            <w:shd w:val="clear" w:color="auto" w:fill="DBDBDB"/>
          </w:tcPr>
          <w:p>
            <w:pPr>
              <w:spacing w:after="0"/>
              <w:rPr>
                <w:sz w:val="12"/>
                <w:szCs w:val="12"/>
                <w:color w:val="auto"/>
              </w:rPr>
            </w:pPr>
          </w:p>
        </w:tc>
        <w:tc>
          <w:tcPr>
            <w:tcW w:w="4880" w:type="dxa"/>
            <w:vAlign w:val="bottom"/>
            <w:shd w:val="clear" w:color="auto" w:fill="DBDBDB"/>
          </w:tcPr>
          <w:p>
            <w:pPr>
              <w:ind w:left="60"/>
              <w:spacing w:after="0" w:line="146" w:lineRule="exact"/>
              <w:rPr>
                <w:sz w:val="20"/>
                <w:szCs w:val="20"/>
                <w:color w:val="auto"/>
              </w:rPr>
            </w:pPr>
            <w:r>
              <w:rPr>
                <w:rFonts w:ascii="Arial" w:cs="Arial" w:eastAsia="Arial" w:hAnsi="Arial"/>
                <w:sz w:val="15"/>
                <w:szCs w:val="15"/>
                <w:color w:val="auto"/>
              </w:rPr>
              <w:t>Naval Nuclear Propulsion Program and command of the USS Honolulu</w:t>
            </w:r>
          </w:p>
        </w:tc>
        <w:tc>
          <w:tcPr>
            <w:tcW w:w="160" w:type="dxa"/>
            <w:vAlign w:val="bottom"/>
            <w:shd w:val="clear" w:color="auto" w:fill="DBDBDB"/>
          </w:tcPr>
          <w:p>
            <w:pPr>
              <w:spacing w:after="0"/>
              <w:rPr>
                <w:sz w:val="12"/>
                <w:szCs w:val="12"/>
                <w:color w:val="auto"/>
              </w:rPr>
            </w:pPr>
          </w:p>
        </w:tc>
        <w:tc>
          <w:tcPr>
            <w:tcW w:w="2020" w:type="dxa"/>
            <w:vAlign w:val="bottom"/>
            <w:shd w:val="clear" w:color="auto" w:fill="DBDBDB"/>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190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240" w:type="dxa"/>
            <w:vAlign w:val="bottom"/>
            <w:shd w:val="clear" w:color="auto" w:fill="DBDBDB"/>
          </w:tcPr>
          <w:p>
            <w:pPr>
              <w:spacing w:after="0"/>
              <w:rPr>
                <w:sz w:val="16"/>
                <w:szCs w:val="16"/>
                <w:color w:val="auto"/>
              </w:rPr>
            </w:pPr>
          </w:p>
        </w:tc>
        <w:tc>
          <w:tcPr>
            <w:tcW w:w="4880" w:type="dxa"/>
            <w:vAlign w:val="bottom"/>
            <w:shd w:val="clear" w:color="auto" w:fill="DBDBDB"/>
          </w:tcPr>
          <w:p>
            <w:pPr>
              <w:ind w:left="60"/>
              <w:spacing w:after="0"/>
              <w:rPr>
                <w:sz w:val="20"/>
                <w:szCs w:val="20"/>
                <w:color w:val="auto"/>
              </w:rPr>
            </w:pPr>
            <w:r>
              <w:rPr>
                <w:rFonts w:ascii="Arial" w:cs="Arial" w:eastAsia="Arial" w:hAnsi="Arial"/>
                <w:sz w:val="15"/>
                <w:szCs w:val="15"/>
                <w:color w:val="auto"/>
              </w:rPr>
              <w:t>nuclear submarine</w:t>
            </w:r>
          </w:p>
        </w:tc>
        <w:tc>
          <w:tcPr>
            <w:tcW w:w="160" w:type="dxa"/>
            <w:vAlign w:val="bottom"/>
            <w:shd w:val="clear" w:color="auto" w:fill="DBDBDB"/>
          </w:tcPr>
          <w:p>
            <w:pPr>
              <w:spacing w:after="0"/>
              <w:rPr>
                <w:sz w:val="16"/>
                <w:szCs w:val="16"/>
                <w:color w:val="auto"/>
              </w:rPr>
            </w:pPr>
          </w:p>
        </w:tc>
        <w:tc>
          <w:tcPr>
            <w:tcW w:w="2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160" w:right="680"/>
        <w:spacing w:after="0" w:line="294" w:lineRule="auto"/>
        <w:rPr>
          <w:sz w:val="20"/>
          <w:szCs w:val="20"/>
          <w:color w:val="auto"/>
        </w:rPr>
      </w:pPr>
      <w:r>
        <w:rPr>
          <w:rFonts w:ascii="Arial" w:cs="Arial" w:eastAsia="Arial" w:hAnsi="Arial"/>
          <w:sz w:val="16"/>
          <w:szCs w:val="16"/>
          <w:color w:val="auto"/>
        </w:rPr>
        <w:t>Our Board of Directors has determined that Mses. Bertsch and Niland and Messrs. Burbach, Jaska, Krieg, Melvin, Nardelli and Richardson are independent.</w:t>
      </w:r>
    </w:p>
    <w:p>
      <w:pPr>
        <w:spacing w:after="0" w:line="12" w:lineRule="exact"/>
        <w:rPr>
          <w:sz w:val="20"/>
          <w:szCs w:val="20"/>
          <w:color w:val="auto"/>
        </w:rPr>
      </w:pPr>
    </w:p>
    <w:p>
      <w:pPr>
        <w:ind w:left="160" w:right="320"/>
        <w:spacing w:after="0" w:line="294" w:lineRule="auto"/>
        <w:rPr>
          <w:sz w:val="20"/>
          <w:szCs w:val="20"/>
          <w:color w:val="auto"/>
        </w:rPr>
      </w:pPr>
      <w:r>
        <w:rPr>
          <w:rFonts w:ascii="Arial" w:cs="Arial" w:eastAsia="Arial" w:hAnsi="Arial"/>
          <w:sz w:val="16"/>
          <w:szCs w:val="16"/>
          <w:color w:val="auto"/>
        </w:rPr>
        <w:t>Director nominees must receive a majority of the votes cast at the Annual Meeting in order to be elected to the Board of Directors. In a contested election, director nominees are elected by a plurality of the votes cast by the shares of our common stock entitled to vote in the election of directors.</w:t>
      </w:r>
    </w:p>
    <w:p>
      <w:pPr>
        <w:spacing w:after="0" w:line="195"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FFFFFF"/>
        </w:rPr>
        <w:t>Our Board recommends that you vote "FOR" each of the director nominees.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(vi) </w:t>
      </w:r>
      <w:r>
        <w:rPr>
          <w:sz w:val="1"/>
          <w:szCs w:val="1"/>
          <w:color w:val="auto"/>
        </w:rPr>
        <w:drawing>
          <wp:inline distT="0" distB="0" distL="0" distR="0">
            <wp:extent cx="401955" cy="1625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060"/>
          </w:cols>
          <w:pgMar w:left="320" w:top="123" w:right="519" w:bottom="1440" w:gutter="0" w:footer="0" w:header="0"/>
        </w:sectPr>
      </w:pPr>
    </w:p>
    <w:bookmarkStart w:id="11" w:name="page12"/>
    <w:bookmarkEnd w:id="11"/>
    <w:p>
      <w:pPr>
        <w:ind w:left="906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141"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2023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18415</wp:posOffset>
            </wp:positionV>
            <wp:extent cx="7150735" cy="58102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0735" cy="5810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 ADVISORY VOTE ON THE COMPENSATION OF OUR NAMED EXECUTIVE OFFICERS</w:t>
      </w:r>
    </w:p>
    <w:p>
      <w:pPr>
        <w:spacing w:after="0" w:line="96" w:lineRule="exact"/>
        <w:rPr>
          <w:sz w:val="20"/>
          <w:szCs w:val="20"/>
          <w:color w:val="auto"/>
        </w:rPr>
      </w:pPr>
    </w:p>
    <w:p>
      <w:pPr>
        <w:ind w:right="320"/>
        <w:spacing w:after="0" w:line="262" w:lineRule="auto"/>
        <w:rPr>
          <w:sz w:val="20"/>
          <w:szCs w:val="20"/>
          <w:color w:val="auto"/>
        </w:rPr>
      </w:pPr>
      <w:r>
        <w:rPr>
          <w:rFonts w:ascii="Arial" w:cs="Arial" w:eastAsia="Arial" w:hAnsi="Arial"/>
          <w:sz w:val="16"/>
          <w:szCs w:val="16"/>
          <w:color w:val="auto"/>
        </w:rPr>
        <w:t>We hold an annual stockholder vote on executive compensation and are asking our stockholders to approve an advisory resolution for 2022 compensation. At the 2022 Annual Meeting of Stockholders, 96.9% of the votes cast were in favor of our executive compensation program. We encourage stockholders to read the Compensation Discussion and Analysis section of this proxy statement, which provides an overview of our compensation philosophy and how that philosophy was implemented in 2022. We believe that our executive compensation is reasonable and provides appropriate incentives to our executives to achieve results that we expect to drive stockholder value without encouraging excessive risk taking in business decisions.</w:t>
      </w:r>
    </w:p>
    <w:p>
      <w:pPr>
        <w:spacing w:after="0" w:line="49"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color w:val="auto"/>
        </w:rPr>
        <w:t>Approval of this proposal requires the affirmative vote of a majority of our shares of common stock present in person or represented by proxy at the Annual Meeting and entitled to vote on this proposal.</w:t>
      </w:r>
    </w:p>
    <w:p>
      <w:pPr>
        <w:spacing w:after="0" w:line="13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Our Board recommends that you vote "FOR" the compensation of our Named Executive Officers on an advisory basis.</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3: ADVISORY VOTE ON THE FREQUENCY OF THE ADVISORY VOTE ON THE COMPENSATION OF OUR EXECUTIVE OFFICERS</w:t>
      </w:r>
    </w:p>
    <w:p>
      <w:pPr>
        <w:spacing w:after="0" w:line="96"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Every six years we ask our stockholders to hold a non-binding vote on the frequency with which our advisory vote on executive compensation should be held. At our 2011 and 2017 Annual Meetings, our stockholders voted on an advisory basis to hold an advisory vote on executive compensation (commonly known as the "Say on Pay" vote) on an annual basis. At our 2023 Annual Meeting, we recommend stockholders approve a resolution recommending that we continue to hold our Say on Pay vote on an annual basis.</w:t>
      </w:r>
    </w:p>
    <w:p>
      <w:pPr>
        <w:spacing w:after="0" w:line="34"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color w:val="auto"/>
        </w:rPr>
        <w:t>Approval of this proposal requires the affirmative vote of a majority of our shares of common stock present in person or represented by proxy at the Annual Meeting and entitled to vote on this proposal.</w:t>
      </w:r>
    </w:p>
    <w:p>
      <w:pPr>
        <w:spacing w:after="0" w:line="146" w:lineRule="exact"/>
        <w:rPr>
          <w:sz w:val="20"/>
          <w:szCs w:val="20"/>
          <w:color w:val="auto"/>
        </w:rPr>
      </w:pPr>
    </w:p>
    <w:p>
      <w:pPr>
        <w:ind w:left="20" w:right="220"/>
        <w:spacing w:after="0" w:line="257" w:lineRule="auto"/>
        <w:rPr>
          <w:sz w:val="20"/>
          <w:szCs w:val="20"/>
          <w:color w:val="auto"/>
        </w:rPr>
      </w:pPr>
      <w:r>
        <w:rPr>
          <w:rFonts w:ascii="Arial" w:cs="Arial" w:eastAsia="Arial" w:hAnsi="Arial"/>
          <w:sz w:val="16"/>
          <w:szCs w:val="16"/>
          <w:b w:val="1"/>
          <w:bCs w:val="1"/>
          <w:color w:val="FFFFFF"/>
        </w:rPr>
        <w:t>Our Board recommends that you vote "1 YEAR" on the frequency of the advisory vote on the compensation of our Named Executive Officers on an advisory basis.</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4: RATIFICATION OF AUDITORS</w:t>
      </w:r>
    </w:p>
    <w:p>
      <w:pPr>
        <w:spacing w:after="0" w:line="84" w:lineRule="exact"/>
        <w:rPr>
          <w:sz w:val="20"/>
          <w:szCs w:val="20"/>
          <w:color w:val="auto"/>
        </w:rPr>
      </w:pPr>
    </w:p>
    <w:p>
      <w:pPr>
        <w:ind w:right="260"/>
        <w:spacing w:after="0" w:line="274" w:lineRule="auto"/>
        <w:rPr>
          <w:sz w:val="20"/>
          <w:szCs w:val="20"/>
          <w:color w:val="auto"/>
        </w:rPr>
      </w:pPr>
      <w:r>
        <w:rPr>
          <w:rFonts w:ascii="Arial" w:cs="Arial" w:eastAsia="Arial" w:hAnsi="Arial"/>
          <w:sz w:val="16"/>
          <w:szCs w:val="16"/>
          <w:color w:val="auto"/>
        </w:rPr>
        <w:t>Our Board of Directors has ratified the decision of the Audit and Finance Committee to appoint Deloitte &amp; Touche LLP (“Deloitte”) to serve as the independent registered public accounting firm to audit our financial statements for the year ending December 31, 2023. We are asking our stockholders to ratify this appointment. Below is summary information of Deloitte’s fees for fiscal years ended December 31, 2022 and 2021.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4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Service</w:t>
            </w:r>
          </w:p>
        </w:tc>
        <w:tc>
          <w:tcPr>
            <w:tcW w:w="300" w:type="dxa"/>
            <w:vAlign w:val="bottom"/>
            <w:shd w:val="clear" w:color="auto" w:fill="000000"/>
          </w:tcPr>
          <w:p>
            <w:pPr>
              <w:spacing w:after="0"/>
              <w:rPr>
                <w:sz w:val="18"/>
                <w:szCs w:val="18"/>
                <w:color w:val="auto"/>
              </w:rPr>
            </w:pPr>
          </w:p>
        </w:tc>
        <w:tc>
          <w:tcPr>
            <w:tcW w:w="1591" w:type="dxa"/>
            <w:vAlign w:val="bottom"/>
            <w:shd w:val="clear" w:color="auto" w:fill="000000"/>
          </w:tcPr>
          <w:p>
            <w:pPr>
              <w:jc w:val="right"/>
              <w:ind w:right="1013"/>
              <w:spacing w:after="0"/>
              <w:rPr>
                <w:sz w:val="20"/>
                <w:szCs w:val="20"/>
                <w:color w:val="auto"/>
              </w:rPr>
            </w:pPr>
            <w:r>
              <w:rPr>
                <w:rFonts w:ascii="Arial" w:cs="Arial" w:eastAsia="Arial" w:hAnsi="Arial"/>
                <w:sz w:val="13"/>
                <w:szCs w:val="13"/>
                <w:b w:val="1"/>
                <w:bCs w:val="1"/>
                <w:color w:val="FFFFFF"/>
              </w:rPr>
              <w:t>2022</w:t>
            </w:r>
          </w:p>
        </w:tc>
        <w:tc>
          <w:tcPr>
            <w:tcW w:w="569" w:type="dxa"/>
            <w:vAlign w:val="bottom"/>
            <w:shd w:val="clear" w:color="auto" w:fill="000000"/>
          </w:tcPr>
          <w:p>
            <w:pPr>
              <w:spacing w:after="0"/>
              <w:rPr>
                <w:sz w:val="18"/>
                <w:szCs w:val="18"/>
                <w:color w:val="auto"/>
              </w:rPr>
            </w:pPr>
          </w:p>
        </w:tc>
        <w:tc>
          <w:tcPr>
            <w:tcW w:w="1420" w:type="dxa"/>
            <w:vAlign w:val="bottom"/>
            <w:shd w:val="clear" w:color="auto" w:fill="000000"/>
          </w:tcPr>
          <w:p>
            <w:pPr>
              <w:jc w:val="right"/>
              <w:ind w:right="842"/>
              <w:spacing w:after="0"/>
              <w:rPr>
                <w:sz w:val="20"/>
                <w:szCs w:val="20"/>
                <w:color w:val="auto"/>
              </w:rPr>
            </w:pPr>
            <w:r>
              <w:rPr>
                <w:rFonts w:ascii="Arial" w:cs="Arial" w:eastAsia="Arial" w:hAnsi="Arial"/>
                <w:sz w:val="13"/>
                <w:szCs w:val="13"/>
                <w:b w:val="1"/>
                <w:bCs w:val="1"/>
                <w:color w:val="FFFFFF"/>
              </w:rPr>
              <w:t>2021</w:t>
            </w:r>
          </w:p>
        </w:tc>
      </w:tr>
      <w:tr>
        <w:trPr>
          <w:trHeight w:val="207"/>
        </w:trPr>
        <w:tc>
          <w:tcPr>
            <w:tcW w:w="7040" w:type="dxa"/>
            <w:vAlign w:val="bottom"/>
          </w:tcPr>
          <w:p>
            <w:pPr>
              <w:ind w:left="20"/>
              <w:spacing w:after="0"/>
              <w:rPr>
                <w:sz w:val="20"/>
                <w:szCs w:val="20"/>
                <w:color w:val="auto"/>
              </w:rPr>
            </w:pPr>
            <w:r>
              <w:rPr>
                <w:rFonts w:ascii="Arial" w:cs="Arial" w:eastAsia="Arial" w:hAnsi="Arial"/>
                <w:sz w:val="16"/>
                <w:szCs w:val="16"/>
                <w:color w:val="auto"/>
              </w:rPr>
              <w:t>Audit</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91" w:type="dxa"/>
            <w:vAlign w:val="bottom"/>
          </w:tcPr>
          <w:p>
            <w:pPr>
              <w:jc w:val="right"/>
              <w:ind w:right="593"/>
              <w:spacing w:after="0"/>
              <w:rPr>
                <w:sz w:val="20"/>
                <w:szCs w:val="20"/>
                <w:color w:val="auto"/>
              </w:rPr>
            </w:pPr>
            <w:r>
              <w:rPr>
                <w:rFonts w:ascii="Arial" w:cs="Arial" w:eastAsia="Arial" w:hAnsi="Arial"/>
                <w:sz w:val="16"/>
                <w:szCs w:val="16"/>
                <w:color w:val="auto"/>
              </w:rPr>
              <w:t>2,808,591</w:t>
            </w:r>
          </w:p>
        </w:tc>
        <w:tc>
          <w:tcPr>
            <w:tcW w:w="569"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2"/>
              <w:spacing w:after="0"/>
              <w:rPr>
                <w:sz w:val="20"/>
                <w:szCs w:val="20"/>
                <w:color w:val="auto"/>
              </w:rPr>
            </w:pPr>
            <w:r>
              <w:rPr>
                <w:rFonts w:ascii="Arial" w:cs="Arial" w:eastAsia="Arial" w:hAnsi="Arial"/>
                <w:sz w:val="16"/>
                <w:szCs w:val="16"/>
                <w:color w:val="auto"/>
              </w:rPr>
              <w:t>2,657,595</w:t>
            </w:r>
          </w:p>
        </w:tc>
      </w:tr>
      <w:tr>
        <w:trPr>
          <w:trHeight w:val="207"/>
        </w:trPr>
        <w:tc>
          <w:tcPr>
            <w:tcW w:w="7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Audit-Related</w:t>
            </w:r>
          </w:p>
        </w:tc>
        <w:tc>
          <w:tcPr>
            <w:tcW w:w="300" w:type="dxa"/>
            <w:vAlign w:val="bottom"/>
            <w:shd w:val="clear" w:color="auto" w:fill="DBDBDB"/>
          </w:tcPr>
          <w:p>
            <w:pPr>
              <w:spacing w:after="0"/>
              <w:rPr>
                <w:sz w:val="18"/>
                <w:szCs w:val="18"/>
                <w:color w:val="auto"/>
              </w:rPr>
            </w:pPr>
          </w:p>
        </w:tc>
        <w:tc>
          <w:tcPr>
            <w:tcW w:w="1591" w:type="dxa"/>
            <w:vAlign w:val="bottom"/>
            <w:shd w:val="clear" w:color="auto" w:fill="DBDBDB"/>
          </w:tcPr>
          <w:p>
            <w:pPr>
              <w:jc w:val="right"/>
              <w:ind w:right="593"/>
              <w:spacing w:after="0"/>
              <w:rPr>
                <w:sz w:val="20"/>
                <w:szCs w:val="20"/>
                <w:color w:val="auto"/>
              </w:rPr>
            </w:pPr>
            <w:r>
              <w:rPr>
                <w:rFonts w:ascii="Arial" w:cs="Arial" w:eastAsia="Arial" w:hAnsi="Arial"/>
                <w:sz w:val="16"/>
                <w:szCs w:val="16"/>
                <w:color w:val="auto"/>
              </w:rPr>
              <w:t>45,000</w:t>
            </w:r>
          </w:p>
        </w:tc>
        <w:tc>
          <w:tcPr>
            <w:tcW w:w="569"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422"/>
              <w:spacing w:after="0"/>
              <w:rPr>
                <w:sz w:val="20"/>
                <w:szCs w:val="20"/>
                <w:color w:val="auto"/>
              </w:rPr>
            </w:pPr>
            <w:r>
              <w:rPr>
                <w:rFonts w:ascii="Arial" w:cs="Arial" w:eastAsia="Arial" w:hAnsi="Arial"/>
                <w:sz w:val="16"/>
                <w:szCs w:val="16"/>
                <w:color w:val="auto"/>
              </w:rPr>
              <w:t>37,429</w:t>
            </w:r>
          </w:p>
        </w:tc>
      </w:tr>
      <w:tr>
        <w:trPr>
          <w:trHeight w:val="207"/>
        </w:trPr>
        <w:tc>
          <w:tcPr>
            <w:tcW w:w="7040" w:type="dxa"/>
            <w:vAlign w:val="bottom"/>
          </w:tcPr>
          <w:p>
            <w:pPr>
              <w:ind w:left="20"/>
              <w:spacing w:after="0"/>
              <w:rPr>
                <w:sz w:val="20"/>
                <w:szCs w:val="20"/>
                <w:color w:val="auto"/>
              </w:rPr>
            </w:pPr>
            <w:r>
              <w:rPr>
                <w:rFonts w:ascii="Arial" w:cs="Arial" w:eastAsia="Arial" w:hAnsi="Arial"/>
                <w:sz w:val="16"/>
                <w:szCs w:val="16"/>
                <w:color w:val="auto"/>
              </w:rPr>
              <w:t>Tax</w:t>
            </w:r>
          </w:p>
        </w:tc>
        <w:tc>
          <w:tcPr>
            <w:tcW w:w="300" w:type="dxa"/>
            <w:vAlign w:val="bottom"/>
          </w:tcPr>
          <w:p>
            <w:pPr>
              <w:spacing w:after="0"/>
              <w:rPr>
                <w:sz w:val="18"/>
                <w:szCs w:val="18"/>
                <w:color w:val="auto"/>
              </w:rPr>
            </w:pPr>
          </w:p>
        </w:tc>
        <w:tc>
          <w:tcPr>
            <w:tcW w:w="1591" w:type="dxa"/>
            <w:vAlign w:val="bottom"/>
          </w:tcPr>
          <w:p>
            <w:pPr>
              <w:jc w:val="right"/>
              <w:ind w:right="593"/>
              <w:spacing w:after="0"/>
              <w:rPr>
                <w:sz w:val="20"/>
                <w:szCs w:val="20"/>
                <w:color w:val="auto"/>
              </w:rPr>
            </w:pPr>
            <w:r>
              <w:rPr>
                <w:rFonts w:ascii="Arial" w:cs="Arial" w:eastAsia="Arial" w:hAnsi="Arial"/>
                <w:sz w:val="16"/>
                <w:szCs w:val="16"/>
                <w:color w:val="auto"/>
              </w:rPr>
              <w:t>78,750</w:t>
            </w:r>
          </w:p>
        </w:tc>
        <w:tc>
          <w:tcPr>
            <w:tcW w:w="569" w:type="dxa"/>
            <w:vAlign w:val="bottom"/>
          </w:tcPr>
          <w:p>
            <w:pPr>
              <w:spacing w:after="0"/>
              <w:rPr>
                <w:sz w:val="18"/>
                <w:szCs w:val="18"/>
                <w:color w:val="auto"/>
              </w:rPr>
            </w:pPr>
          </w:p>
        </w:tc>
        <w:tc>
          <w:tcPr>
            <w:tcW w:w="1420" w:type="dxa"/>
            <w:vAlign w:val="bottom"/>
          </w:tcPr>
          <w:p>
            <w:pPr>
              <w:jc w:val="right"/>
              <w:ind w:right="422"/>
              <w:spacing w:after="0"/>
              <w:rPr>
                <w:sz w:val="20"/>
                <w:szCs w:val="20"/>
                <w:color w:val="auto"/>
              </w:rPr>
            </w:pPr>
            <w:r>
              <w:rPr>
                <w:rFonts w:ascii="Arial" w:cs="Arial" w:eastAsia="Arial" w:hAnsi="Arial"/>
                <w:sz w:val="16"/>
                <w:szCs w:val="16"/>
                <w:color w:val="auto"/>
              </w:rPr>
              <w:t>110,250</w:t>
            </w:r>
          </w:p>
        </w:tc>
      </w:tr>
      <w:tr>
        <w:trPr>
          <w:trHeight w:val="207"/>
        </w:trPr>
        <w:tc>
          <w:tcPr>
            <w:tcW w:w="7040" w:type="dxa"/>
            <w:vAlign w:val="bottom"/>
            <w:shd w:val="clear" w:color="auto" w:fill="DBDBDB"/>
          </w:tcPr>
          <w:p>
            <w:pPr>
              <w:ind w:left="20"/>
              <w:spacing w:after="0"/>
              <w:rPr>
                <w:sz w:val="20"/>
                <w:szCs w:val="20"/>
                <w:color w:val="auto"/>
              </w:rPr>
            </w:pPr>
            <w:r>
              <w:rPr>
                <w:rFonts w:ascii="Arial" w:cs="Arial" w:eastAsia="Arial" w:hAnsi="Arial"/>
                <w:sz w:val="16"/>
                <w:szCs w:val="16"/>
                <w:color w:val="auto"/>
              </w:rPr>
              <w:t>All Other</w:t>
            </w:r>
          </w:p>
        </w:tc>
        <w:tc>
          <w:tcPr>
            <w:tcW w:w="300" w:type="dxa"/>
            <w:vAlign w:val="bottom"/>
            <w:shd w:val="clear" w:color="auto" w:fill="DBDBDB"/>
          </w:tcPr>
          <w:p>
            <w:pPr>
              <w:spacing w:after="0"/>
              <w:rPr>
                <w:sz w:val="18"/>
                <w:szCs w:val="18"/>
                <w:color w:val="auto"/>
              </w:rPr>
            </w:pPr>
          </w:p>
        </w:tc>
        <w:tc>
          <w:tcPr>
            <w:tcW w:w="1591" w:type="dxa"/>
            <w:vAlign w:val="bottom"/>
            <w:shd w:val="clear" w:color="auto" w:fill="DBDBDB"/>
          </w:tcPr>
          <w:p>
            <w:pPr>
              <w:jc w:val="right"/>
              <w:ind w:right="593"/>
              <w:spacing w:after="0"/>
              <w:rPr>
                <w:sz w:val="20"/>
                <w:szCs w:val="20"/>
                <w:color w:val="auto"/>
              </w:rPr>
            </w:pPr>
            <w:r>
              <w:rPr>
                <w:rFonts w:ascii="Arial" w:cs="Arial" w:eastAsia="Arial" w:hAnsi="Arial"/>
                <w:sz w:val="16"/>
                <w:szCs w:val="16"/>
                <w:color w:val="auto"/>
              </w:rPr>
              <w:t>3,295</w:t>
            </w:r>
          </w:p>
        </w:tc>
        <w:tc>
          <w:tcPr>
            <w:tcW w:w="569" w:type="dxa"/>
            <w:vAlign w:val="bottom"/>
            <w:shd w:val="clear" w:color="auto" w:fill="DBDBDB"/>
          </w:tcPr>
          <w:p>
            <w:pPr>
              <w:spacing w:after="0"/>
              <w:rPr>
                <w:sz w:val="18"/>
                <w:szCs w:val="18"/>
                <w:color w:val="auto"/>
              </w:rPr>
            </w:pPr>
          </w:p>
        </w:tc>
        <w:tc>
          <w:tcPr>
            <w:tcW w:w="1420" w:type="dxa"/>
            <w:vAlign w:val="bottom"/>
            <w:shd w:val="clear" w:color="auto" w:fill="DBDBDB"/>
          </w:tcPr>
          <w:p>
            <w:pPr>
              <w:jc w:val="right"/>
              <w:ind w:right="422"/>
              <w:spacing w:after="0"/>
              <w:rPr>
                <w:sz w:val="20"/>
                <w:szCs w:val="20"/>
                <w:color w:val="auto"/>
              </w:rPr>
            </w:pPr>
            <w:r>
              <w:rPr>
                <w:rFonts w:ascii="Arial" w:cs="Arial" w:eastAsia="Arial" w:hAnsi="Arial"/>
                <w:sz w:val="16"/>
                <w:szCs w:val="16"/>
                <w:color w:val="auto"/>
              </w:rPr>
              <w:t>2,695</w:t>
            </w:r>
          </w:p>
        </w:tc>
      </w:tr>
      <w:tr>
        <w:trPr>
          <w:trHeight w:val="215"/>
        </w:trPr>
        <w:tc>
          <w:tcPr>
            <w:tcW w:w="7040" w:type="dxa"/>
            <w:vAlign w:val="bottom"/>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591" w:type="dxa"/>
            <w:vAlign w:val="bottom"/>
          </w:tcPr>
          <w:p>
            <w:pPr>
              <w:jc w:val="right"/>
              <w:ind w:right="593"/>
              <w:spacing w:after="0"/>
              <w:rPr>
                <w:sz w:val="20"/>
                <w:szCs w:val="20"/>
                <w:color w:val="auto"/>
              </w:rPr>
            </w:pPr>
            <w:r>
              <w:rPr>
                <w:rFonts w:ascii="Arial" w:cs="Arial" w:eastAsia="Arial" w:hAnsi="Arial"/>
                <w:sz w:val="16"/>
                <w:szCs w:val="16"/>
                <w:color w:val="auto"/>
              </w:rPr>
              <w:t>2,935,636</w:t>
            </w:r>
          </w:p>
        </w:tc>
        <w:tc>
          <w:tcPr>
            <w:tcW w:w="569"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422"/>
              <w:spacing w:after="0"/>
              <w:rPr>
                <w:sz w:val="20"/>
                <w:szCs w:val="20"/>
                <w:color w:val="auto"/>
              </w:rPr>
            </w:pPr>
            <w:r>
              <w:rPr>
                <w:rFonts w:ascii="Arial" w:cs="Arial" w:eastAsia="Arial" w:hAnsi="Arial"/>
                <w:sz w:val="16"/>
                <w:szCs w:val="16"/>
                <w:color w:val="auto"/>
              </w:rPr>
              <w:t>2,807,969</w:t>
            </w:r>
          </w:p>
        </w:tc>
      </w:tr>
    </w:tbl>
    <w:p>
      <w:pPr>
        <w:spacing w:after="0" w:line="207" w:lineRule="exact"/>
        <w:rPr>
          <w:sz w:val="20"/>
          <w:szCs w:val="20"/>
          <w:color w:val="auto"/>
        </w:rPr>
      </w:pPr>
    </w:p>
    <w:p>
      <w:pPr>
        <w:spacing w:after="0"/>
        <w:rPr>
          <w:sz w:val="20"/>
          <w:szCs w:val="20"/>
          <w:color w:val="auto"/>
        </w:rPr>
      </w:pPr>
      <w:r>
        <w:rPr>
          <w:rFonts w:ascii="Arial" w:cs="Arial" w:eastAsia="Arial" w:hAnsi="Arial"/>
          <w:sz w:val="16"/>
          <w:szCs w:val="16"/>
          <w:color w:val="auto"/>
        </w:rPr>
        <w:t>Approval of this proposal requires the affirmative vote of a majority of the votes cast on this proposal.</w:t>
      </w:r>
    </w:p>
    <w:p>
      <w:pPr>
        <w:spacing w:after="0" w:line="254" w:lineRule="exact"/>
        <w:rPr>
          <w:sz w:val="20"/>
          <w:szCs w:val="20"/>
          <w:color w:val="auto"/>
        </w:rPr>
      </w:pPr>
    </w:p>
    <w:p>
      <w:pPr>
        <w:ind w:left="20" w:right="540"/>
        <w:spacing w:after="0" w:line="257" w:lineRule="auto"/>
        <w:rPr>
          <w:sz w:val="20"/>
          <w:szCs w:val="20"/>
          <w:color w:val="auto"/>
        </w:rPr>
      </w:pPr>
      <w:r>
        <w:rPr>
          <w:rFonts w:ascii="Arial" w:cs="Arial" w:eastAsia="Arial" w:hAnsi="Arial"/>
          <w:sz w:val="16"/>
          <w:szCs w:val="16"/>
          <w:b w:val="1"/>
          <w:bCs w:val="1"/>
          <w:color w:val="FFFFFF"/>
        </w:rPr>
        <w:t>Our Board recommends that you vote "FOR" the ratification of Deloitte as our independent registered public accounting firm for the year ending December 31, 2023.</w:t>
      </w:r>
    </w:p>
    <w:p>
      <w:pPr>
        <w:spacing w:after="0" w:line="390" w:lineRule="exact"/>
        <w:rPr>
          <w:sz w:val="20"/>
          <w:szCs w:val="20"/>
          <w:color w:val="auto"/>
        </w:rPr>
      </w:pPr>
    </w:p>
    <w:p>
      <w:pPr>
        <w:jc w:val="right"/>
        <w:spacing w:after="0"/>
        <w:rPr>
          <w:sz w:val="20"/>
          <w:szCs w:val="20"/>
          <w:color w:val="auto"/>
        </w:rPr>
      </w:pPr>
      <w:r>
        <w:rPr>
          <w:sz w:val="1"/>
          <w:szCs w:val="1"/>
          <w:color w:val="auto"/>
        </w:rPr>
        <w:drawing>
          <wp:inline distT="0" distB="0" distL="0" distR="0">
            <wp:extent cx="401955" cy="16256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 (vii)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81915</wp:posOffset>
            </wp:positionV>
            <wp:extent cx="7171055" cy="40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sectPr>
      </w:pPr>
    </w:p>
    <w:bookmarkStart w:id="12" w:name="page13"/>
    <w:bookmarkEnd w:id="12"/>
    <w:p>
      <w:pPr>
        <w:jc w:val="center"/>
        <w:spacing w:after="0"/>
        <w:rPr>
          <w:sz w:val="20"/>
          <w:szCs w:val="20"/>
          <w:color w:val="auto"/>
        </w:rPr>
      </w:pPr>
      <w:r>
        <w:rPr>
          <w:rFonts w:ascii="Arial" w:cs="Arial" w:eastAsia="Arial" w:hAnsi="Arial"/>
          <w:sz w:val="23"/>
          <w:szCs w:val="23"/>
          <w:b w:val="1"/>
          <w:bCs w:val="1"/>
          <w:color w:val="auto"/>
        </w:rPr>
        <w:t>BWX TECHNOLOGIES, INC.</w:t>
      </w:r>
    </w:p>
    <w:p>
      <w:pPr>
        <w:spacing w:after="0" w:line="23" w:lineRule="exact"/>
        <w:rPr>
          <w:sz w:val="20"/>
          <w:szCs w:val="20"/>
          <w:color w:val="auto"/>
        </w:rPr>
      </w:pPr>
    </w:p>
    <w:p>
      <w:pPr>
        <w:ind w:left="4640"/>
        <w:spacing w:after="0"/>
        <w:rPr>
          <w:sz w:val="20"/>
          <w:szCs w:val="20"/>
          <w:color w:val="auto"/>
        </w:rPr>
      </w:pPr>
      <w:r>
        <w:rPr>
          <w:rFonts w:ascii="Arial" w:cs="Arial" w:eastAsia="Arial" w:hAnsi="Arial"/>
          <w:sz w:val="16"/>
          <w:szCs w:val="16"/>
          <w:b w:val="1"/>
          <w:bCs w:val="1"/>
          <w:color w:val="auto"/>
        </w:rPr>
        <w:t>800 Main Street, 4th Floor</w:t>
      </w:r>
    </w:p>
    <w:p>
      <w:pPr>
        <w:spacing w:after="0" w:line="1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Lynchburg, Virginia 24504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76835</wp:posOffset>
            </wp:positionV>
            <wp:extent cx="433832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338320" cy="762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Proxy Statement for the 2023 Annual Meeting of Stockholders</w:t>
      </w:r>
    </w:p>
    <w:p>
      <w:pPr>
        <w:jc w:val="center"/>
        <w:spacing w:after="0"/>
        <w:rPr>
          <w:sz w:val="20"/>
          <w:szCs w:val="20"/>
          <w:color w:val="auto"/>
        </w:rPr>
      </w:pPr>
      <w:r>
        <w:rPr>
          <w:rFonts w:ascii="Arial" w:cs="Arial" w:eastAsia="Arial" w:hAnsi="Arial"/>
          <w:sz w:val="16"/>
          <w:szCs w:val="16"/>
          <w:b w:val="1"/>
          <w:bCs w:val="1"/>
          <w:color w:val="auto"/>
        </w:rPr>
        <w:t>to be held on May 3,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1405890</wp:posOffset>
            </wp:positionH>
            <wp:positionV relativeFrom="paragraph">
              <wp:posOffset>15240</wp:posOffset>
            </wp:positionV>
            <wp:extent cx="43383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38320" cy="7620"/>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GENERAL INFORMATION</w:t>
      </w:r>
    </w:p>
    <w:p>
      <w:pPr>
        <w:spacing w:after="0" w:line="153"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The Board of Directors (the "Board") of BWX Technologies, Inc. ("BWXT," the "Company," "we" or "us") has made these materials available to you over the Internet or, upon your request, has mailed you a printed version of these materials in connection with our 2023 Annual Meeting of Stockholders (the "Annual Meeting"), which will take place on May 3, 2023. We mailed the Notice of the Annual Meeting (or Proxy Statement if you requested a hard copy) to our stockholders on or about March 15, 2023, and our proxy materials were posted on the website referenced in the Notice on that same date.</w:t>
      </w:r>
    </w:p>
    <w:p>
      <w:pPr>
        <w:spacing w:after="0" w:line="107" w:lineRule="exact"/>
        <w:rPr>
          <w:sz w:val="20"/>
          <w:szCs w:val="20"/>
          <w:color w:val="auto"/>
        </w:rPr>
      </w:pPr>
    </w:p>
    <w:p>
      <w:pPr>
        <w:ind w:right="260"/>
        <w:spacing w:after="0" w:line="294" w:lineRule="auto"/>
        <w:rPr>
          <w:sz w:val="20"/>
          <w:szCs w:val="20"/>
          <w:color w:val="auto"/>
        </w:rPr>
      </w:pPr>
      <w:r>
        <w:rPr>
          <w:rFonts w:ascii="Arial" w:cs="Arial" w:eastAsia="Arial" w:hAnsi="Arial"/>
          <w:sz w:val="16"/>
          <w:szCs w:val="16"/>
          <w:color w:val="1A1A1A"/>
        </w:rPr>
        <w:t>Links to our website are included in this proxy statement solely for convenience. Content on our website is not, and shall not be deemed to be, part of this proxy statement or incorporated herein or into any of our other filings with the Securities and Exchange Commission ("SEC").</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HOW TO PARTICIPATE IN THE VIRTUAL ANNUAL MEETING</w:t>
      </w:r>
    </w:p>
    <w:p>
      <w:pPr>
        <w:spacing w:after="0" w:line="157" w:lineRule="exact"/>
        <w:rPr>
          <w:sz w:val="20"/>
          <w:szCs w:val="20"/>
          <w:color w:val="auto"/>
        </w:rPr>
      </w:pPr>
    </w:p>
    <w:p>
      <w:pPr>
        <w:ind w:right="540"/>
        <w:spacing w:after="0" w:line="267" w:lineRule="auto"/>
        <w:rPr>
          <w:sz w:val="20"/>
          <w:szCs w:val="20"/>
          <w:color w:val="auto"/>
        </w:rPr>
      </w:pPr>
      <w:r>
        <w:rPr>
          <w:rFonts w:ascii="Arial" w:cs="Arial" w:eastAsia="Arial" w:hAnsi="Arial"/>
          <w:sz w:val="16"/>
          <w:szCs w:val="16"/>
          <w:color w:val="auto"/>
        </w:rPr>
        <w:t xml:space="preserve">You are entitled to participate in our Annual Meeting if you were a stockholder of record at the close of business on March 6, 2023. This year’s Annual Meeting will be held virtually via a live webcast. </w:t>
      </w:r>
      <w:r>
        <w:rPr>
          <w:rFonts w:ascii="Arial" w:cs="Arial" w:eastAsia="Arial" w:hAnsi="Arial"/>
          <w:sz w:val="16"/>
          <w:szCs w:val="16"/>
          <w:color w:val="1A1A1A"/>
        </w:rPr>
        <w:t>To attend and participate in the virtual Annual Meeting,</w:t>
      </w:r>
      <w:r>
        <w:rPr>
          <w:rFonts w:ascii="Arial" w:cs="Arial" w:eastAsia="Arial" w:hAnsi="Arial"/>
          <w:sz w:val="16"/>
          <w:szCs w:val="16"/>
          <w:color w:val="auto"/>
        </w:rPr>
        <w:t xml:space="preserve"> please visit </w:t>
      </w:r>
      <w:r>
        <w:rPr>
          <w:rFonts w:ascii="Arial" w:cs="Arial" w:eastAsia="Arial" w:hAnsi="Arial"/>
          <w:sz w:val="16"/>
          <w:szCs w:val="16"/>
          <w:u w:val="single" w:color="auto"/>
          <w:color w:val="auto"/>
        </w:rPr>
        <w:t>www.virtualshareholdermeeting.com/BWXT2023</w:t>
      </w:r>
      <w:r>
        <w:rPr>
          <w:rFonts w:ascii="Arial" w:cs="Arial" w:eastAsia="Arial" w:hAnsi="Arial"/>
          <w:sz w:val="16"/>
          <w:szCs w:val="16"/>
          <w:color w:val="auto"/>
        </w:rPr>
        <w:t>. You must enter the control number found on your proxy card, voting instruction form or notice you previously received.</w:t>
      </w:r>
    </w:p>
    <w:p>
      <w:pPr>
        <w:spacing w:after="0" w:line="107"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Online access to the webcast will open 15 minutes prior to the start of the Annual Meeting to allow time for you to log-in and test your device. We encourage you to access the website in advance of the designated start time. The virtual meeting platform is supported across browsers and devices running the most updated version of applicable software and plug-ins. You should ensure you can hear streaming audio prior to the start of the meeting. If you encounter technical difficulties with the virtual meeting platform on the meeting day, please call the technical support number that will be posted on the meeting website.</w:t>
      </w:r>
    </w:p>
    <w:p>
      <w:pPr>
        <w:spacing w:after="0" w:line="107"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You may vote during the Annual Meeting by following the instructions available on the virtual meeting website. If you are the beneficial owner of shares held in street name and you want to vote your shares during the Annual Meeting, you must obtain a valid proxy from your broker or nominee. You should contact your broker or nominee or refer to the instructions provided by your broker or nominee for further information. Whether or not you plan to attend the Annual Meeting, we urge you to vote and submit your proxy in advance of the Annual Meeting by one of the methods described in the proxy materials for the Annual Meeting. The proxy card included with the proxy materials may be used to vote your shares in connection with the Annual Meeting. We encourage you to submit your proxies as early as possible to avoid any processing delays.</w:t>
      </w:r>
    </w:p>
    <w:p>
      <w:pPr>
        <w:spacing w:after="0" w:line="110"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 xml:space="preserve">Questions relevant to meeting matters will be taken live via webcast and answered during the meeting as time allows, to emulate an in-person question and answer session. Only stockholders with a valid control number will be allowed to ask questions. </w:t>
      </w:r>
      <w:r>
        <w:rPr>
          <w:rFonts w:ascii="Arial" w:cs="Arial" w:eastAsia="Arial" w:hAnsi="Arial"/>
          <w:sz w:val="16"/>
          <w:szCs w:val="16"/>
          <w:color w:val="1A1A1A"/>
        </w:rPr>
        <w:t>To ensure the meeting is conducted in a manner that is fair</w:t>
      </w:r>
      <w:r>
        <w:rPr>
          <w:rFonts w:ascii="Arial" w:cs="Arial" w:eastAsia="Arial" w:hAnsi="Arial"/>
          <w:sz w:val="16"/>
          <w:szCs w:val="16"/>
          <w:color w:val="auto"/>
        </w:rPr>
        <w:t xml:space="preserve"> </w:t>
      </w:r>
      <w:r>
        <w:rPr>
          <w:rFonts w:ascii="Arial" w:cs="Arial" w:eastAsia="Arial" w:hAnsi="Arial"/>
          <w:sz w:val="16"/>
          <w:szCs w:val="16"/>
          <w:color w:val="1A1A1A"/>
        </w:rPr>
        <w:t xml:space="preserve">to all stockholders, the Chair (or such other person designated by our Board) may exercise broad discretion in recognizing stockholders who wish to ask questions and determining whether inappropriate questions are rejected or edited, the order in which questions are asked, and the amount of time devoted to any one question. Further instructions on how to attend, participate in and vote at the virtual Annual Meeting, including how to demonstrate your ownership of our stock as of the record date, are available at </w:t>
      </w:r>
      <w:r>
        <w:rPr>
          <w:rFonts w:ascii="Arial" w:cs="Arial" w:eastAsia="Arial" w:hAnsi="Arial"/>
          <w:sz w:val="16"/>
          <w:szCs w:val="16"/>
          <w:color w:val="000000"/>
        </w:rPr>
        <w:t>the virtual meeting website</w:t>
      </w:r>
      <w:r>
        <w:rPr>
          <w:rFonts w:ascii="Arial" w:cs="Arial" w:eastAsia="Arial" w:hAnsi="Arial"/>
          <w:sz w:val="16"/>
          <w:szCs w:val="16"/>
          <w:color w:val="1A1A1A"/>
        </w:rPr>
        <w: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923" w:right="319" w:bottom="1440" w:gutter="0" w:footer="0" w:header="0"/>
        </w:sectPr>
      </w:pPr>
    </w:p>
    <w:bookmarkStart w:id="13" w:name="page14"/>
    <w:bookmarkEnd w:id="13"/>
    <w:p>
      <w:pPr>
        <w:ind w:left="839"/>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19"/>
        <w:spacing w:after="0"/>
        <w:rPr>
          <w:sz w:val="20"/>
          <w:szCs w:val="20"/>
          <w:color w:val="auto"/>
        </w:rPr>
      </w:pPr>
      <w:r>
        <w:rPr>
          <w:rFonts w:ascii="Arial" w:cs="Arial" w:eastAsia="Arial" w:hAnsi="Arial"/>
          <w:sz w:val="13"/>
          <w:szCs w:val="13"/>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18415</wp:posOffset>
            </wp:positionV>
            <wp:extent cx="7145655"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9"/>
        <w:spacing w:after="0"/>
        <w:rPr>
          <w:sz w:val="20"/>
          <w:szCs w:val="20"/>
          <w:color w:val="auto"/>
        </w:rPr>
      </w:pPr>
      <w:r>
        <w:rPr>
          <w:rFonts w:ascii="Arial" w:cs="Arial" w:eastAsia="Arial" w:hAnsi="Arial"/>
          <w:sz w:val="23"/>
          <w:szCs w:val="23"/>
          <w:b w:val="1"/>
          <w:bCs w:val="1"/>
          <w:color w:val="BF2115"/>
        </w:rPr>
        <w:t>VOTING INFORMATION</w:t>
      </w:r>
    </w:p>
    <w:p>
      <w:pPr>
        <w:spacing w:after="0" w:line="153"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RECORD DATE AND WHO MAY VOTE</w:t>
      </w:r>
    </w:p>
    <w:p>
      <w:pPr>
        <w:spacing w:after="0" w:line="96" w:lineRule="exact"/>
        <w:rPr>
          <w:sz w:val="20"/>
          <w:szCs w:val="20"/>
          <w:color w:val="auto"/>
        </w:rPr>
      </w:pPr>
    </w:p>
    <w:p>
      <w:pPr>
        <w:ind w:left="39" w:right="100"/>
        <w:spacing w:after="0" w:line="259" w:lineRule="auto"/>
        <w:rPr>
          <w:sz w:val="20"/>
          <w:szCs w:val="20"/>
          <w:color w:val="auto"/>
        </w:rPr>
      </w:pPr>
      <w:r>
        <w:rPr>
          <w:rFonts w:ascii="Arial" w:cs="Arial" w:eastAsia="Arial" w:hAnsi="Arial"/>
          <w:sz w:val="16"/>
          <w:szCs w:val="16"/>
          <w:color w:val="auto"/>
        </w:rPr>
        <w:t xml:space="preserve">Our Board selected March 6, 2023 as the record date for determining stockholders of record entitled to vote at the Annual Meeting. This means that if you were a registered stockholder with our transfer agent and registrar, Computershare Trust Company, N.A., on the record date, you may vote your shares on the matters to be considered at the Annual Meeting. If your shares were held in street name on that date, you should refer to the instructions provided by your broker or nominee for further information. They are seeking your instructions on how you want your shares voted. Brokers holding shares in street name can vote those shares on routine matters if the beneficial owner has not provided voting instructions at least 10 days before the Annual Meeting. Under the rules of the New York Stock Exchange, the election of directors, the advisory vote on compensation of our named executive officers and the advisory vote on the frequency of the advisory vote on executive compensation are not considered routine matters, which means that brokers may not vote your shares for such matters if you have not given your broker specific instructions as to how to vote and your shares will not be represented in those matters. </w:t>
      </w:r>
      <w:r>
        <w:rPr>
          <w:rFonts w:ascii="Arial" w:cs="Arial" w:eastAsia="Arial" w:hAnsi="Arial"/>
          <w:sz w:val="16"/>
          <w:szCs w:val="16"/>
          <w:u w:val="single" w:color="auto"/>
          <w:color w:val="auto"/>
        </w:rPr>
        <w:t>Please be sure to give specific voting instructions to your broker.</w:t>
      </w:r>
    </w:p>
    <w:p>
      <w:pPr>
        <w:spacing w:after="0" w:line="113" w:lineRule="exact"/>
        <w:rPr>
          <w:sz w:val="20"/>
          <w:szCs w:val="20"/>
          <w:color w:val="auto"/>
        </w:rPr>
      </w:pPr>
    </w:p>
    <w:p>
      <w:pPr>
        <w:ind w:left="39" w:right="180"/>
        <w:spacing w:after="0" w:line="294" w:lineRule="auto"/>
        <w:rPr>
          <w:sz w:val="20"/>
          <w:szCs w:val="20"/>
          <w:color w:val="auto"/>
        </w:rPr>
      </w:pPr>
      <w:r>
        <w:rPr>
          <w:rFonts w:ascii="Arial" w:cs="Arial" w:eastAsia="Arial" w:hAnsi="Arial"/>
          <w:sz w:val="16"/>
          <w:szCs w:val="16"/>
          <w:color w:val="auto"/>
        </w:rPr>
        <w:t>On the record date, 91,438,443 shares of our common stock were outstanding. Each outstanding share of common stock entitles its holder to one vote on each matter to be acted on at the meeting.</w:t>
      </w:r>
    </w:p>
    <w:p>
      <w:pPr>
        <w:spacing w:after="0" w:line="36"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HOW TO VOTE</w:t>
      </w:r>
    </w:p>
    <w:p>
      <w:pPr>
        <w:spacing w:after="0" w:line="96" w:lineRule="exact"/>
        <w:rPr>
          <w:sz w:val="20"/>
          <w:szCs w:val="20"/>
          <w:color w:val="auto"/>
        </w:rPr>
      </w:pPr>
    </w:p>
    <w:p>
      <w:pPr>
        <w:ind w:left="39"/>
        <w:spacing w:after="0"/>
        <w:rPr>
          <w:sz w:val="20"/>
          <w:szCs w:val="20"/>
          <w:color w:val="auto"/>
        </w:rPr>
      </w:pPr>
      <w:r>
        <w:rPr>
          <w:rFonts w:ascii="Arial" w:cs="Arial" w:eastAsia="Arial" w:hAnsi="Arial"/>
          <w:sz w:val="16"/>
          <w:szCs w:val="16"/>
          <w:color w:val="auto"/>
        </w:rPr>
        <w:t>Most stockholders can vote by proxy in three ways:</w:t>
      </w:r>
    </w:p>
    <w:p>
      <w:pPr>
        <w:spacing w:after="0" w:line="108" w:lineRule="exact"/>
        <w:rPr>
          <w:sz w:val="20"/>
          <w:szCs w:val="20"/>
          <w:color w:val="auto"/>
        </w:rPr>
      </w:pPr>
    </w:p>
    <w:p>
      <w:pPr>
        <w:ind w:left="279" w:hanging="279"/>
        <w:spacing w:after="0"/>
        <w:tabs>
          <w:tab w:leader="none" w:pos="279" w:val="left"/>
        </w:tabs>
        <w:numPr>
          <w:ilvl w:val="0"/>
          <w:numId w:val="18"/>
        </w:numPr>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by Internet at </w:t>
      </w:r>
      <w:r>
        <w:rPr>
          <w:rFonts w:ascii="Arial" w:cs="Arial" w:eastAsia="Arial" w:hAnsi="Arial"/>
          <w:sz w:val="16"/>
          <w:szCs w:val="16"/>
          <w:u w:val="single" w:color="auto"/>
          <w:color w:val="auto"/>
        </w:rPr>
        <w:t>www.proxyvote.com</w:t>
      </w:r>
      <w:r>
        <w:rPr>
          <w:rFonts w:ascii="Arial" w:cs="Arial" w:eastAsia="Arial" w:hAnsi="Arial"/>
          <w:sz w:val="16"/>
          <w:szCs w:val="16"/>
          <w:color w:val="auto"/>
        </w:rPr>
        <w:t>;</w:t>
      </w:r>
    </w:p>
    <w:p>
      <w:pPr>
        <w:spacing w:after="0" w:line="107" w:lineRule="exact"/>
        <w:rPr>
          <w:rFonts w:ascii="Times New Roman" w:cs="Times New Roman" w:eastAsia="Times New Roman" w:hAnsi="Times New Roman"/>
          <w:sz w:val="16"/>
          <w:szCs w:val="16"/>
          <w:color w:val="auto"/>
        </w:rPr>
      </w:pPr>
    </w:p>
    <w:p>
      <w:pPr>
        <w:ind w:left="279" w:hanging="279"/>
        <w:spacing w:after="0"/>
        <w:tabs>
          <w:tab w:leader="none" w:pos="27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telephone; or</w:t>
      </w:r>
    </w:p>
    <w:p>
      <w:pPr>
        <w:spacing w:after="0" w:line="108" w:lineRule="exact"/>
        <w:rPr>
          <w:rFonts w:ascii="Arial" w:cs="Arial" w:eastAsia="Arial" w:hAnsi="Arial"/>
          <w:sz w:val="16"/>
          <w:szCs w:val="16"/>
          <w:color w:val="auto"/>
        </w:rPr>
      </w:pPr>
    </w:p>
    <w:p>
      <w:pPr>
        <w:ind w:left="279" w:hanging="279"/>
        <w:spacing w:after="0"/>
        <w:tabs>
          <w:tab w:leader="none" w:pos="27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by mail.</w:t>
      </w:r>
    </w:p>
    <w:p>
      <w:pPr>
        <w:spacing w:after="0" w:line="84"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Stockholder of Record</w:t>
      </w:r>
    </w:p>
    <w:p>
      <w:pPr>
        <w:spacing w:after="0" w:line="96" w:lineRule="exact"/>
        <w:rPr>
          <w:sz w:val="20"/>
          <w:szCs w:val="20"/>
          <w:color w:val="auto"/>
        </w:rPr>
      </w:pPr>
    </w:p>
    <w:p>
      <w:pPr>
        <w:ind w:left="39" w:right="180"/>
        <w:spacing w:after="0" w:line="267" w:lineRule="auto"/>
        <w:rPr>
          <w:sz w:val="20"/>
          <w:szCs w:val="20"/>
          <w:color w:val="auto"/>
        </w:rPr>
      </w:pPr>
      <w:r>
        <w:rPr>
          <w:rFonts w:ascii="Arial" w:cs="Arial" w:eastAsia="Arial" w:hAnsi="Arial"/>
          <w:sz w:val="16"/>
          <w:szCs w:val="16"/>
          <w:color w:val="auto"/>
        </w:rPr>
        <w:t>If you are a stockholder of record, you can vote your shares by voting by Internet, telephone, mailing in your proxy or during the Annual Meeting. You may give us your proxy by following the instructions included in the Notice or, if you received a printed version of these proxy materials, in the enclosed proxy card. If you want to vote by mail but have not received a printed version of these proxy materials, you may request a full packet of proxy materials through the instructions in the Notice. If you vote using either telephone or the Internet, you will save us mailing expense.</w:t>
      </w:r>
    </w:p>
    <w:p>
      <w:pPr>
        <w:spacing w:after="0" w:line="46" w:lineRule="exact"/>
        <w:rPr>
          <w:sz w:val="20"/>
          <w:szCs w:val="20"/>
          <w:color w:val="auto"/>
        </w:rPr>
      </w:pPr>
    </w:p>
    <w:p>
      <w:pPr>
        <w:ind w:left="39" w:right="80"/>
        <w:spacing w:after="0" w:line="274" w:lineRule="auto"/>
        <w:rPr>
          <w:sz w:val="20"/>
          <w:szCs w:val="20"/>
          <w:color w:val="auto"/>
        </w:rPr>
      </w:pPr>
      <w:r>
        <w:rPr>
          <w:rFonts w:ascii="Arial" w:cs="Arial" w:eastAsia="Arial" w:hAnsi="Arial"/>
          <w:sz w:val="16"/>
          <w:szCs w:val="16"/>
          <w:color w:val="auto"/>
        </w:rPr>
        <w:t>By giving us your proxy, you will be directing us how to vote your shares at the Annual Meeting. Even if you plan to attend the Annual Meeting, we urge you to vote now by giving us your proxy. This will ensure that your vote is represented at the Annual Meeting. If you do attend the Annual Meeting, you can change your vote at that time, if you then desire to do so.</w:t>
      </w:r>
    </w:p>
    <w:p>
      <w:pPr>
        <w:spacing w:after="0" w:line="28"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Beneficial Owner</w:t>
      </w:r>
    </w:p>
    <w:p>
      <w:pPr>
        <w:spacing w:after="0" w:line="96" w:lineRule="exact"/>
        <w:rPr>
          <w:sz w:val="20"/>
          <w:szCs w:val="20"/>
          <w:color w:val="auto"/>
        </w:rPr>
      </w:pPr>
    </w:p>
    <w:p>
      <w:pPr>
        <w:ind w:left="39"/>
        <w:spacing w:after="0" w:line="262" w:lineRule="auto"/>
        <w:rPr>
          <w:sz w:val="20"/>
          <w:szCs w:val="20"/>
          <w:color w:val="auto"/>
        </w:rPr>
      </w:pPr>
      <w:r>
        <w:rPr>
          <w:rFonts w:ascii="Arial" w:cs="Arial" w:eastAsia="Arial" w:hAnsi="Arial"/>
          <w:sz w:val="16"/>
          <w:szCs w:val="16"/>
          <w:color w:val="auto"/>
        </w:rPr>
        <w:t>If you are the beneficial owner of shares held in street name, the methods by which you can access the proxy materials and give the voting instructions to the broker or nominee may vary. Accordingly, beneficial owners should follow the instructions provided by their brokers or nominees to vote by Internet, telephone or mail. If you want to vote by mail but have not received a printed version of these proxy materials, you may request a full packet of proxy materials as instructed by the Notice. If you want to vote your shares during the Annual Meeting, you must obtain a valid proxy from your broker or nominee. You should contact your broker or nominee or refer to the instructions provided by your broker or nominee for further information. Additionally, the availability of Internet or telephone voting depends on the voting process used by the broker or nominee that holds your shares.</w:t>
      </w:r>
    </w:p>
    <w:p>
      <w:pPr>
        <w:spacing w:after="0" w:line="49" w:lineRule="exact"/>
        <w:rPr>
          <w:sz w:val="20"/>
          <w:szCs w:val="20"/>
          <w:color w:val="auto"/>
        </w:rPr>
      </w:pPr>
    </w:p>
    <w:p>
      <w:pPr>
        <w:jc w:val="both"/>
        <w:ind w:left="39" w:right="80"/>
        <w:spacing w:after="0" w:line="274" w:lineRule="auto"/>
        <w:rPr>
          <w:sz w:val="20"/>
          <w:szCs w:val="20"/>
          <w:color w:val="auto"/>
        </w:rPr>
      </w:pPr>
      <w:r>
        <w:rPr>
          <w:rFonts w:ascii="Arial" w:cs="Arial" w:eastAsia="Arial" w:hAnsi="Arial"/>
          <w:sz w:val="16"/>
          <w:szCs w:val="16"/>
          <w:color w:val="auto"/>
        </w:rPr>
        <w:t>You may receive more than one Notice or proxy statement and proxy card or voting instruction form if your shares are held through more than one account (e.g., through different brokers or nominees). Each proxy card or voting instruction form only covers those shares held in the applicable account. If you hold shares in more than one account, you will have to provide voting instructions for all of your accounts to vote all your shares.</w:t>
      </w:r>
    </w:p>
    <w:p>
      <w:pPr>
        <w:spacing w:after="0" w:line="101"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HOW TO CHANGE YOUR VOTE OR REVOKE YOUR PROXY</w:t>
      </w:r>
    </w:p>
    <w:p>
      <w:pPr>
        <w:spacing w:after="0" w:line="84"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auto"/>
        </w:rPr>
        <w:t>Stockholders of Record</w:t>
      </w:r>
    </w:p>
    <w:p>
      <w:pPr>
        <w:spacing w:after="0" w:line="96" w:lineRule="exact"/>
        <w:rPr>
          <w:sz w:val="20"/>
          <w:szCs w:val="20"/>
          <w:color w:val="auto"/>
        </w:rPr>
      </w:pPr>
    </w:p>
    <w:p>
      <w:pPr>
        <w:ind w:left="39" w:right="60"/>
        <w:spacing w:after="0" w:line="238" w:lineRule="auto"/>
        <w:rPr>
          <w:sz w:val="20"/>
          <w:szCs w:val="20"/>
          <w:color w:val="auto"/>
        </w:rPr>
      </w:pPr>
      <w:r>
        <w:rPr>
          <w:rFonts w:ascii="Arial" w:cs="Arial" w:eastAsia="Arial" w:hAnsi="Arial"/>
          <w:sz w:val="16"/>
          <w:szCs w:val="16"/>
          <w:color w:val="auto"/>
        </w:rPr>
        <w:t>For stockholders of record, you may change your vote or revoke your proxy by written notice to our Corporate Secretary at our corporate headquarters, 800 Main Street, 4</w:t>
      </w:r>
      <w:r>
        <w:rPr>
          <w:rFonts w:ascii="Arial" w:cs="Arial" w:eastAsia="Arial" w:hAnsi="Arial"/>
          <w:sz w:val="21"/>
          <w:szCs w:val="21"/>
          <w:color w:val="auto"/>
          <w:vertAlign w:val="superscript"/>
        </w:rPr>
        <w:t>th</w:t>
      </w:r>
      <w:r>
        <w:rPr>
          <w:rFonts w:ascii="Arial" w:cs="Arial" w:eastAsia="Arial" w:hAnsi="Arial"/>
          <w:sz w:val="16"/>
          <w:szCs w:val="16"/>
          <w:color w:val="auto"/>
        </w:rPr>
        <w:t xml:space="preserve"> Floor, Lynchburg, Virginia 24504, granting a new later dated proxy, submitting a later dated proxy by telephone or on the Internet, or by voting during the Annual Meeting.</w:t>
      </w:r>
    </w:p>
    <w:p>
      <w:pPr>
        <w:spacing w:after="0" w:line="338" w:lineRule="exact"/>
        <w:rPr>
          <w:sz w:val="20"/>
          <w:szCs w:val="20"/>
          <w:color w:val="auto"/>
        </w:rPr>
      </w:pPr>
    </w:p>
    <w:p>
      <w:pPr>
        <w:ind w:left="39"/>
        <w:spacing w:after="0"/>
        <w:rPr>
          <w:sz w:val="20"/>
          <w:szCs w:val="20"/>
          <w:color w:val="auto"/>
        </w:rPr>
      </w:pPr>
      <w:r>
        <w:rPr>
          <w:rFonts w:ascii="Arial" w:cs="Arial" w:eastAsia="Arial" w:hAnsi="Arial"/>
          <w:sz w:val="16"/>
          <w:szCs w:val="16"/>
          <w:b w:val="1"/>
          <w:bCs w:val="1"/>
          <w:color w:val="2C2C2C"/>
        </w:rPr>
        <w:t xml:space="preserve">2 </w:t>
      </w:r>
      <w:r>
        <w:rPr>
          <w:sz w:val="1"/>
          <w:szCs w:val="1"/>
          <w:color w:val="auto"/>
        </w:rPr>
        <w:drawing>
          <wp:inline distT="0" distB="0" distL="0" distR="0">
            <wp:extent cx="401955" cy="1625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89535</wp:posOffset>
            </wp:positionV>
            <wp:extent cx="7171055"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39"/>
          </w:cols>
          <w:pgMar w:left="281" w:top="123" w:right="37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Unless you attend the Annual Meeting and vote your shares, you should change your vote using the same method (by Internet, telephone or mail) that you first used to vote your shares. This will help the inspector of election for the Annual Meeting verify your latest vote.</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Owners</w:t>
      </w:r>
    </w:p>
    <w:p>
      <w:pPr>
        <w:spacing w:after="0" w:line="9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For beneficial owners of shares held in street name, you should follow the instructions in the information provided by your broker or nominee to change your vote or revoke your proxy. If you want to change your vote as to shares held in street name by voting during the Annual Meeting, you must obtain a valid proxy from the broker or nominee that holds those shares for you.</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QUORUM</w:t>
      </w:r>
    </w:p>
    <w:p>
      <w:pPr>
        <w:spacing w:after="0" w:line="9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The Annual Meeting will be held only if a quorum exists. The presence at the Annual Meeting, in person or by proxy, of holders of a majority of our outstanding shares of common stock as of the record date will constitute a quorum. If you attend the Annual Meeting or vote your shares by Internet, telephone or mail, your shares will be counted toward a quorum, even if you abstain from voting on a particular matter. Shares held by brokers and other nominees as to which they have not received voting instructions from the beneficial owners and lack the discretionary authority to vote on a particular matter are called “broker non-votes” and will count for quorum purposes.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PROPOSALS TO BE VOTED ON AT THE ANNUAL MEETING</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are asking you to vote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133350</wp:posOffset>
            </wp:positionV>
            <wp:extent cx="7130415" cy="1162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11620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215" w:lineRule="exact"/>
        <w:rPr>
          <w:sz w:val="20"/>
          <w:szCs w:val="20"/>
          <w:color w:val="auto"/>
        </w:rPr>
      </w:pPr>
    </w:p>
    <w:p>
      <w:pPr>
        <w:ind w:left="180"/>
        <w:spacing w:after="0"/>
        <w:tabs>
          <w:tab w:leader="none" w:pos="1320" w:val="left"/>
        </w:tabs>
        <w:rPr>
          <w:sz w:val="20"/>
          <w:szCs w:val="20"/>
          <w:color w:val="auto"/>
        </w:rPr>
      </w:pPr>
      <w:r>
        <w:rPr>
          <w:rFonts w:ascii="Arial" w:cs="Arial" w:eastAsia="Arial" w:hAnsi="Arial"/>
          <w:sz w:val="13"/>
          <w:szCs w:val="13"/>
          <w:b w:val="1"/>
          <w:bCs w:val="1"/>
          <w:color w:val="FFFFFF"/>
        </w:rPr>
        <w:t>Proposal</w:t>
      </w:r>
      <w:r>
        <w:rPr>
          <w:sz w:val="20"/>
          <w:szCs w:val="20"/>
          <w:color w:val="auto"/>
        </w:rPr>
        <w:tab/>
      </w:r>
      <w:r>
        <w:rPr>
          <w:rFonts w:ascii="Arial" w:cs="Arial" w:eastAsia="Arial" w:hAnsi="Arial"/>
          <w:sz w:val="13"/>
          <w:szCs w:val="13"/>
          <w:b w:val="1"/>
          <w:bCs w:val="1"/>
          <w:color w:val="FFFFFF"/>
        </w:rPr>
        <w:t>Description</w:t>
      </w:r>
    </w:p>
    <w:p>
      <w:pPr>
        <w:spacing w:after="0" w:line="73" w:lineRule="exact"/>
        <w:rPr>
          <w:sz w:val="20"/>
          <w:szCs w:val="20"/>
          <w:color w:val="auto"/>
        </w:rPr>
      </w:pPr>
    </w:p>
    <w:p>
      <w:pPr>
        <w:ind w:left="940" w:hanging="519"/>
        <w:spacing w:after="0"/>
        <w:tabs>
          <w:tab w:leader="none" w:pos="9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Election of nine director nominees to one-year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wp:posOffset>
            </wp:positionV>
            <wp:extent cx="7130415" cy="1625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162560"/>
                    </a:xfrm>
                    <a:prstGeom prst="rect">
                      <a:avLst/>
                    </a:prstGeom>
                    <a:noFill/>
                  </pic:spPr>
                </pic:pic>
              </a:graphicData>
            </a:graphic>
          </wp:anchor>
        </w:drawing>
      </w:r>
    </w:p>
    <w:p>
      <w:pPr>
        <w:spacing w:after="0" w:line="52" w:lineRule="exact"/>
        <w:rPr>
          <w:sz w:val="20"/>
          <w:szCs w:val="20"/>
          <w:color w:val="auto"/>
        </w:rPr>
      </w:pPr>
    </w:p>
    <w:p>
      <w:pPr>
        <w:ind w:left="940" w:hanging="519"/>
        <w:spacing w:after="0"/>
        <w:tabs>
          <w:tab w:leader="none" w:pos="9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Advisory vote on the compensation of our named executive officers</w:t>
      </w:r>
    </w:p>
    <w:p>
      <w:pPr>
        <w:spacing w:after="0" w:line="31" w:lineRule="exact"/>
        <w:rPr>
          <w:sz w:val="20"/>
          <w:szCs w:val="20"/>
          <w:color w:val="auto"/>
        </w:rPr>
      </w:pPr>
    </w:p>
    <w:p>
      <w:pPr>
        <w:ind w:left="940" w:hanging="519"/>
        <w:spacing w:after="0"/>
        <w:tabs>
          <w:tab w:leader="none" w:pos="9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Advisory vote on the frequency of the advisory vote on the compensation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wp:posOffset>
            </wp:positionV>
            <wp:extent cx="7130415" cy="270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270510"/>
                    </a:xfrm>
                    <a:prstGeom prst="rect">
                      <a:avLst/>
                    </a:prstGeom>
                    <a:noFill/>
                  </pic:spPr>
                </pic:pic>
              </a:graphicData>
            </a:graphic>
          </wp:anchor>
        </w:drawing>
      </w:r>
    </w:p>
    <w:p>
      <w:pPr>
        <w:spacing w:after="0" w:line="44" w:lineRule="exact"/>
        <w:rPr>
          <w:sz w:val="20"/>
          <w:szCs w:val="20"/>
          <w:color w:val="auto"/>
        </w:rPr>
      </w:pPr>
    </w:p>
    <w:p>
      <w:pPr>
        <w:ind w:left="940" w:hanging="519"/>
        <w:spacing w:after="0" w:line="182" w:lineRule="auto"/>
        <w:tabs>
          <w:tab w:leader="none" w:pos="940" w:val="left"/>
        </w:tabs>
        <w:numPr>
          <w:ilvl w:val="0"/>
          <w:numId w:val="22"/>
        </w:numPr>
        <w:rPr>
          <w:rFonts w:ascii="Arial" w:cs="Arial" w:eastAsia="Arial" w:hAnsi="Arial"/>
          <w:sz w:val="29"/>
          <w:szCs w:val="29"/>
          <w:color w:val="auto"/>
          <w:vertAlign w:val="subscript"/>
        </w:rPr>
      </w:pPr>
      <w:r>
        <w:rPr>
          <w:rFonts w:ascii="Arial" w:cs="Arial" w:eastAsia="Arial" w:hAnsi="Arial"/>
          <w:sz w:val="15"/>
          <w:szCs w:val="15"/>
          <w:color w:val="auto"/>
        </w:rPr>
        <w:t>Ratification of Deloitte &amp; Touche LLP as our independent registered public accounting firm for the fiscal year ending December 31, 2023</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VOTE REQUIRED</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 Election of Directors</w:t>
      </w:r>
    </w:p>
    <w:p>
      <w:pPr>
        <w:spacing w:after="0" w:line="20" w:lineRule="exact"/>
        <w:rPr>
          <w:sz w:val="20"/>
          <w:szCs w:val="20"/>
          <w:color w:val="auto"/>
        </w:rPr>
      </w:pPr>
      <w:r>
        <w:rPr>
          <w:sz w:val="20"/>
          <w:szCs w:val="20"/>
          <w:color w:val="auto"/>
        </w:rPr>
        <w:br w:type="column"/>
      </w:r>
    </w:p>
    <w:p>
      <w:pPr>
        <w:spacing w:after="0" w:line="195" w:lineRule="exact"/>
        <w:rPr>
          <w:sz w:val="20"/>
          <w:szCs w:val="20"/>
          <w:color w:val="auto"/>
        </w:rPr>
      </w:pPr>
    </w:p>
    <w:p>
      <w:pPr>
        <w:jc w:val="center"/>
        <w:ind w:right="140"/>
        <w:spacing w:after="0"/>
        <w:rPr>
          <w:sz w:val="20"/>
          <w:szCs w:val="20"/>
          <w:color w:val="auto"/>
        </w:rPr>
      </w:pPr>
      <w:r>
        <w:rPr>
          <w:rFonts w:ascii="Arial" w:cs="Arial" w:eastAsia="Arial" w:hAnsi="Arial"/>
          <w:sz w:val="12"/>
          <w:szCs w:val="12"/>
          <w:b w:val="1"/>
          <w:bCs w:val="1"/>
          <w:color w:val="FFFFFF"/>
        </w:rPr>
        <w:t>Board's Voting Recommendation</w:t>
      </w:r>
    </w:p>
    <w:p>
      <w:pPr>
        <w:spacing w:after="0" w:line="60"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BF2115"/>
        </w:rPr>
        <w:t>FOR EACH NOMINEE</w:t>
      </w:r>
    </w:p>
    <w:p>
      <w:pPr>
        <w:spacing w:after="0" w:line="72" w:lineRule="exact"/>
        <w:rPr>
          <w:sz w:val="20"/>
          <w:szCs w:val="20"/>
          <w:color w:val="auto"/>
        </w:rPr>
      </w:pPr>
    </w:p>
    <w:p>
      <w:pPr>
        <w:jc w:val="center"/>
        <w:ind w:right="140"/>
        <w:spacing w:after="0"/>
        <w:rPr>
          <w:sz w:val="20"/>
          <w:szCs w:val="20"/>
          <w:color w:val="auto"/>
        </w:rPr>
      </w:pPr>
      <w:r>
        <w:rPr>
          <w:rFonts w:ascii="Arial" w:cs="Arial" w:eastAsia="Arial" w:hAnsi="Arial"/>
          <w:sz w:val="16"/>
          <w:szCs w:val="16"/>
          <w:b w:val="1"/>
          <w:bCs w:val="1"/>
          <w:color w:val="BF2115"/>
        </w:rPr>
        <w:t>FOR</w:t>
      </w:r>
    </w:p>
    <w:p>
      <w:pPr>
        <w:spacing w:after="0" w:line="47" w:lineRule="exact"/>
        <w:rPr>
          <w:sz w:val="20"/>
          <w:szCs w:val="20"/>
          <w:color w:val="auto"/>
        </w:rPr>
      </w:pPr>
    </w:p>
    <w:p>
      <w:pPr>
        <w:ind w:left="840" w:right="880" w:hanging="120"/>
        <w:spacing w:after="0" w:line="463" w:lineRule="auto"/>
        <w:tabs>
          <w:tab w:leader="none" w:pos="853" w:val="left"/>
        </w:tabs>
        <w:numPr>
          <w:ilvl w:val="0"/>
          <w:numId w:val="23"/>
        </w:numPr>
        <w:rPr>
          <w:rFonts w:ascii="Arial" w:cs="Arial" w:eastAsia="Arial" w:hAnsi="Arial"/>
          <w:sz w:val="16"/>
          <w:szCs w:val="16"/>
          <w:b w:val="1"/>
          <w:bCs w:val="1"/>
          <w:color w:val="BF2115"/>
        </w:rPr>
      </w:pPr>
      <w:r>
        <w:rPr>
          <w:rFonts w:ascii="Arial" w:cs="Arial" w:eastAsia="Arial" w:hAnsi="Arial"/>
          <w:sz w:val="16"/>
          <w:szCs w:val="16"/>
          <w:b w:val="1"/>
          <w:bCs w:val="1"/>
          <w:color w:val="BF2115"/>
        </w:rPr>
        <w:t>YEAR FOR</w:t>
      </w:r>
    </w:p>
    <w:p>
      <w:pPr>
        <w:spacing w:after="0" w:line="714" w:lineRule="exact"/>
        <w:rPr>
          <w:sz w:val="20"/>
          <w:szCs w:val="20"/>
          <w:color w:val="auto"/>
        </w:rPr>
      </w:pPr>
    </w:p>
    <w:p>
      <w:pPr>
        <w:sectPr>
          <w:pgSz w:w="11900" w:h="16838" w:orient="portrait"/>
          <w:cols w:equalWidth="0" w:num="2">
            <w:col w:w="8680" w:space="400"/>
            <w:col w:w="2180"/>
          </w:cols>
          <w:pgMar w:left="320" w:top="123" w:right="319" w:bottom="1440" w:gutter="0" w:footer="0" w:header="0"/>
          <w:type w:val="continuous"/>
        </w:sectPr>
      </w:pPr>
    </w:p>
    <w:p>
      <w:pPr>
        <w:ind w:right="60"/>
        <w:spacing w:after="0" w:line="264" w:lineRule="auto"/>
        <w:rPr>
          <w:sz w:val="20"/>
          <w:szCs w:val="20"/>
          <w:color w:val="auto"/>
        </w:rPr>
      </w:pPr>
      <w:r>
        <w:rPr>
          <w:rFonts w:ascii="Arial" w:cs="Arial" w:eastAsia="Arial" w:hAnsi="Arial"/>
          <w:sz w:val="16"/>
          <w:szCs w:val="16"/>
          <w:color w:val="auto"/>
        </w:rPr>
        <w:t>For the proposal on the election of directors, a director nominee will be elected to the Board of Directors if the numbers of votes cast "FOR" the nominee exceeds the number of votes cast "AGAINST" at the Annual Meeting. You may vote “FOR” or "AGAINST" each director nominee or abstain from voting for one or more nominees. Abstentions and broker non-votes with respect to the election of directors will have no effect on the outcome and do not count as votes cast. Under our Bylaws, in the event of a contested election, the director nominees will be elected by the affirmative vote of a plurality of the votes cast by the shares of our common stock entitled to vote in the election of directors at the Annual Meeting.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 Advisory Vote on Executive Compensation</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For the advisory vote on executive compensation proposal, you may vote “FOR” or “AGAINST” or abstain from voting. This proposal requires the affirmative vote of a majority of the shares of our common stock present in person or represented by proxy at the Annual Meeting and entitled to vote on the matter in order to be adopted. Abstentions are counted for purposes of determining a quorum and are considered present and entitled to vote on this proposal. As a result, abstentions have the effect of an “AGAINST” vote. Broker non-votes will not be considered as entitled to vote on this proposal, even though they are considered present for purposes of determining a quorum and may be entitled to vote on other matters. As a result, broker non-votes will not have any effect on this proposal.</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3: Advisory Vote on the Frequency of the Advisory Vote on the Compensation of our Named Executive Officers</w:t>
      </w:r>
    </w:p>
    <w:p>
      <w:pPr>
        <w:spacing w:after="0" w:line="84" w:lineRule="exact"/>
        <w:rPr>
          <w:sz w:val="20"/>
          <w:szCs w:val="20"/>
          <w:color w:val="auto"/>
        </w:rPr>
      </w:pPr>
    </w:p>
    <w:p>
      <w:pPr>
        <w:ind w:right="500"/>
        <w:spacing w:after="0" w:line="294" w:lineRule="auto"/>
        <w:rPr>
          <w:sz w:val="20"/>
          <w:szCs w:val="20"/>
          <w:color w:val="auto"/>
        </w:rPr>
      </w:pPr>
      <w:r>
        <w:rPr>
          <w:rFonts w:ascii="Arial" w:cs="Arial" w:eastAsia="Arial" w:hAnsi="Arial"/>
          <w:sz w:val="16"/>
          <w:szCs w:val="16"/>
          <w:color w:val="auto"/>
        </w:rPr>
        <w:t>For the advisory vote on the frequency of the advisory vote on the compensation of our named executive officers proposal, you may vote “1 YEAR,” "2 YEARS," “3 YEARS” or abstain from voting This proposal requires the</w:t>
      </w:r>
    </w:p>
    <w:p>
      <w:pPr>
        <w:spacing w:after="0" w:line="27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5" w:name="page16"/>
    <w:bookmarkEnd w:id="15"/>
    <w:p>
      <w:pPr>
        <w:ind w:left="80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83"/>
        <w:spacing w:after="0"/>
        <w:rPr>
          <w:sz w:val="20"/>
          <w:szCs w:val="20"/>
          <w:color w:val="auto"/>
        </w:rPr>
      </w:pPr>
      <w:r>
        <w:rPr>
          <w:rFonts w:ascii="Arial" w:cs="Arial" w:eastAsia="Arial" w:hAnsi="Arial"/>
          <w:sz w:val="13"/>
          <w:szCs w:val="13"/>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655"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3"/>
        <w:spacing w:after="0" w:line="264" w:lineRule="auto"/>
        <w:rPr>
          <w:sz w:val="20"/>
          <w:szCs w:val="20"/>
          <w:color w:val="auto"/>
        </w:rPr>
      </w:pPr>
      <w:r>
        <w:rPr>
          <w:rFonts w:ascii="Arial" w:cs="Arial" w:eastAsia="Arial" w:hAnsi="Arial"/>
          <w:sz w:val="16"/>
          <w:szCs w:val="16"/>
          <w:color w:val="auto"/>
        </w:rPr>
        <w:t>affirmative vote of a majority of the shares of our common stock present in person or represented by proxy at the Annual Meeting and entitled to vote on the matter in order to be adopted. Abstentions are counted for purposes of determining a quorum and are considered present and entitled to vote on this proposal. As a result, abstentions have the effect of a vote against "1 YEAR," "2 YEARS" and "3 YEARS." Broker non-votes will not be considered as entitled to vote on this proposal, even though they are considered present for purposes of determining a quorum and may be entitled to vote on other matters. As a result, broker non-votes will not have any effect on this proposal.</w:t>
      </w:r>
    </w:p>
    <w:p>
      <w:pPr>
        <w:spacing w:after="0" w:line="35"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Proposal 4: Ratification of Independent Registered Public Accounting Firm</w:t>
      </w:r>
    </w:p>
    <w:p>
      <w:pPr>
        <w:spacing w:after="0" w:line="96" w:lineRule="exact"/>
        <w:rPr>
          <w:sz w:val="20"/>
          <w:szCs w:val="20"/>
          <w:color w:val="auto"/>
        </w:rPr>
      </w:pPr>
    </w:p>
    <w:p>
      <w:pPr>
        <w:jc w:val="both"/>
        <w:ind w:left="3" w:right="320"/>
        <w:spacing w:after="0" w:line="274" w:lineRule="auto"/>
        <w:rPr>
          <w:sz w:val="20"/>
          <w:szCs w:val="20"/>
          <w:color w:val="auto"/>
        </w:rPr>
      </w:pPr>
      <w:r>
        <w:rPr>
          <w:rFonts w:ascii="Arial" w:cs="Arial" w:eastAsia="Arial" w:hAnsi="Arial"/>
          <w:sz w:val="16"/>
          <w:szCs w:val="16"/>
          <w:color w:val="auto"/>
        </w:rPr>
        <w:t>For the proposal to ratify the appointment of Deloitte as our independent registered public accounting firm, you may vote “FOR” or “AGAINST” or abstain from voting. This proposal requires the affirmative vote of a majority of the votes cast on the matter. Abstentions will not be considered as cast and, as a result, will not have any effect on the proposal.</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HOW VOTES ARE COUNTED</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Stockholders of Record</w:t>
      </w:r>
    </w:p>
    <w:p>
      <w:pPr>
        <w:spacing w:after="0" w:line="84" w:lineRule="exact"/>
        <w:rPr>
          <w:sz w:val="20"/>
          <w:szCs w:val="20"/>
          <w:color w:val="auto"/>
        </w:rPr>
      </w:pPr>
    </w:p>
    <w:p>
      <w:pPr>
        <w:ind w:left="3" w:right="40"/>
        <w:spacing w:after="0" w:line="260" w:lineRule="auto"/>
        <w:rPr>
          <w:sz w:val="20"/>
          <w:szCs w:val="20"/>
          <w:color w:val="auto"/>
        </w:rPr>
      </w:pPr>
      <w:r>
        <w:rPr>
          <w:rFonts w:ascii="Arial" w:cs="Arial" w:eastAsia="Arial" w:hAnsi="Arial"/>
          <w:sz w:val="16"/>
          <w:szCs w:val="16"/>
          <w:color w:val="auto"/>
        </w:rPr>
        <w:t>For stockholders of record, all shares represented by the proxies will be voted at the Annual Meeting in accordance with instructions given by the stockholders. Where a stockholder returns their proxy and no instructions are given with respect to a given matter, the shares will be voted: (1) “FOR” the election of directors; (2) “FOR” the approval of the compensation of our named executive officers on an advisory basis; (3) "1 YEAR" on the advisory vote on the frequency of the advisory vote on the compensation of our named executive officers; (4) “FOR” the ratification of the appointment of Deloitte as our independent registered public accounting firm; and (5) in the discretion of the proxy holders upon such other business as may properly come before the Annual Meeting. If you are a stockholder of record and you do not return your proxy, no votes will be cast on your behalf on any of the items of business at the Annual Meeting.</w:t>
      </w:r>
    </w:p>
    <w:p>
      <w:pPr>
        <w:spacing w:after="0" w:line="5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Beneficial Owners</w:t>
      </w:r>
    </w:p>
    <w:p>
      <w:pPr>
        <w:spacing w:after="0" w:line="96" w:lineRule="exact"/>
        <w:rPr>
          <w:sz w:val="20"/>
          <w:szCs w:val="20"/>
          <w:color w:val="auto"/>
        </w:rPr>
      </w:pPr>
    </w:p>
    <w:p>
      <w:pPr>
        <w:ind w:left="3"/>
        <w:spacing w:after="0" w:line="258" w:lineRule="auto"/>
        <w:rPr>
          <w:sz w:val="20"/>
          <w:szCs w:val="20"/>
          <w:color w:val="auto"/>
        </w:rPr>
      </w:pPr>
      <w:r>
        <w:rPr>
          <w:rFonts w:ascii="Arial" w:cs="Arial" w:eastAsia="Arial" w:hAnsi="Arial"/>
          <w:sz w:val="16"/>
          <w:szCs w:val="16"/>
          <w:color w:val="auto"/>
        </w:rPr>
        <w:t>For beneficial owners of shares held in street name, the brokers or nominees holding shares for beneficial owners must vote those shares as instructed. Absent instructions from you, brokers, banks and nominees may vote your shares only as they decide as to matters for which they have discretionary authority under the applicable New York Stock Exchange rules. A broker, bank or nominee does not have discretion to vote on the election of directors or approval of the compensation of our named executive officers. If you do not instruct your broker, bank or nominee how to vote on those matters, no votes will be cast on your behalf on the election of directors, the advisory vote on compensation of our named executive officers or the advisory vote on the frequency of the advisory vote on executive compensation. Your broker will be entitled to vote your shares in its discretion, absent instructions from you, on the ratification of the appointment of Deloitte as our independent registered public accounting firm. Any shares of our common stock held in the Thrift Plan for Employees of BWXT and Participating Subsidiary and Affiliated Companies (our "Thrift Plan”) that are not voted or for which Vanguard, as trustee of the Thrift Plan, does not receive timely voting instructions, will be voted in the same proportion as the shares for which Vanguard receives timely voting instructions from other participants in the Thrift Plan.</w:t>
      </w:r>
    </w:p>
    <w:p>
      <w:pPr>
        <w:spacing w:after="0" w:line="4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Other Matters</w:t>
      </w:r>
    </w:p>
    <w:p>
      <w:pPr>
        <w:spacing w:after="0" w:line="96" w:lineRule="exact"/>
        <w:rPr>
          <w:sz w:val="20"/>
          <w:szCs w:val="20"/>
          <w:color w:val="auto"/>
        </w:rPr>
      </w:pPr>
    </w:p>
    <w:p>
      <w:pPr>
        <w:jc w:val="both"/>
        <w:ind w:left="3" w:right="300"/>
        <w:spacing w:after="0" w:line="274" w:lineRule="auto"/>
        <w:rPr>
          <w:sz w:val="20"/>
          <w:szCs w:val="20"/>
          <w:color w:val="auto"/>
        </w:rPr>
      </w:pPr>
      <w:r>
        <w:rPr>
          <w:rFonts w:ascii="Arial" w:cs="Arial" w:eastAsia="Arial" w:hAnsi="Arial"/>
          <w:sz w:val="16"/>
          <w:szCs w:val="16"/>
          <w:color w:val="auto"/>
        </w:rPr>
        <w:t>We are not aware of any other matters that may be presented or acted on at the Annual Meeting. If you vote by signing and returning the enclosed proxy card or using the Internet or telephone voting procedures, the individuals named as proxies on the card may vote your shares, in their discretion, on any other matter requiring a stockholder vote that comes before the Annual Meeting.</w:t>
      </w:r>
    </w:p>
    <w:p>
      <w:pPr>
        <w:spacing w:after="0" w:line="101"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CONFIDENTIAL VOTING</w:t>
      </w:r>
    </w:p>
    <w:p>
      <w:pPr>
        <w:spacing w:after="0" w:line="96" w:lineRule="exact"/>
        <w:rPr>
          <w:sz w:val="20"/>
          <w:szCs w:val="20"/>
          <w:color w:val="auto"/>
        </w:rPr>
      </w:pPr>
    </w:p>
    <w:p>
      <w:pPr>
        <w:ind w:left="3"/>
        <w:spacing w:after="0"/>
        <w:rPr>
          <w:sz w:val="20"/>
          <w:szCs w:val="20"/>
          <w:color w:val="auto"/>
        </w:rPr>
      </w:pPr>
      <w:r>
        <w:rPr>
          <w:rFonts w:ascii="Arial" w:cs="Arial" w:eastAsia="Arial" w:hAnsi="Arial"/>
          <w:sz w:val="16"/>
          <w:szCs w:val="16"/>
          <w:color w:val="auto"/>
        </w:rPr>
        <w:t>All voted proxies and ballots will be handled to protect your voting privacy as a stockholder. Your vote will not be disclosed except:</w:t>
      </w:r>
    </w:p>
    <w:p>
      <w:pPr>
        <w:spacing w:after="0" w:line="108" w:lineRule="exact"/>
        <w:rPr>
          <w:sz w:val="20"/>
          <w:szCs w:val="20"/>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meet any legal requirements;</w:t>
      </w:r>
    </w:p>
    <w:p>
      <w:pPr>
        <w:spacing w:after="0" w:line="108"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limited circumstances such as a proxy contest in opposition to our Board;</w:t>
      </w:r>
    </w:p>
    <w:p>
      <w:pPr>
        <w:spacing w:after="0" w:line="108"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permit independent inspectors of election to tabulate and certify your vote; or</w:t>
      </w:r>
    </w:p>
    <w:p>
      <w:pPr>
        <w:spacing w:after="0" w:line="108" w:lineRule="exact"/>
        <w:rPr>
          <w:rFonts w:ascii="Arial" w:cs="Arial" w:eastAsia="Arial" w:hAnsi="Arial"/>
          <w:sz w:val="16"/>
          <w:szCs w:val="16"/>
          <w:color w:val="auto"/>
        </w:rPr>
      </w:pPr>
    </w:p>
    <w:p>
      <w:pPr>
        <w:ind w:left="283" w:hanging="283"/>
        <w:spacing w:after="0"/>
        <w:tabs>
          <w:tab w:leader="none" w:pos="283" w:val="left"/>
        </w:tabs>
        <w:numPr>
          <w:ilvl w:val="0"/>
          <w:numId w:val="24"/>
        </w:numPr>
        <w:rPr>
          <w:rFonts w:ascii="Arial" w:cs="Arial" w:eastAsia="Arial" w:hAnsi="Arial"/>
          <w:sz w:val="16"/>
          <w:szCs w:val="16"/>
          <w:color w:val="auto"/>
        </w:rPr>
      </w:pPr>
      <w:r>
        <w:rPr>
          <w:rFonts w:ascii="Arial" w:cs="Arial" w:eastAsia="Arial" w:hAnsi="Arial"/>
          <w:sz w:val="16"/>
          <w:szCs w:val="16"/>
          <w:color w:val="auto"/>
        </w:rPr>
        <w:t>to adequately respond to your written comments on your proxy card.</w:t>
      </w:r>
    </w:p>
    <w:p>
      <w:pPr>
        <w:spacing w:after="0" w:line="36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2C2C2C"/>
        </w:rPr>
        <w:t xml:space="preserve">4 </w:t>
      </w:r>
      <w:r>
        <w:rPr>
          <w:sz w:val="1"/>
          <w:szCs w:val="1"/>
          <w:color w:val="auto"/>
        </w:rPr>
        <w:drawing>
          <wp:inline distT="0" distB="0" distL="0" distR="0">
            <wp:extent cx="401955" cy="16256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171055"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3"/>
          </w:cols>
          <w:pgMar w:left="317" w:top="123"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jc w:val="right"/>
        <w:ind w:right="20"/>
        <w:spacing w:after="0"/>
        <w:rPr>
          <w:sz w:val="20"/>
          <w:szCs w:val="20"/>
          <w:color w:val="auto"/>
        </w:rPr>
      </w:pPr>
      <w:r>
        <w:rPr>
          <w:rFonts w:ascii="Arial" w:cs="Arial" w:eastAsia="Arial" w:hAnsi="Arial"/>
          <w:sz w:val="13"/>
          <w:szCs w:val="13"/>
          <w:color w:val="auto"/>
        </w:rPr>
        <w:t>VOTING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SOLICITATION OF PROXIES</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We have sent or provided access to the materials to you because our Board is soliciting your proxy to vote your shares at our Annual Meeting. We will bear all expenses incurred in connection with this proxy solicitation. We have engaged Alliance Advisors to assist in the solicitation for a fee of $26,800. In addition, our officers and employees may solicit your proxy by telephone, facsimile transmission, electronic mail or in person, and they will not be separately compensated for such services. We solicit proxies to give all stockholders an opportunity to vote on matters that will be presented at the Annual Meeting. In this proxy statement, you will find information on these matters, which is provided to assist you in voting your shares. If your shares are held through a broker or other nominee (</w:t>
      </w:r>
      <w:r>
        <w:rPr>
          <w:rFonts w:ascii="Arial" w:cs="Arial" w:eastAsia="Arial" w:hAnsi="Arial"/>
          <w:sz w:val="16"/>
          <w:szCs w:val="16"/>
          <w:i w:val="1"/>
          <w:iCs w:val="1"/>
          <w:color w:val="auto"/>
        </w:rPr>
        <w:t>i.e.</w:t>
      </w:r>
      <w:r>
        <w:rPr>
          <w:rFonts w:ascii="Arial" w:cs="Arial" w:eastAsia="Arial" w:hAnsi="Arial"/>
          <w:sz w:val="16"/>
          <w:szCs w:val="16"/>
          <w:color w:val="auto"/>
        </w:rPr>
        <w:t>, in "street name") and you have requested printed versions of these materials, we have requested that your broker or nominee forward this proxy statement to you and obtain your voting instructions, for which we will reimburse them for reasonable out-of-pocket expenses. If your shares are held through our Thrift Plan and you have requested printed versions of these materials, the trustee of that plan has sent you this proxy statement and you should instruct the trustee on how to vote your Thrift Plan shares.</w:t>
      </w:r>
    </w:p>
    <w:p>
      <w:pPr>
        <w:spacing w:after="0" w:line="200" w:lineRule="exact"/>
        <w:rPr>
          <w:sz w:val="20"/>
          <w:szCs w:val="20"/>
          <w:color w:val="auto"/>
        </w:rPr>
      </w:pPr>
    </w:p>
    <w:p>
      <w:pPr>
        <w:spacing w:after="0" w:line="31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7" w:name="page18"/>
    <w:bookmarkEnd w:id="1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PROPOSAL 1: ELECTION OF DIRECTORS</w:t>
      </w:r>
    </w:p>
    <w:p>
      <w:pPr>
        <w:spacing w:after="0" w:line="117"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Our Board of Directors is currently comprised of the nine members identified in the table below, all of whom are standing for election. All director nominees stand for election to one-year terms at the Annual Meeting and each annual meeting of stockholders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49530</wp:posOffset>
            </wp:positionV>
            <wp:extent cx="7145655" cy="8661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5655" cy="866140"/>
                    </a:xfrm>
                    <a:prstGeom prst="rect">
                      <a:avLst/>
                    </a:prstGeom>
                    <a:noFill/>
                  </pic:spPr>
                </pic:pic>
              </a:graphicData>
            </a:graphic>
          </wp:anchor>
        </w:drawing>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BF2115"/>
        </w:rPr>
        <w:t>10-Year Director Tenure Limit</w:t>
      </w:r>
    </w:p>
    <w:p>
      <w:pPr>
        <w:spacing w:after="0" w:line="108" w:lineRule="exact"/>
        <w:rPr>
          <w:sz w:val="20"/>
          <w:szCs w:val="20"/>
          <w:color w:val="auto"/>
        </w:rPr>
      </w:pPr>
    </w:p>
    <w:p>
      <w:pPr>
        <w:ind w:left="20" w:right="60"/>
        <w:spacing w:after="0" w:line="267" w:lineRule="auto"/>
        <w:rPr>
          <w:sz w:val="20"/>
          <w:szCs w:val="20"/>
          <w:color w:val="auto"/>
        </w:rPr>
      </w:pPr>
      <w:r>
        <w:rPr>
          <w:rFonts w:ascii="Arial" w:cs="Arial" w:eastAsia="Arial" w:hAnsi="Arial"/>
          <w:sz w:val="16"/>
          <w:szCs w:val="16"/>
          <w:color w:val="auto"/>
        </w:rPr>
        <w:t>In 2015, our Board adopted a 10-year director tenure policy that provides that (1) no person may be nominated to serve on the Board if they have more than 10 years of service prior to the date of such election and (2) a director is deemed to resign and retire at the next annual meeting of stockholders following the term in which 10 years of service is attained. See "10-Year Director Tenure Limit" under Corporate Governance — Board Function, Leadership and Executive Sessions below.</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600" w:type="dxa"/>
            <w:vAlign w:val="bottom"/>
            <w:shd w:val="clear" w:color="auto" w:fill="000000"/>
          </w:tcPr>
          <w:p>
            <w:pPr>
              <w:ind w:left="120"/>
              <w:spacing w:after="0"/>
              <w:rPr>
                <w:sz w:val="20"/>
                <w:szCs w:val="20"/>
                <w:color w:val="auto"/>
              </w:rPr>
            </w:pPr>
            <w:r>
              <w:rPr>
                <w:rFonts w:ascii="Arial" w:cs="Arial" w:eastAsia="Arial" w:hAnsi="Arial"/>
                <w:sz w:val="13"/>
                <w:szCs w:val="13"/>
                <w:b w:val="1"/>
                <w:bCs w:val="1"/>
                <w:color w:val="FFFFFF"/>
              </w:rPr>
              <w:t>Director Nominee</w:t>
            </w:r>
          </w:p>
        </w:tc>
        <w:tc>
          <w:tcPr>
            <w:tcW w:w="5660" w:type="dxa"/>
            <w:vAlign w:val="bottom"/>
            <w:shd w:val="clear" w:color="auto" w:fill="000000"/>
          </w:tcPr>
          <w:p>
            <w:pPr>
              <w:jc w:val="center"/>
              <w:ind w:left="3468"/>
              <w:spacing w:after="0"/>
              <w:rPr>
                <w:sz w:val="20"/>
                <w:szCs w:val="20"/>
                <w:color w:val="auto"/>
              </w:rPr>
            </w:pPr>
            <w:r>
              <w:rPr>
                <w:rFonts w:ascii="Arial" w:cs="Arial" w:eastAsia="Arial" w:hAnsi="Arial"/>
                <w:sz w:val="13"/>
                <w:szCs w:val="13"/>
                <w:b w:val="1"/>
                <w:bCs w:val="1"/>
                <w:color w:val="FFFFFF"/>
                <w:w w:val="99"/>
              </w:rPr>
              <w:t>Director Since</w:t>
            </w:r>
          </w:p>
        </w:tc>
      </w:tr>
      <w:tr>
        <w:trPr>
          <w:trHeight w:val="194"/>
        </w:trPr>
        <w:tc>
          <w:tcPr>
            <w:tcW w:w="5600" w:type="dxa"/>
            <w:vAlign w:val="bottom"/>
          </w:tcPr>
          <w:p>
            <w:pPr>
              <w:ind w:left="120"/>
              <w:spacing w:after="0"/>
              <w:rPr>
                <w:sz w:val="20"/>
                <w:szCs w:val="20"/>
                <w:color w:val="auto"/>
              </w:rPr>
            </w:pPr>
            <w:r>
              <w:rPr>
                <w:rFonts w:ascii="Arial" w:cs="Arial" w:eastAsia="Arial" w:hAnsi="Arial"/>
                <w:sz w:val="15"/>
                <w:szCs w:val="15"/>
                <w:color w:val="auto"/>
              </w:rPr>
              <w:t>Jan A. Bertsch</w:t>
            </w:r>
          </w:p>
        </w:tc>
        <w:tc>
          <w:tcPr>
            <w:tcW w:w="5660" w:type="dxa"/>
            <w:vAlign w:val="bottom"/>
          </w:tcPr>
          <w:p>
            <w:pPr>
              <w:jc w:val="center"/>
              <w:ind w:left="3468"/>
              <w:spacing w:after="0"/>
              <w:rPr>
                <w:sz w:val="20"/>
                <w:szCs w:val="20"/>
                <w:color w:val="auto"/>
              </w:rPr>
            </w:pPr>
            <w:r>
              <w:rPr>
                <w:rFonts w:ascii="Arial" w:cs="Arial" w:eastAsia="Arial" w:hAnsi="Arial"/>
                <w:sz w:val="15"/>
                <w:szCs w:val="15"/>
                <w:color w:val="auto"/>
                <w:w w:val="95"/>
              </w:rPr>
              <w:t>2013</w:t>
            </w:r>
          </w:p>
        </w:tc>
      </w:tr>
      <w:tr>
        <w:trPr>
          <w:trHeight w:val="196"/>
        </w:trPr>
        <w:tc>
          <w:tcPr>
            <w:tcW w:w="56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Gerhard F. Burbach</w:t>
            </w:r>
          </w:p>
        </w:tc>
        <w:tc>
          <w:tcPr>
            <w:tcW w:w="5660" w:type="dxa"/>
            <w:vAlign w:val="bottom"/>
            <w:shd w:val="clear" w:color="auto" w:fill="DBDBDB"/>
          </w:tcPr>
          <w:p>
            <w:pPr>
              <w:jc w:val="center"/>
              <w:ind w:left="3468"/>
              <w:spacing w:after="0"/>
              <w:rPr>
                <w:sz w:val="20"/>
                <w:szCs w:val="20"/>
                <w:color w:val="auto"/>
              </w:rPr>
            </w:pPr>
            <w:r>
              <w:rPr>
                <w:rFonts w:ascii="Arial" w:cs="Arial" w:eastAsia="Arial" w:hAnsi="Arial"/>
                <w:sz w:val="15"/>
                <w:szCs w:val="15"/>
                <w:color w:val="auto"/>
                <w:w w:val="95"/>
              </w:rPr>
              <w:t>2018</w:t>
            </w:r>
          </w:p>
        </w:tc>
      </w:tr>
      <w:tr>
        <w:trPr>
          <w:trHeight w:val="194"/>
        </w:trPr>
        <w:tc>
          <w:tcPr>
            <w:tcW w:w="5600" w:type="dxa"/>
            <w:vAlign w:val="bottom"/>
          </w:tcPr>
          <w:p>
            <w:pPr>
              <w:ind w:left="120"/>
              <w:spacing w:after="0"/>
              <w:rPr>
                <w:sz w:val="20"/>
                <w:szCs w:val="20"/>
                <w:color w:val="auto"/>
              </w:rPr>
            </w:pPr>
            <w:r>
              <w:rPr>
                <w:rFonts w:ascii="Arial" w:cs="Arial" w:eastAsia="Arial" w:hAnsi="Arial"/>
                <w:sz w:val="15"/>
                <w:szCs w:val="15"/>
                <w:color w:val="auto"/>
              </w:rPr>
              <w:t>Rex D. Geveden</w:t>
            </w:r>
          </w:p>
        </w:tc>
        <w:tc>
          <w:tcPr>
            <w:tcW w:w="5660" w:type="dxa"/>
            <w:vAlign w:val="bottom"/>
          </w:tcPr>
          <w:p>
            <w:pPr>
              <w:jc w:val="center"/>
              <w:ind w:left="3468"/>
              <w:spacing w:after="0"/>
              <w:rPr>
                <w:sz w:val="20"/>
                <w:szCs w:val="20"/>
                <w:color w:val="auto"/>
              </w:rPr>
            </w:pPr>
            <w:r>
              <w:rPr>
                <w:rFonts w:ascii="Arial" w:cs="Arial" w:eastAsia="Arial" w:hAnsi="Arial"/>
                <w:sz w:val="15"/>
                <w:szCs w:val="15"/>
                <w:color w:val="auto"/>
                <w:w w:val="95"/>
              </w:rPr>
              <w:t>2017</w:t>
            </w:r>
          </w:p>
        </w:tc>
      </w:tr>
      <w:tr>
        <w:trPr>
          <w:trHeight w:val="196"/>
        </w:trPr>
        <w:tc>
          <w:tcPr>
            <w:tcW w:w="56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James M. Jaska</w:t>
            </w:r>
          </w:p>
        </w:tc>
        <w:tc>
          <w:tcPr>
            <w:tcW w:w="5660" w:type="dxa"/>
            <w:vAlign w:val="bottom"/>
            <w:shd w:val="clear" w:color="auto" w:fill="DBDBDB"/>
          </w:tcPr>
          <w:p>
            <w:pPr>
              <w:jc w:val="center"/>
              <w:ind w:left="3468"/>
              <w:spacing w:after="0"/>
              <w:rPr>
                <w:sz w:val="20"/>
                <w:szCs w:val="20"/>
                <w:color w:val="auto"/>
              </w:rPr>
            </w:pPr>
            <w:r>
              <w:rPr>
                <w:rFonts w:ascii="Arial" w:cs="Arial" w:eastAsia="Arial" w:hAnsi="Arial"/>
                <w:sz w:val="15"/>
                <w:szCs w:val="15"/>
                <w:color w:val="auto"/>
                <w:w w:val="95"/>
              </w:rPr>
              <w:t>2016</w:t>
            </w:r>
          </w:p>
        </w:tc>
      </w:tr>
      <w:tr>
        <w:trPr>
          <w:trHeight w:val="194"/>
        </w:trPr>
        <w:tc>
          <w:tcPr>
            <w:tcW w:w="5600" w:type="dxa"/>
            <w:vAlign w:val="bottom"/>
          </w:tcPr>
          <w:p>
            <w:pPr>
              <w:ind w:left="120"/>
              <w:spacing w:after="0"/>
              <w:rPr>
                <w:sz w:val="20"/>
                <w:szCs w:val="20"/>
                <w:color w:val="auto"/>
              </w:rPr>
            </w:pPr>
            <w:r>
              <w:rPr>
                <w:rFonts w:ascii="Arial" w:cs="Arial" w:eastAsia="Arial" w:hAnsi="Arial"/>
                <w:sz w:val="15"/>
                <w:szCs w:val="15"/>
                <w:color w:val="auto"/>
              </w:rPr>
              <w:t>Kenneth J. Krieg</w:t>
            </w:r>
          </w:p>
        </w:tc>
        <w:tc>
          <w:tcPr>
            <w:tcW w:w="5660" w:type="dxa"/>
            <w:vAlign w:val="bottom"/>
          </w:tcPr>
          <w:p>
            <w:pPr>
              <w:jc w:val="center"/>
              <w:ind w:left="3468"/>
              <w:spacing w:after="0"/>
              <w:rPr>
                <w:sz w:val="20"/>
                <w:szCs w:val="20"/>
                <w:color w:val="auto"/>
              </w:rPr>
            </w:pPr>
            <w:r>
              <w:rPr>
                <w:rFonts w:ascii="Arial" w:cs="Arial" w:eastAsia="Arial" w:hAnsi="Arial"/>
                <w:sz w:val="15"/>
                <w:szCs w:val="15"/>
                <w:color w:val="auto"/>
                <w:w w:val="95"/>
              </w:rPr>
              <w:t>2016</w:t>
            </w:r>
          </w:p>
        </w:tc>
      </w:tr>
      <w:tr>
        <w:trPr>
          <w:trHeight w:val="196"/>
        </w:trPr>
        <w:tc>
          <w:tcPr>
            <w:tcW w:w="56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Leland D. Melvin</w:t>
            </w:r>
          </w:p>
        </w:tc>
        <w:tc>
          <w:tcPr>
            <w:tcW w:w="5660" w:type="dxa"/>
            <w:vAlign w:val="bottom"/>
            <w:shd w:val="clear" w:color="auto" w:fill="DBDBDB"/>
          </w:tcPr>
          <w:p>
            <w:pPr>
              <w:jc w:val="center"/>
              <w:ind w:left="3468"/>
              <w:spacing w:after="0"/>
              <w:rPr>
                <w:sz w:val="20"/>
                <w:szCs w:val="20"/>
                <w:color w:val="auto"/>
              </w:rPr>
            </w:pPr>
            <w:r>
              <w:rPr>
                <w:rFonts w:ascii="Arial" w:cs="Arial" w:eastAsia="Arial" w:hAnsi="Arial"/>
                <w:sz w:val="15"/>
                <w:szCs w:val="15"/>
                <w:color w:val="auto"/>
                <w:w w:val="95"/>
              </w:rPr>
              <w:t>2019</w:t>
            </w:r>
          </w:p>
        </w:tc>
      </w:tr>
      <w:tr>
        <w:trPr>
          <w:trHeight w:val="194"/>
        </w:trPr>
        <w:tc>
          <w:tcPr>
            <w:tcW w:w="5600" w:type="dxa"/>
            <w:vAlign w:val="bottom"/>
          </w:tcPr>
          <w:p>
            <w:pPr>
              <w:ind w:left="120"/>
              <w:spacing w:after="0"/>
              <w:rPr>
                <w:sz w:val="20"/>
                <w:szCs w:val="20"/>
                <w:color w:val="auto"/>
              </w:rPr>
            </w:pPr>
            <w:r>
              <w:rPr>
                <w:rFonts w:ascii="Arial" w:cs="Arial" w:eastAsia="Arial" w:hAnsi="Arial"/>
                <w:sz w:val="15"/>
                <w:szCs w:val="15"/>
                <w:color w:val="auto"/>
              </w:rPr>
              <w:t>Robert L. Nardelli</w:t>
            </w:r>
          </w:p>
        </w:tc>
        <w:tc>
          <w:tcPr>
            <w:tcW w:w="5660" w:type="dxa"/>
            <w:vAlign w:val="bottom"/>
          </w:tcPr>
          <w:p>
            <w:pPr>
              <w:jc w:val="center"/>
              <w:ind w:left="3468"/>
              <w:spacing w:after="0"/>
              <w:rPr>
                <w:sz w:val="20"/>
                <w:szCs w:val="20"/>
                <w:color w:val="auto"/>
              </w:rPr>
            </w:pPr>
            <w:r>
              <w:rPr>
                <w:rFonts w:ascii="Arial" w:cs="Arial" w:eastAsia="Arial" w:hAnsi="Arial"/>
                <w:sz w:val="15"/>
                <w:szCs w:val="15"/>
                <w:color w:val="auto"/>
                <w:w w:val="95"/>
              </w:rPr>
              <w:t>2014</w:t>
            </w:r>
          </w:p>
        </w:tc>
      </w:tr>
      <w:tr>
        <w:trPr>
          <w:trHeight w:val="196"/>
        </w:trPr>
        <w:tc>
          <w:tcPr>
            <w:tcW w:w="5600" w:type="dxa"/>
            <w:vAlign w:val="bottom"/>
            <w:shd w:val="clear" w:color="auto" w:fill="DBDBDB"/>
          </w:tcPr>
          <w:p>
            <w:pPr>
              <w:ind w:left="120"/>
              <w:spacing w:after="0"/>
              <w:rPr>
                <w:sz w:val="20"/>
                <w:szCs w:val="20"/>
                <w:color w:val="auto"/>
              </w:rPr>
            </w:pPr>
            <w:r>
              <w:rPr>
                <w:rFonts w:ascii="Arial" w:cs="Arial" w:eastAsia="Arial" w:hAnsi="Arial"/>
                <w:sz w:val="15"/>
                <w:szCs w:val="15"/>
                <w:color w:val="auto"/>
              </w:rPr>
              <w:t>Barbara A. Niland</w:t>
            </w:r>
          </w:p>
        </w:tc>
        <w:tc>
          <w:tcPr>
            <w:tcW w:w="5660" w:type="dxa"/>
            <w:vAlign w:val="bottom"/>
            <w:shd w:val="clear" w:color="auto" w:fill="DBDBDB"/>
          </w:tcPr>
          <w:p>
            <w:pPr>
              <w:jc w:val="center"/>
              <w:ind w:left="3468"/>
              <w:spacing w:after="0"/>
              <w:rPr>
                <w:sz w:val="20"/>
                <w:szCs w:val="20"/>
                <w:color w:val="auto"/>
              </w:rPr>
            </w:pPr>
            <w:r>
              <w:rPr>
                <w:rFonts w:ascii="Arial" w:cs="Arial" w:eastAsia="Arial" w:hAnsi="Arial"/>
                <w:sz w:val="15"/>
                <w:szCs w:val="15"/>
                <w:color w:val="auto"/>
                <w:w w:val="95"/>
              </w:rPr>
              <w:t>2016</w:t>
            </w:r>
          </w:p>
        </w:tc>
      </w:tr>
      <w:tr>
        <w:trPr>
          <w:trHeight w:val="192"/>
        </w:trPr>
        <w:tc>
          <w:tcPr>
            <w:tcW w:w="5600" w:type="dxa"/>
            <w:vAlign w:val="bottom"/>
          </w:tcPr>
          <w:p>
            <w:pPr>
              <w:ind w:left="120"/>
              <w:spacing w:after="0"/>
              <w:rPr>
                <w:sz w:val="20"/>
                <w:szCs w:val="20"/>
                <w:color w:val="auto"/>
              </w:rPr>
            </w:pPr>
            <w:r>
              <w:rPr>
                <w:rFonts w:ascii="Arial" w:cs="Arial" w:eastAsia="Arial" w:hAnsi="Arial"/>
                <w:sz w:val="15"/>
                <w:szCs w:val="15"/>
                <w:color w:val="auto"/>
              </w:rPr>
              <w:t>John M. Richardson</w:t>
            </w:r>
          </w:p>
        </w:tc>
        <w:tc>
          <w:tcPr>
            <w:tcW w:w="5660" w:type="dxa"/>
            <w:vAlign w:val="bottom"/>
          </w:tcPr>
          <w:p>
            <w:pPr>
              <w:jc w:val="center"/>
              <w:ind w:left="3468"/>
              <w:spacing w:after="0"/>
              <w:rPr>
                <w:sz w:val="20"/>
                <w:szCs w:val="20"/>
                <w:color w:val="auto"/>
              </w:rPr>
            </w:pPr>
            <w:r>
              <w:rPr>
                <w:rFonts w:ascii="Arial" w:cs="Arial" w:eastAsia="Arial" w:hAnsi="Arial"/>
                <w:sz w:val="15"/>
                <w:szCs w:val="15"/>
                <w:color w:val="auto"/>
                <w:w w:val="95"/>
              </w:rPr>
              <w:t>2020</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w:t>
      </w:r>
    </w:p>
    <w:p>
      <w:pPr>
        <w:spacing w:after="0" w:line="84" w:lineRule="exact"/>
        <w:rPr>
          <w:sz w:val="20"/>
          <w:szCs w:val="20"/>
          <w:color w:val="auto"/>
        </w:rPr>
      </w:pPr>
    </w:p>
    <w:p>
      <w:pPr>
        <w:jc w:val="both"/>
        <w:ind w:right="80"/>
        <w:spacing w:after="0" w:line="274" w:lineRule="auto"/>
        <w:rPr>
          <w:sz w:val="20"/>
          <w:szCs w:val="20"/>
          <w:color w:val="auto"/>
        </w:rPr>
      </w:pPr>
      <w:r>
        <w:rPr>
          <w:rFonts w:ascii="Arial" w:cs="Arial" w:eastAsia="Arial" w:hAnsi="Arial"/>
          <w:sz w:val="16"/>
          <w:szCs w:val="16"/>
          <w:color w:val="auto"/>
        </w:rPr>
        <w:t>The table below highlights the qualifications, competency and experience of each director, including each nominee for election to our Board, that contributed to the Board’s determination that each individual is uniquely qualified to serve on the Board. This high-level summary is not intended to be an exhaustive list of each director’s skills or contributions.</w:t>
      </w:r>
    </w:p>
    <w:p>
      <w:pPr>
        <w:spacing w:after="0" w:line="1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4500" w:type="dxa"/>
            <w:vAlign w:val="bottom"/>
            <w:tcBorders>
              <w:left w:val="single" w:sz="8" w:color="auto"/>
              <w:right w:val="single" w:sz="8" w:color="auto"/>
            </w:tcBorders>
            <w:shd w:val="clear" w:color="auto" w:fill="000000"/>
          </w:tcPr>
          <w:p>
            <w:pPr>
              <w:ind w:left="140"/>
              <w:spacing w:after="0"/>
              <w:rPr>
                <w:sz w:val="20"/>
                <w:szCs w:val="20"/>
                <w:color w:val="auto"/>
              </w:rPr>
            </w:pPr>
            <w:r>
              <w:rPr>
                <w:rFonts w:ascii="Arial" w:cs="Arial" w:eastAsia="Arial" w:hAnsi="Arial"/>
                <w:sz w:val="13"/>
                <w:szCs w:val="13"/>
                <w:b w:val="1"/>
                <w:bCs w:val="1"/>
                <w:color w:val="FFFFFF"/>
              </w:rPr>
              <w:t>Expertise / Experience</w:t>
            </w:r>
          </w:p>
        </w:tc>
        <w:tc>
          <w:tcPr>
            <w:tcW w:w="800" w:type="dxa"/>
            <w:vAlign w:val="bottom"/>
            <w:tcBorders>
              <w:right w:val="single" w:sz="8" w:color="auto"/>
            </w:tcBorders>
            <w:shd w:val="clear" w:color="auto" w:fill="000000"/>
          </w:tcPr>
          <w:p>
            <w:pPr>
              <w:ind w:left="160"/>
              <w:spacing w:after="0"/>
              <w:rPr>
                <w:sz w:val="20"/>
                <w:szCs w:val="20"/>
                <w:color w:val="auto"/>
              </w:rPr>
            </w:pPr>
            <w:r>
              <w:rPr>
                <w:rFonts w:ascii="Arial" w:cs="Arial" w:eastAsia="Arial" w:hAnsi="Arial"/>
                <w:sz w:val="11"/>
                <w:szCs w:val="11"/>
                <w:b w:val="1"/>
                <w:bCs w:val="1"/>
                <w:color w:val="FFFFFF"/>
              </w:rPr>
              <w:t>Bertsch</w:t>
            </w:r>
          </w:p>
        </w:tc>
        <w:tc>
          <w:tcPr>
            <w:tcW w:w="780" w:type="dxa"/>
            <w:vAlign w:val="bottom"/>
            <w:tcBorders>
              <w:right w:val="single" w:sz="8" w:color="auto"/>
            </w:tcBorders>
            <w:shd w:val="clear" w:color="auto" w:fill="000000"/>
          </w:tcPr>
          <w:p>
            <w:pPr>
              <w:ind w:left="140"/>
              <w:spacing w:after="0"/>
              <w:rPr>
                <w:sz w:val="20"/>
                <w:szCs w:val="20"/>
                <w:color w:val="auto"/>
              </w:rPr>
            </w:pPr>
            <w:r>
              <w:rPr>
                <w:rFonts w:ascii="Arial" w:cs="Arial" w:eastAsia="Arial" w:hAnsi="Arial"/>
                <w:sz w:val="11"/>
                <w:szCs w:val="11"/>
                <w:b w:val="1"/>
                <w:bCs w:val="1"/>
                <w:color w:val="FFFFFF"/>
              </w:rPr>
              <w:t>Burbach</w:t>
            </w:r>
          </w:p>
        </w:tc>
        <w:tc>
          <w:tcPr>
            <w:tcW w:w="800" w:type="dxa"/>
            <w:vAlign w:val="bottom"/>
            <w:tcBorders>
              <w:right w:val="single" w:sz="8" w:color="auto"/>
            </w:tcBorders>
            <w:shd w:val="clear" w:color="auto" w:fill="000000"/>
          </w:tcPr>
          <w:p>
            <w:pPr>
              <w:ind w:left="140"/>
              <w:spacing w:after="0"/>
              <w:rPr>
                <w:sz w:val="20"/>
                <w:szCs w:val="20"/>
                <w:color w:val="auto"/>
              </w:rPr>
            </w:pPr>
            <w:r>
              <w:rPr>
                <w:rFonts w:ascii="Arial" w:cs="Arial" w:eastAsia="Arial" w:hAnsi="Arial"/>
                <w:sz w:val="11"/>
                <w:szCs w:val="11"/>
                <w:b w:val="1"/>
                <w:bCs w:val="1"/>
                <w:color w:val="FFFFFF"/>
              </w:rPr>
              <w:t>Geveden</w:t>
            </w:r>
          </w:p>
        </w:tc>
        <w:tc>
          <w:tcPr>
            <w:tcW w:w="660" w:type="dxa"/>
            <w:vAlign w:val="bottom"/>
            <w:tcBorders>
              <w:right w:val="single" w:sz="8" w:color="auto"/>
            </w:tcBorders>
            <w:shd w:val="clear" w:color="auto" w:fill="000000"/>
          </w:tcPr>
          <w:p>
            <w:pPr>
              <w:ind w:left="160"/>
              <w:spacing w:after="0"/>
              <w:rPr>
                <w:sz w:val="20"/>
                <w:szCs w:val="20"/>
                <w:color w:val="auto"/>
              </w:rPr>
            </w:pPr>
            <w:r>
              <w:rPr>
                <w:rFonts w:ascii="Arial" w:cs="Arial" w:eastAsia="Arial" w:hAnsi="Arial"/>
                <w:sz w:val="11"/>
                <w:szCs w:val="11"/>
                <w:b w:val="1"/>
                <w:bCs w:val="1"/>
                <w:color w:val="FFFFFF"/>
              </w:rPr>
              <w:t>Jaska</w:t>
            </w:r>
          </w:p>
        </w:tc>
        <w:tc>
          <w:tcPr>
            <w:tcW w:w="640" w:type="dxa"/>
            <w:vAlign w:val="bottom"/>
            <w:tcBorders>
              <w:right w:val="single" w:sz="8" w:color="auto"/>
            </w:tcBorders>
            <w:shd w:val="clear" w:color="auto" w:fill="000000"/>
          </w:tcPr>
          <w:p>
            <w:pPr>
              <w:ind w:left="160"/>
              <w:spacing w:after="0"/>
              <w:rPr>
                <w:sz w:val="20"/>
                <w:szCs w:val="20"/>
                <w:color w:val="auto"/>
              </w:rPr>
            </w:pPr>
            <w:r>
              <w:rPr>
                <w:rFonts w:ascii="Arial" w:cs="Arial" w:eastAsia="Arial" w:hAnsi="Arial"/>
                <w:sz w:val="11"/>
                <w:szCs w:val="11"/>
                <w:b w:val="1"/>
                <w:bCs w:val="1"/>
                <w:color w:val="FFFFFF"/>
              </w:rPr>
              <w:t>Krieg</w:t>
            </w:r>
          </w:p>
        </w:tc>
        <w:tc>
          <w:tcPr>
            <w:tcW w:w="740" w:type="dxa"/>
            <w:vAlign w:val="bottom"/>
            <w:tcBorders>
              <w:right w:val="single" w:sz="8" w:color="auto"/>
            </w:tcBorders>
            <w:shd w:val="clear" w:color="auto" w:fill="000000"/>
          </w:tcPr>
          <w:p>
            <w:pPr>
              <w:ind w:left="180"/>
              <w:spacing w:after="0"/>
              <w:rPr>
                <w:sz w:val="20"/>
                <w:szCs w:val="20"/>
                <w:color w:val="auto"/>
              </w:rPr>
            </w:pPr>
            <w:r>
              <w:rPr>
                <w:rFonts w:ascii="Arial" w:cs="Arial" w:eastAsia="Arial" w:hAnsi="Arial"/>
                <w:sz w:val="11"/>
                <w:szCs w:val="11"/>
                <w:b w:val="1"/>
                <w:bCs w:val="1"/>
                <w:color w:val="FFFFFF"/>
              </w:rPr>
              <w:t>Melvin</w:t>
            </w:r>
          </w:p>
        </w:tc>
        <w:tc>
          <w:tcPr>
            <w:tcW w:w="740" w:type="dxa"/>
            <w:vAlign w:val="bottom"/>
            <w:tcBorders>
              <w:right w:val="single" w:sz="8" w:color="auto"/>
            </w:tcBorders>
            <w:shd w:val="clear" w:color="auto" w:fill="000000"/>
          </w:tcPr>
          <w:p>
            <w:pPr>
              <w:ind w:left="140"/>
              <w:spacing w:after="0"/>
              <w:rPr>
                <w:sz w:val="20"/>
                <w:szCs w:val="20"/>
                <w:color w:val="auto"/>
              </w:rPr>
            </w:pPr>
            <w:r>
              <w:rPr>
                <w:rFonts w:ascii="Arial" w:cs="Arial" w:eastAsia="Arial" w:hAnsi="Arial"/>
                <w:sz w:val="11"/>
                <w:szCs w:val="11"/>
                <w:b w:val="1"/>
                <w:bCs w:val="1"/>
                <w:color w:val="FFFFFF"/>
              </w:rPr>
              <w:t>Nardelli</w:t>
            </w:r>
          </w:p>
        </w:tc>
        <w:tc>
          <w:tcPr>
            <w:tcW w:w="640" w:type="dxa"/>
            <w:vAlign w:val="bottom"/>
            <w:tcBorders>
              <w:right w:val="single" w:sz="8" w:color="auto"/>
            </w:tcBorders>
            <w:shd w:val="clear" w:color="auto" w:fill="000000"/>
          </w:tcPr>
          <w:p>
            <w:pPr>
              <w:ind w:left="120"/>
              <w:spacing w:after="0"/>
              <w:rPr>
                <w:sz w:val="20"/>
                <w:szCs w:val="20"/>
                <w:color w:val="auto"/>
              </w:rPr>
            </w:pPr>
            <w:r>
              <w:rPr>
                <w:rFonts w:ascii="Arial" w:cs="Arial" w:eastAsia="Arial" w:hAnsi="Arial"/>
                <w:sz w:val="11"/>
                <w:szCs w:val="11"/>
                <w:b w:val="1"/>
                <w:bCs w:val="1"/>
                <w:color w:val="FFFFFF"/>
              </w:rPr>
              <w:t>Niland</w:t>
            </w:r>
          </w:p>
        </w:tc>
        <w:tc>
          <w:tcPr>
            <w:tcW w:w="980" w:type="dxa"/>
            <w:vAlign w:val="bottom"/>
            <w:tcBorders>
              <w:right w:val="single" w:sz="8" w:color="auto"/>
            </w:tcBorders>
            <w:shd w:val="clear" w:color="auto" w:fill="000000"/>
          </w:tcPr>
          <w:p>
            <w:pPr>
              <w:ind w:left="160"/>
              <w:spacing w:after="0"/>
              <w:rPr>
                <w:sz w:val="20"/>
                <w:szCs w:val="20"/>
                <w:color w:val="auto"/>
              </w:rPr>
            </w:pPr>
            <w:r>
              <w:rPr>
                <w:rFonts w:ascii="Arial" w:cs="Arial" w:eastAsia="Arial" w:hAnsi="Arial"/>
                <w:sz w:val="11"/>
                <w:szCs w:val="11"/>
                <w:b w:val="1"/>
                <w:bCs w:val="1"/>
                <w:color w:val="FFFFFF"/>
              </w:rPr>
              <w:t>Richardson</w:t>
            </w:r>
          </w:p>
        </w:tc>
      </w:tr>
      <w:tr>
        <w:trPr>
          <w:trHeight w:val="280"/>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Executive / Operating</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tcPr>
          <w:p>
            <w:pPr>
              <w:spacing w:after="0"/>
              <w:rPr>
                <w:sz w:val="24"/>
                <w:szCs w:val="24"/>
                <w:color w:val="auto"/>
              </w:rPr>
            </w:pP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Government, Nuclear or Manufacturing Industry</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Financial / Strategic / M&amp;A</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tcPr>
          <w:p>
            <w:pPr>
              <w:spacing w:after="0"/>
              <w:rPr>
                <w:sz w:val="23"/>
                <w:szCs w:val="23"/>
                <w:color w:val="auto"/>
              </w:rPr>
            </w:pP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tcPr>
          <w:p>
            <w:pPr>
              <w:spacing w:after="0"/>
              <w:rPr>
                <w:sz w:val="23"/>
                <w:szCs w:val="23"/>
                <w:color w:val="auto"/>
              </w:rPr>
            </w:pP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Technology / Scientific</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shd w:val="clear" w:color="auto" w:fill="DBDBDB"/>
          </w:tcPr>
          <w:p>
            <w:pPr>
              <w:spacing w:after="0"/>
              <w:rPr>
                <w:sz w:val="23"/>
                <w:szCs w:val="23"/>
                <w:color w:val="auto"/>
              </w:rPr>
            </w:pP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Risk Management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Healthcare / FDA Regulatory</w:t>
            </w:r>
          </w:p>
        </w:tc>
        <w:tc>
          <w:tcPr>
            <w:tcW w:w="800" w:type="dxa"/>
            <w:vAlign w:val="bottom"/>
            <w:tcBorders>
              <w:bottom w:val="single" w:sz="8" w:color="ACACAC"/>
              <w:right w:val="single" w:sz="8" w:color="ACACAC"/>
            </w:tcBorders>
            <w:shd w:val="clear" w:color="auto" w:fill="DBDBDB"/>
          </w:tcPr>
          <w:p>
            <w:pPr>
              <w:spacing w:after="0"/>
              <w:rPr>
                <w:sz w:val="23"/>
                <w:szCs w:val="23"/>
                <w:color w:val="auto"/>
              </w:rPr>
            </w:pPr>
          </w:p>
        </w:tc>
        <w:tc>
          <w:tcPr>
            <w:tcW w:w="7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shd w:val="clear" w:color="auto" w:fill="DBDBDB"/>
          </w:tcPr>
          <w:p>
            <w:pPr>
              <w:spacing w:after="0"/>
              <w:rPr>
                <w:sz w:val="23"/>
                <w:szCs w:val="23"/>
                <w:color w:val="auto"/>
              </w:rPr>
            </w:pP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spacing w:after="0"/>
              <w:rPr>
                <w:sz w:val="23"/>
                <w:szCs w:val="23"/>
                <w:color w:val="auto"/>
              </w:rPr>
            </w:pPr>
          </w:p>
        </w:tc>
        <w:tc>
          <w:tcPr>
            <w:tcW w:w="740" w:type="dxa"/>
            <w:vAlign w:val="bottom"/>
            <w:tcBorders>
              <w:bottom w:val="single" w:sz="8" w:color="ACACAC"/>
              <w:right w:val="single" w:sz="8" w:color="ACACAC"/>
            </w:tcBorders>
            <w:shd w:val="clear" w:color="auto" w:fill="DBDBDB"/>
          </w:tcPr>
          <w:p>
            <w:pPr>
              <w:spacing w:after="0"/>
              <w:rPr>
                <w:sz w:val="23"/>
                <w:szCs w:val="23"/>
                <w:color w:val="auto"/>
              </w:rPr>
            </w:pPr>
          </w:p>
        </w:tc>
        <w:tc>
          <w:tcPr>
            <w:tcW w:w="740" w:type="dxa"/>
            <w:vAlign w:val="bottom"/>
            <w:tcBorders>
              <w:bottom w:val="single" w:sz="8" w:color="ACACAC"/>
              <w:right w:val="single" w:sz="8" w:color="ACACAC"/>
            </w:tcBorders>
            <w:shd w:val="clear" w:color="auto" w:fill="DBDBDB"/>
          </w:tcPr>
          <w:p>
            <w:pPr>
              <w:spacing w:after="0"/>
              <w:rPr>
                <w:sz w:val="23"/>
                <w:szCs w:val="23"/>
                <w:color w:val="auto"/>
              </w:rPr>
            </w:pPr>
          </w:p>
        </w:tc>
        <w:tc>
          <w:tcPr>
            <w:tcW w:w="640" w:type="dxa"/>
            <w:vAlign w:val="bottom"/>
            <w:tcBorders>
              <w:bottom w:val="single" w:sz="8" w:color="ACACAC"/>
              <w:right w:val="single" w:sz="8" w:color="ACACAC"/>
            </w:tcBorders>
            <w:shd w:val="clear" w:color="auto" w:fill="DBDBDB"/>
          </w:tcPr>
          <w:p>
            <w:pPr>
              <w:spacing w:after="0"/>
              <w:rPr>
                <w:sz w:val="23"/>
                <w:szCs w:val="23"/>
                <w:color w:val="auto"/>
              </w:rPr>
            </w:pPr>
          </w:p>
        </w:tc>
        <w:tc>
          <w:tcPr>
            <w:tcW w:w="980" w:type="dxa"/>
            <w:vAlign w:val="bottom"/>
            <w:tcBorders>
              <w:bottom w:val="single" w:sz="8" w:color="ACACAC"/>
              <w:right w:val="single" w:sz="8" w:color="ACACAC"/>
            </w:tcBorders>
            <w:shd w:val="clear" w:color="auto" w:fill="DBDBDB"/>
          </w:tcPr>
          <w:p>
            <w:pPr>
              <w:spacing w:after="0"/>
              <w:rPr>
                <w:sz w:val="23"/>
                <w:szCs w:val="23"/>
                <w:color w:val="auto"/>
              </w:rPr>
            </w:pPr>
          </w:p>
        </w:tc>
      </w:tr>
      <w:tr>
        <w:trPr>
          <w:trHeight w:val="2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Aerospace Industry</w:t>
            </w:r>
          </w:p>
        </w:tc>
        <w:tc>
          <w:tcPr>
            <w:tcW w:w="800" w:type="dxa"/>
            <w:vAlign w:val="bottom"/>
            <w:tcBorders>
              <w:bottom w:val="single" w:sz="8" w:color="ACACAC"/>
              <w:right w:val="single" w:sz="8" w:color="ACACAC"/>
            </w:tcBorders>
          </w:tcPr>
          <w:p>
            <w:pPr>
              <w:spacing w:after="0"/>
              <w:rPr>
                <w:sz w:val="23"/>
                <w:szCs w:val="23"/>
                <w:color w:val="auto"/>
              </w:rPr>
            </w:pPr>
          </w:p>
        </w:tc>
        <w:tc>
          <w:tcPr>
            <w:tcW w:w="780" w:type="dxa"/>
            <w:vAlign w:val="bottom"/>
            <w:tcBorders>
              <w:bottom w:val="single" w:sz="8" w:color="ACACAC"/>
              <w:right w:val="single" w:sz="8" w:color="ACACAC"/>
            </w:tcBorders>
          </w:tcPr>
          <w:p>
            <w:pPr>
              <w:spacing w:after="0"/>
              <w:rPr>
                <w:sz w:val="23"/>
                <w:szCs w:val="23"/>
                <w:color w:val="auto"/>
              </w:rPr>
            </w:pP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spacing w:after="0"/>
              <w:rPr>
                <w:sz w:val="23"/>
                <w:szCs w:val="23"/>
                <w:color w:val="auto"/>
              </w:rPr>
            </w:pP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tcPr>
          <w:p>
            <w:pPr>
              <w:spacing w:after="0"/>
              <w:rPr>
                <w:sz w:val="23"/>
                <w:szCs w:val="23"/>
                <w:color w:val="auto"/>
              </w:rPr>
            </w:pPr>
          </w:p>
        </w:tc>
        <w:tc>
          <w:tcPr>
            <w:tcW w:w="640" w:type="dxa"/>
            <w:vAlign w:val="bottom"/>
            <w:tcBorders>
              <w:bottom w:val="single" w:sz="8" w:color="ACACAC"/>
              <w:right w:val="single" w:sz="8" w:color="ACACAC"/>
            </w:tcBorders>
          </w:tcPr>
          <w:p>
            <w:pPr>
              <w:spacing w:after="0"/>
              <w:rPr>
                <w:sz w:val="23"/>
                <w:szCs w:val="23"/>
                <w:color w:val="auto"/>
              </w:rPr>
            </w:pPr>
          </w:p>
        </w:tc>
        <w:tc>
          <w:tcPr>
            <w:tcW w:w="9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Safety and Environmental</w:t>
            </w:r>
          </w:p>
        </w:tc>
        <w:tc>
          <w:tcPr>
            <w:tcW w:w="800" w:type="dxa"/>
            <w:vAlign w:val="bottom"/>
            <w:tcBorders>
              <w:bottom w:val="single" w:sz="8" w:color="ACACAC"/>
              <w:right w:val="single" w:sz="8" w:color="ACACAC"/>
            </w:tcBorders>
            <w:shd w:val="clear" w:color="auto" w:fill="DBDBDB"/>
          </w:tcPr>
          <w:p>
            <w:pPr>
              <w:spacing w:after="0"/>
              <w:rPr>
                <w:sz w:val="23"/>
                <w:szCs w:val="23"/>
                <w:color w:val="auto"/>
              </w:rPr>
            </w:pPr>
          </w:p>
        </w:tc>
        <w:tc>
          <w:tcPr>
            <w:tcW w:w="780" w:type="dxa"/>
            <w:vAlign w:val="bottom"/>
            <w:tcBorders>
              <w:bottom w:val="single" w:sz="8" w:color="ACACAC"/>
              <w:right w:val="single" w:sz="8" w:color="ACACAC"/>
            </w:tcBorders>
            <w:shd w:val="clear" w:color="auto" w:fill="DBDBDB"/>
          </w:tcPr>
          <w:p>
            <w:pPr>
              <w:spacing w:after="0"/>
              <w:rPr>
                <w:sz w:val="23"/>
                <w:szCs w:val="23"/>
                <w:color w:val="auto"/>
              </w:rPr>
            </w:pP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spacing w:after="0"/>
              <w:rPr>
                <w:sz w:val="23"/>
                <w:szCs w:val="23"/>
                <w:color w:val="auto"/>
              </w:rPr>
            </w:pP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spacing w:after="0"/>
              <w:rPr>
                <w:sz w:val="23"/>
                <w:szCs w:val="23"/>
                <w:color w:val="auto"/>
              </w:rPr>
            </w:pPr>
          </w:p>
        </w:tc>
        <w:tc>
          <w:tcPr>
            <w:tcW w:w="9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Public Company CEO Experience</w:t>
            </w:r>
          </w:p>
        </w:tc>
        <w:tc>
          <w:tcPr>
            <w:tcW w:w="800" w:type="dxa"/>
            <w:vAlign w:val="bottom"/>
            <w:tcBorders>
              <w:bottom w:val="single" w:sz="8" w:color="ACACAC"/>
              <w:right w:val="single" w:sz="8" w:color="ACACAC"/>
            </w:tcBorders>
          </w:tcPr>
          <w:p>
            <w:pPr>
              <w:spacing w:after="0"/>
              <w:rPr>
                <w:sz w:val="23"/>
                <w:szCs w:val="23"/>
                <w:color w:val="auto"/>
              </w:rPr>
            </w:pP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spacing w:after="0"/>
              <w:rPr>
                <w:sz w:val="23"/>
                <w:szCs w:val="23"/>
                <w:color w:val="auto"/>
              </w:rPr>
            </w:pPr>
          </w:p>
        </w:tc>
        <w:tc>
          <w:tcPr>
            <w:tcW w:w="640" w:type="dxa"/>
            <w:vAlign w:val="bottom"/>
            <w:tcBorders>
              <w:bottom w:val="single" w:sz="8" w:color="ACACAC"/>
              <w:right w:val="single" w:sz="8" w:color="ACACAC"/>
            </w:tcBorders>
          </w:tcPr>
          <w:p>
            <w:pPr>
              <w:spacing w:after="0"/>
              <w:rPr>
                <w:sz w:val="23"/>
                <w:szCs w:val="23"/>
                <w:color w:val="auto"/>
              </w:rPr>
            </w:pPr>
          </w:p>
        </w:tc>
        <w:tc>
          <w:tcPr>
            <w:tcW w:w="740" w:type="dxa"/>
            <w:vAlign w:val="bottom"/>
            <w:tcBorders>
              <w:bottom w:val="single" w:sz="8" w:color="ACACAC"/>
              <w:right w:val="single" w:sz="8" w:color="ACACAC"/>
            </w:tcBorders>
          </w:tcPr>
          <w:p>
            <w:pPr>
              <w:spacing w:after="0"/>
              <w:rPr>
                <w:sz w:val="23"/>
                <w:szCs w:val="23"/>
                <w:color w:val="auto"/>
              </w:rPr>
            </w:pP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spacing w:after="0"/>
              <w:rPr>
                <w:sz w:val="23"/>
                <w:szCs w:val="23"/>
                <w:color w:val="auto"/>
              </w:rPr>
            </w:pPr>
          </w:p>
        </w:tc>
        <w:tc>
          <w:tcPr>
            <w:tcW w:w="980" w:type="dxa"/>
            <w:vAlign w:val="bottom"/>
            <w:tcBorders>
              <w:bottom w:val="single" w:sz="8" w:color="ACACAC"/>
              <w:right w:val="single" w:sz="8" w:color="ACACAC"/>
            </w:tcBorders>
          </w:tcPr>
          <w:p>
            <w:pPr>
              <w:spacing w:after="0"/>
              <w:rPr>
                <w:sz w:val="23"/>
                <w:szCs w:val="23"/>
                <w:color w:val="auto"/>
              </w:rPr>
            </w:pP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Security and Information Technology</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Governance</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tcPr>
          <w:p>
            <w:pPr>
              <w:spacing w:after="0"/>
              <w:rPr>
                <w:sz w:val="23"/>
                <w:szCs w:val="23"/>
                <w:color w:val="auto"/>
              </w:rPr>
            </w:pP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23"/>
                <w:szCs w:val="23"/>
                <w:b w:val="1"/>
                <w:bCs w:val="1"/>
                <w:color w:val="auto"/>
              </w:rPr>
              <w:t>●</w:t>
            </w:r>
          </w:p>
        </w:tc>
      </w:tr>
      <w:tr>
        <w:trPr>
          <w:trHeight w:val="272"/>
        </w:trPr>
        <w:tc>
          <w:tcPr>
            <w:tcW w:w="4500" w:type="dxa"/>
            <w:vAlign w:val="bottom"/>
            <w:tcBorders>
              <w:left w:val="single" w:sz="8" w:color="ACACAC"/>
              <w:bottom w:val="single" w:sz="8" w:color="ACACAC"/>
              <w:right w:val="single" w:sz="8" w:color="ACACAC"/>
            </w:tcBorders>
            <w:shd w:val="clear" w:color="auto" w:fill="DBDBDB"/>
          </w:tcPr>
          <w:p>
            <w:pPr>
              <w:ind w:left="140"/>
              <w:spacing w:after="0"/>
              <w:rPr>
                <w:sz w:val="20"/>
                <w:szCs w:val="20"/>
                <w:color w:val="auto"/>
              </w:rPr>
            </w:pPr>
            <w:r>
              <w:rPr>
                <w:rFonts w:ascii="Arial" w:cs="Arial" w:eastAsia="Arial" w:hAnsi="Arial"/>
                <w:sz w:val="13"/>
                <w:szCs w:val="13"/>
                <w:color w:val="auto"/>
              </w:rPr>
              <w:t>International</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80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6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7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c>
          <w:tcPr>
            <w:tcW w:w="64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w w:val="86"/>
              </w:rPr>
              <w:t>●</w:t>
            </w:r>
          </w:p>
        </w:tc>
        <w:tc>
          <w:tcPr>
            <w:tcW w:w="980" w:type="dxa"/>
            <w:vAlign w:val="bottom"/>
            <w:tcBorders>
              <w:bottom w:val="single" w:sz="8" w:color="ACACAC"/>
              <w:right w:val="single" w:sz="8" w:color="ACACAC"/>
            </w:tcBorders>
            <w:shd w:val="clear" w:color="auto" w:fill="DBDBDB"/>
          </w:tcPr>
          <w:p>
            <w:pPr>
              <w:jc w:val="center"/>
              <w:spacing w:after="0"/>
              <w:rPr>
                <w:sz w:val="20"/>
                <w:szCs w:val="20"/>
                <w:color w:val="auto"/>
              </w:rPr>
            </w:pPr>
            <w:r>
              <w:rPr>
                <w:rFonts w:ascii="Arial" w:cs="Arial" w:eastAsia="Arial" w:hAnsi="Arial"/>
                <w:sz w:val="23"/>
                <w:szCs w:val="23"/>
                <w:b w:val="1"/>
                <w:bCs w:val="1"/>
                <w:color w:val="auto"/>
              </w:rPr>
              <w:t>●</w:t>
            </w:r>
          </w:p>
        </w:tc>
      </w:tr>
      <w:tr>
        <w:trPr>
          <w:trHeight w:val="172"/>
        </w:trPr>
        <w:tc>
          <w:tcPr>
            <w:tcW w:w="4500" w:type="dxa"/>
            <w:vAlign w:val="bottom"/>
            <w:tcBorders>
              <w:left w:val="single" w:sz="8" w:color="ACACAC"/>
              <w:bottom w:val="single" w:sz="8" w:color="ACACAC"/>
              <w:right w:val="single" w:sz="8" w:color="ACACAC"/>
            </w:tcBorders>
          </w:tcPr>
          <w:p>
            <w:pPr>
              <w:ind w:left="140"/>
              <w:spacing w:after="0"/>
              <w:rPr>
                <w:sz w:val="20"/>
                <w:szCs w:val="20"/>
                <w:color w:val="auto"/>
              </w:rPr>
            </w:pPr>
            <w:r>
              <w:rPr>
                <w:rFonts w:ascii="Arial" w:cs="Arial" w:eastAsia="Arial" w:hAnsi="Arial"/>
                <w:sz w:val="13"/>
                <w:szCs w:val="13"/>
                <w:color w:val="auto"/>
              </w:rPr>
              <w:t>Other Current Public Company Boards</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rPr>
              <w:t>2</w:t>
            </w:r>
          </w:p>
        </w:tc>
        <w:tc>
          <w:tcPr>
            <w:tcW w:w="7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w w:val="82"/>
              </w:rPr>
              <w:t>1</w:t>
            </w:r>
          </w:p>
        </w:tc>
        <w:tc>
          <w:tcPr>
            <w:tcW w:w="80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rPr>
              <w:t>1</w:t>
            </w:r>
          </w:p>
        </w:tc>
        <w:tc>
          <w:tcPr>
            <w:tcW w:w="66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rPr>
              <w:t>0</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w w:val="82"/>
              </w:rPr>
              <w:t>1</w:t>
            </w: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rPr>
              <w:t>0</w:t>
            </w:r>
          </w:p>
        </w:tc>
        <w:tc>
          <w:tcPr>
            <w:tcW w:w="7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w w:val="82"/>
              </w:rPr>
              <w:t>1</w:t>
            </w:r>
          </w:p>
        </w:tc>
        <w:tc>
          <w:tcPr>
            <w:tcW w:w="64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auto"/>
              </w:rPr>
              <w:t>0</w:t>
            </w:r>
          </w:p>
        </w:tc>
        <w:tc>
          <w:tcPr>
            <w:tcW w:w="980" w:type="dxa"/>
            <w:vAlign w:val="bottom"/>
            <w:tcBorders>
              <w:bottom w:val="single" w:sz="8" w:color="ACACAC"/>
              <w:right w:val="single" w:sz="8" w:color="ACACAC"/>
            </w:tcBorders>
          </w:tcPr>
          <w:p>
            <w:pPr>
              <w:jc w:val="center"/>
              <w:spacing w:after="0"/>
              <w:rPr>
                <w:sz w:val="20"/>
                <w:szCs w:val="20"/>
                <w:color w:val="auto"/>
              </w:rPr>
            </w:pPr>
            <w:r>
              <w:rPr>
                <w:rFonts w:ascii="Arial" w:cs="Arial" w:eastAsia="Arial" w:hAnsi="Arial"/>
                <w:sz w:val="13"/>
                <w:szCs w:val="13"/>
                <w:color w:val="330E74"/>
                <w:w w:val="82"/>
              </w:rPr>
              <w:t>2</w:t>
            </w:r>
          </w:p>
        </w:tc>
      </w:tr>
      <w:tr>
        <w:trPr>
          <w:trHeight w:val="307"/>
        </w:trPr>
        <w:tc>
          <w:tcPr>
            <w:tcW w:w="4500" w:type="dxa"/>
            <w:vAlign w:val="bottom"/>
          </w:tcPr>
          <w:p>
            <w:pPr>
              <w:ind w:left="120"/>
              <w:spacing w:after="0"/>
              <w:rPr>
                <w:sz w:val="20"/>
                <w:szCs w:val="20"/>
                <w:color w:val="auto"/>
              </w:rPr>
            </w:pPr>
            <w:r>
              <w:rPr>
                <w:rFonts w:ascii="Arial" w:cs="Arial" w:eastAsia="Arial" w:hAnsi="Arial"/>
                <w:sz w:val="23"/>
                <w:szCs w:val="23"/>
                <w:b w:val="1"/>
                <w:bCs w:val="1"/>
                <w:color w:val="auto"/>
              </w:rPr>
              <w:t xml:space="preserve">● </w:t>
            </w:r>
            <w:r>
              <w:rPr>
                <w:rFonts w:ascii="Arial" w:cs="Arial" w:eastAsia="Arial" w:hAnsi="Arial"/>
                <w:sz w:val="12"/>
                <w:szCs w:val="12"/>
                <w:color w:val="auto"/>
              </w:rPr>
              <w:t>Expertise</w:t>
            </w:r>
            <w:r>
              <w:rPr>
                <w:rFonts w:ascii="Arial" w:cs="Arial" w:eastAsia="Arial" w:hAnsi="Arial"/>
                <w:sz w:val="23"/>
                <w:szCs w:val="23"/>
                <w:b w:val="1"/>
                <w:bCs w:val="1"/>
                <w:color w:val="auto"/>
              </w:rPr>
              <w:t xml:space="preserve"> ○ </w:t>
            </w:r>
            <w:r>
              <w:rPr>
                <w:rFonts w:ascii="Arial" w:cs="Arial" w:eastAsia="Arial" w:hAnsi="Arial"/>
                <w:sz w:val="12"/>
                <w:szCs w:val="12"/>
                <w:color w:val="auto"/>
              </w:rPr>
              <w:t>Experience</w:t>
            </w: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6 </w:t>
      </w:r>
      <w:r>
        <w:rPr>
          <w:sz w:val="1"/>
          <w:szCs w:val="1"/>
          <w:color w:val="auto"/>
        </w:rPr>
        <w:drawing>
          <wp:inline distT="0" distB="0" distL="0" distR="0">
            <wp:extent cx="401955" cy="16256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 w:name="page19"/>
    <w:bookmarkEnd w:id="18"/>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740"/>
        <w:spacing w:after="0"/>
        <w:rPr>
          <w:sz w:val="20"/>
          <w:szCs w:val="20"/>
          <w:color w:val="auto"/>
        </w:rPr>
      </w:pPr>
      <w:r>
        <w:rPr>
          <w:rFonts w:ascii="Arial" w:cs="Arial" w:eastAsia="Arial" w:hAnsi="Arial"/>
          <w:sz w:val="13"/>
          <w:szCs w:val="13"/>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Nominees</w:t>
      </w:r>
    </w:p>
    <w:p>
      <w:pPr>
        <w:spacing w:after="0" w:line="60"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color w:val="auto"/>
        </w:rPr>
        <w:t>On the nomination of our Board following the recommendation of the Governance Committee, the following nominees will each stand for election as a director for a one-year term expiring at the 2024 Annual Meeting of Stockholders and until their successors are duly elected and qualified:</w:t>
      </w:r>
    </w:p>
    <w:p>
      <w:pPr>
        <w:spacing w:after="0" w:line="73" w:lineRule="exact"/>
        <w:rPr>
          <w:sz w:val="20"/>
          <w:szCs w:val="20"/>
          <w:color w:val="auto"/>
        </w:rPr>
      </w:pPr>
    </w:p>
    <w:tbl>
      <w:tblPr>
        <w:tblLayout w:type="fixed"/>
        <w:tblInd w:w="900" w:type="dxa"/>
        <w:tblCellMar>
          <w:top w:w="0" w:type="dxa"/>
          <w:left w:w="0" w:type="dxa"/>
          <w:bottom w:w="0" w:type="dxa"/>
          <w:right w:w="0" w:type="dxa"/>
        </w:tblCellMar>
      </w:tblPr>
      <w:tr>
        <w:trPr>
          <w:trHeight w:val="20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Jan A. Bertsch</w:t>
            </w:r>
          </w:p>
        </w:tc>
        <w:tc>
          <w:tcPr>
            <w:tcW w:w="1600" w:type="dxa"/>
            <w:vAlign w:val="bottom"/>
          </w:tcPr>
          <w:p>
            <w:pPr>
              <w:ind w:left="14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Leland D. Melvin</w:t>
            </w:r>
          </w:p>
        </w:tc>
      </w:tr>
      <w:tr>
        <w:trPr>
          <w:trHeight w:val="20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Gerhard F. Burbach</w:t>
            </w:r>
          </w:p>
        </w:tc>
        <w:tc>
          <w:tcPr>
            <w:tcW w:w="1600" w:type="dxa"/>
            <w:vAlign w:val="bottom"/>
          </w:tcPr>
          <w:p>
            <w:pPr>
              <w:ind w:left="14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Robert L. Nardelli</w:t>
            </w:r>
          </w:p>
        </w:tc>
      </w:tr>
      <w:tr>
        <w:trPr>
          <w:trHeight w:val="207"/>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Rex D. Geveden</w:t>
            </w:r>
          </w:p>
        </w:tc>
        <w:tc>
          <w:tcPr>
            <w:tcW w:w="1600" w:type="dxa"/>
            <w:vAlign w:val="bottom"/>
          </w:tcPr>
          <w:p>
            <w:pPr>
              <w:ind w:left="14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Barbara A. Niland</w:t>
            </w:r>
          </w:p>
        </w:tc>
      </w:tr>
      <w:tr>
        <w:trPr>
          <w:trHeight w:val="215"/>
        </w:trPr>
        <w:tc>
          <w:tcPr>
            <w:tcW w:w="160" w:type="dxa"/>
            <w:vAlign w:val="bottom"/>
          </w:tcPr>
          <w:p>
            <w:pPr>
              <w:spacing w:after="0"/>
              <w:rPr>
                <w:sz w:val="20"/>
                <w:szCs w:val="20"/>
                <w:color w:val="auto"/>
              </w:rPr>
            </w:pPr>
            <w:r>
              <w:rPr>
                <w:rFonts w:ascii="Arial" w:cs="Arial" w:eastAsia="Arial" w:hAnsi="Arial"/>
                <w:sz w:val="16"/>
                <w:szCs w:val="16"/>
                <w:color w:val="auto"/>
              </w:rPr>
              <w:t>•</w:t>
            </w:r>
          </w:p>
        </w:tc>
        <w:tc>
          <w:tcPr>
            <w:tcW w:w="2980" w:type="dxa"/>
            <w:vAlign w:val="bottom"/>
          </w:tcPr>
          <w:p>
            <w:pPr>
              <w:ind w:left="120"/>
              <w:spacing w:after="0"/>
              <w:rPr>
                <w:sz w:val="20"/>
                <w:szCs w:val="20"/>
                <w:color w:val="auto"/>
              </w:rPr>
            </w:pPr>
            <w:r>
              <w:rPr>
                <w:rFonts w:ascii="Arial" w:cs="Arial" w:eastAsia="Arial" w:hAnsi="Arial"/>
                <w:sz w:val="16"/>
                <w:szCs w:val="16"/>
                <w:color w:val="auto"/>
              </w:rPr>
              <w:t>James M. Jaska</w:t>
            </w:r>
          </w:p>
        </w:tc>
        <w:tc>
          <w:tcPr>
            <w:tcW w:w="1600" w:type="dxa"/>
            <w:vAlign w:val="bottom"/>
          </w:tcPr>
          <w:p>
            <w:pPr>
              <w:ind w:left="14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w w:val="99"/>
              </w:rPr>
              <w:t>John M. Richardson</w:t>
            </w:r>
          </w:p>
        </w:tc>
      </w:tr>
    </w:tbl>
    <w:p>
      <w:pPr>
        <w:ind w:left="1180" w:hanging="290"/>
        <w:spacing w:after="0"/>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Kenneth J. Krieg</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Each nominee has consented to serve as a director if elected.</w:t>
      </w:r>
    </w:p>
    <w:p>
      <w:pPr>
        <w:spacing w:after="0" w:line="108" w:lineRule="exact"/>
        <w:rPr>
          <w:sz w:val="20"/>
          <w:szCs w:val="20"/>
          <w:color w:val="auto"/>
        </w:rPr>
      </w:pPr>
    </w:p>
    <w:p>
      <w:pPr>
        <w:jc w:val="both"/>
        <w:ind w:right="200"/>
        <w:spacing w:after="0" w:line="274" w:lineRule="auto"/>
        <w:rPr>
          <w:sz w:val="20"/>
          <w:szCs w:val="20"/>
          <w:color w:val="auto"/>
        </w:rPr>
      </w:pPr>
      <w:r>
        <w:rPr>
          <w:rFonts w:ascii="Arial" w:cs="Arial" w:eastAsia="Arial" w:hAnsi="Arial"/>
          <w:sz w:val="16"/>
          <w:szCs w:val="16"/>
          <w:color w:val="auto"/>
        </w:rPr>
        <w:t>Unless otherwise directed, the persons named as proxies on the enclosed proxy card intend to vote “FOR” the election of each of the director nominees. If any nominee should become unavailable for election, the shares will be voted for such substitute nominee as may be proposed by our Board. We are not aware of any circumstances that would prevent any of the nominees from serving.</w:t>
      </w:r>
    </w:p>
    <w:p>
      <w:pPr>
        <w:spacing w:after="0" w:line="52"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Set forth below is certain information for each director nominee up for election at the Annual Meeting and each continuing director of our Company who is not up for election. (Ages are as of the Annual Meeting.)</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FOR ELECTION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86995</wp:posOffset>
            </wp:positionV>
            <wp:extent cx="6797675" cy="1021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7675" cy="1021080"/>
                    </a:xfrm>
                    <a:prstGeom prst="rect">
                      <a:avLst/>
                    </a:prstGeom>
                    <a:noFill/>
                  </pic:spPr>
                </pic:pic>
              </a:graphicData>
            </a:graphic>
          </wp:anchor>
        </w:drawing>
      </w:r>
    </w:p>
    <w:p>
      <w:pPr>
        <w:spacing w:after="0" w:line="141"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FFFFFF"/>
        </w:rPr>
        <w:t>Professional Experience</w:t>
      </w:r>
    </w:p>
    <w:p>
      <w:pPr>
        <w:sectPr>
          <w:pgSz w:w="11900" w:h="16838" w:orient="portrait"/>
          <w:cols w:equalWidth="0" w:num="1">
            <w:col w:w="11260"/>
          </w:cols>
          <w:pgMar w:left="320" w:top="123" w:right="319" w:bottom="1440" w:gutter="0" w:footer="0" w:header="0"/>
        </w:sectPr>
      </w:pPr>
    </w:p>
    <w:p>
      <w:pPr>
        <w:spacing w:after="0" w:line="8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t>
      </w:r>
    </w:p>
    <w:p>
      <w:pPr>
        <w:spacing w:after="0" w:line="106" w:lineRule="exact"/>
        <w:rPr>
          <w:sz w:val="20"/>
          <w:szCs w:val="20"/>
          <w:color w:val="auto"/>
        </w:rPr>
      </w:pPr>
    </w:p>
    <w:p>
      <w:pPr>
        <w:ind w:left="160" w:right="920"/>
        <w:spacing w:after="0" w:line="269" w:lineRule="auto"/>
        <w:rPr>
          <w:sz w:val="20"/>
          <w:szCs w:val="20"/>
          <w:color w:val="auto"/>
        </w:rPr>
      </w:pPr>
      <w:r>
        <w:rPr>
          <w:rFonts w:ascii="Arial" w:cs="Arial" w:eastAsia="Arial" w:hAnsi="Arial"/>
          <w:sz w:val="13"/>
          <w:szCs w:val="13"/>
          <w:b w:val="1"/>
          <w:bCs w:val="1"/>
          <w:color w:val="auto"/>
        </w:rPr>
        <w:t>Jan A. Bertsch Independent Board Chair</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Director since 2013</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ind w:right="100" w:hanging="2"/>
        <w:spacing w:after="0" w:line="235" w:lineRule="auto"/>
        <w:rPr>
          <w:sz w:val="20"/>
          <w:szCs w:val="20"/>
          <w:color w:val="auto"/>
        </w:rPr>
      </w:pPr>
      <w:r>
        <w:rPr>
          <w:rFonts w:ascii="Arial" w:cs="Arial" w:eastAsia="Arial" w:hAnsi="Arial"/>
          <w:sz w:val="13"/>
          <w:szCs w:val="13"/>
          <w:color w:val="auto"/>
        </w:rPr>
        <w:t>Ms. Bertsch, age 66, served as Chief Financial Officer of Owens-Illinois, Inc., a Fortune 500 manufacturer of glass and packaging products, from November 2015 to April 2019.</w:t>
      </w:r>
    </w:p>
    <w:p>
      <w:pPr>
        <w:spacing w:after="0" w:line="1" w:lineRule="exact"/>
        <w:rPr>
          <w:sz w:val="20"/>
          <w:szCs w:val="20"/>
          <w:color w:val="auto"/>
        </w:rPr>
      </w:pPr>
    </w:p>
    <w:p>
      <w:pPr>
        <w:ind w:right="200" w:hanging="2"/>
        <w:spacing w:after="0" w:line="234" w:lineRule="auto"/>
        <w:rPr>
          <w:sz w:val="20"/>
          <w:szCs w:val="20"/>
          <w:color w:val="auto"/>
        </w:rPr>
      </w:pPr>
      <w:r>
        <w:rPr>
          <w:rFonts w:ascii="Arial" w:cs="Arial" w:eastAsia="Arial" w:hAnsi="Arial"/>
          <w:sz w:val="13"/>
          <w:szCs w:val="13"/>
          <w:color w:val="auto"/>
        </w:rPr>
        <w:t>Previously, Ms. Bertsch served as the Executive Vice President and Chief Financial Officer of Sigma-Aldrich Corporation, a leading life science and high technology company, from March 2012 to November 2015.</w:t>
      </w:r>
    </w:p>
    <w:p>
      <w:pPr>
        <w:spacing w:after="0" w:line="1" w:lineRule="exact"/>
        <w:rPr>
          <w:sz w:val="20"/>
          <w:szCs w:val="20"/>
          <w:color w:val="auto"/>
        </w:rPr>
      </w:pPr>
    </w:p>
    <w:p>
      <w:pPr>
        <w:ind w:right="480" w:hanging="2"/>
        <w:spacing w:after="0" w:line="234" w:lineRule="auto"/>
        <w:rPr>
          <w:sz w:val="20"/>
          <w:szCs w:val="20"/>
          <w:color w:val="auto"/>
        </w:rPr>
      </w:pPr>
      <w:r>
        <w:rPr>
          <w:rFonts w:ascii="Arial" w:cs="Arial" w:eastAsia="Arial" w:hAnsi="Arial"/>
          <w:sz w:val="13"/>
          <w:szCs w:val="13"/>
          <w:color w:val="auto"/>
        </w:rPr>
        <w:t>Before joining Sigma-Aldrich, Ms. Bertsch served as Vice President, Controller and Principal Accounting Officer of Borg Warner, Inc., from August 2011 to February 2012 and as Vice President and Treasurer from December 2009 to July 2011.</w:t>
      </w:r>
    </w:p>
    <w:p>
      <w:pPr>
        <w:spacing w:after="0" w:line="1" w:lineRule="exact"/>
        <w:rPr>
          <w:sz w:val="20"/>
          <w:szCs w:val="20"/>
          <w:color w:val="auto"/>
        </w:rPr>
      </w:pPr>
    </w:p>
    <w:p>
      <w:pPr>
        <w:ind w:right="300" w:hanging="2"/>
        <w:spacing w:after="0" w:line="234" w:lineRule="auto"/>
        <w:rPr>
          <w:sz w:val="20"/>
          <w:szCs w:val="20"/>
          <w:color w:val="auto"/>
        </w:rPr>
      </w:pPr>
      <w:r>
        <w:rPr>
          <w:rFonts w:ascii="Arial" w:cs="Arial" w:eastAsia="Arial" w:hAnsi="Arial"/>
          <w:sz w:val="13"/>
          <w:szCs w:val="13"/>
          <w:color w:val="auto"/>
        </w:rPr>
        <w:t>Prior to that, Ms. Bertsch spent several years as Senior Vice President, Treasurer and Chief Information Officer for Chrysler Group, LLC, and Chrysler LLC, where she worked proactively with a number of constituents to determine a solution to Chrysler’s long-term viability.</w:t>
      </w:r>
    </w:p>
    <w:p>
      <w:pPr>
        <w:spacing w:after="0" w:line="1" w:lineRule="exact"/>
        <w:rPr>
          <w:sz w:val="20"/>
          <w:szCs w:val="20"/>
          <w:color w:val="auto"/>
        </w:rPr>
      </w:pPr>
    </w:p>
    <w:p>
      <w:pPr>
        <w:ind w:right="180" w:hanging="2"/>
        <w:spacing w:after="0" w:line="234" w:lineRule="auto"/>
        <w:rPr>
          <w:sz w:val="20"/>
          <w:szCs w:val="20"/>
          <w:color w:val="auto"/>
        </w:rPr>
      </w:pPr>
      <w:r>
        <w:rPr>
          <w:rFonts w:ascii="Arial" w:cs="Arial" w:eastAsia="Arial" w:hAnsi="Arial"/>
          <w:sz w:val="13"/>
          <w:szCs w:val="13"/>
          <w:color w:val="auto"/>
        </w:rPr>
        <w:t>Ms. Bertsch served on the Board of Directors of Meritor, Inc. from 2016 to 2022, and serves on the Boards of Regal Rexnord Corporation since 2019 and Axalta Coating Systems, Inc. since September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-195580</wp:posOffset>
            </wp:positionH>
            <wp:positionV relativeFrom="paragraph">
              <wp:posOffset>344805</wp:posOffset>
            </wp:positionV>
            <wp:extent cx="5475605" cy="154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567" w:lineRule="exact"/>
        <w:rPr>
          <w:sz w:val="20"/>
          <w:szCs w:val="20"/>
          <w:color w:val="auto"/>
        </w:rPr>
      </w:pPr>
    </w:p>
    <w:p>
      <w:pPr>
        <w:sectPr>
          <w:pgSz w:w="11900" w:h="16838" w:orient="portrait"/>
          <w:cols w:equalWidth="0" w:num="2">
            <w:col w:w="2640" w:space="260"/>
            <w:col w:w="8360"/>
          </w:cols>
          <w:pgMar w:left="320" w:top="123" w:right="319" w:bottom="1440" w:gutter="0" w:footer="0" w:header="0"/>
          <w:type w:val="continuous"/>
        </w:sectPr>
      </w:pPr>
    </w:p>
    <w:p>
      <w:pPr>
        <w:ind w:left="2600"/>
        <w:spacing w:after="0"/>
        <w:rPr>
          <w:sz w:val="20"/>
          <w:szCs w:val="20"/>
          <w:color w:val="auto"/>
        </w:rPr>
      </w:pPr>
      <w:r>
        <w:rPr>
          <w:rFonts w:ascii="Arial" w:cs="Arial" w:eastAsia="Arial" w:hAnsi="Arial"/>
          <w:sz w:val="15"/>
          <w:szCs w:val="15"/>
          <w:b w:val="1"/>
          <w:bCs w:val="1"/>
          <w:color w:val="FFFFFF"/>
        </w:rPr>
        <w:t>Skills and Qualifications</w:t>
      </w:r>
    </w:p>
    <w:p>
      <w:pPr>
        <w:spacing w:after="0" w:line="88" w:lineRule="exact"/>
        <w:rPr>
          <w:sz w:val="20"/>
          <w:szCs w:val="20"/>
          <w:color w:val="auto"/>
        </w:rPr>
      </w:pPr>
    </w:p>
    <w:p>
      <w:pPr>
        <w:ind w:left="2900" w:right="120" w:hanging="298"/>
        <w:spacing w:after="0" w:line="245" w:lineRule="auto"/>
        <w:tabs>
          <w:tab w:leader="none" w:pos="2897" w:val="left"/>
        </w:tabs>
        <w:numPr>
          <w:ilvl w:val="0"/>
          <w:numId w:val="26"/>
        </w:numPr>
        <w:rPr>
          <w:rFonts w:ascii="Arial" w:cs="Arial" w:eastAsia="Arial" w:hAnsi="Arial"/>
          <w:sz w:val="12"/>
          <w:szCs w:val="12"/>
          <w:color w:val="auto"/>
        </w:rPr>
      </w:pPr>
      <w:r>
        <w:rPr>
          <w:rFonts w:ascii="Arial" w:cs="Arial" w:eastAsia="Arial" w:hAnsi="Arial"/>
          <w:sz w:val="12"/>
          <w:szCs w:val="12"/>
          <w:color w:val="auto"/>
        </w:rPr>
        <w:t>Ms. Bertsch has held numerous advisory roles in the academic, technological, and major manufacturing industries. With 40 years of experience, Ms. Bertsch brings extensive corporate finance, strategic planning, restructuring and international experience to our Board. The depth and breadth of her professional career in the life science, automotive and manufacturing industries, with a keen focus on operational enhancements, cost reduction strategies and revenue generation for Fortune 500 and Fortune 1000 companies, make her a valuable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304165</wp:posOffset>
            </wp:positionV>
            <wp:extent cx="6797675" cy="10210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797675" cy="102108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60" w:right="400"/>
        <w:spacing w:after="0" w:line="276" w:lineRule="auto"/>
        <w:rPr>
          <w:sz w:val="20"/>
          <w:szCs w:val="20"/>
          <w:color w:val="auto"/>
        </w:rPr>
      </w:pPr>
      <w:r>
        <w:rPr>
          <w:rFonts w:ascii="Arial" w:cs="Arial" w:eastAsia="Arial" w:hAnsi="Arial"/>
          <w:sz w:val="13"/>
          <w:szCs w:val="13"/>
          <w:b w:val="1"/>
          <w:bCs w:val="1"/>
          <w:color w:val="auto"/>
        </w:rPr>
        <w:t xml:space="preserve">Gerhard F. Burbach Independent Director </w:t>
      </w:r>
      <w:r>
        <w:rPr>
          <w:rFonts w:ascii="Arial" w:cs="Arial" w:eastAsia="Arial" w:hAnsi="Arial"/>
          <w:sz w:val="13"/>
          <w:szCs w:val="13"/>
          <w:b w:val="1"/>
          <w:bCs w:val="1"/>
          <w:i w:val="1"/>
          <w:iCs w:val="1"/>
          <w:color w:val="auto"/>
        </w:rPr>
        <w:t>Director since 2018</w:t>
      </w:r>
    </w:p>
    <w:p>
      <w:pPr>
        <w:spacing w:after="0" w:line="32"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Committee: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2"/>
          <w:szCs w:val="12"/>
          <w:b w:val="1"/>
          <w:bCs w:val="1"/>
          <w:i w:val="1"/>
          <w:iCs w:val="1"/>
          <w:color w:val="auto"/>
        </w:rPr>
        <w:t>– Compensation (Chair)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76" w:lineRule="exact"/>
        <w:rPr>
          <w:sz w:val="20"/>
          <w:szCs w:val="20"/>
          <w:color w:val="auto"/>
        </w:rPr>
      </w:pPr>
    </w:p>
    <w:p>
      <w:pPr>
        <w:ind w:left="300" w:right="160" w:hanging="298"/>
        <w:spacing w:after="0" w:line="244" w:lineRule="auto"/>
        <w:tabs>
          <w:tab w:leader="none" w:pos="297"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Burbach, age 61, was President, Chief Executive Officer and director of Thoratec Corporation, a company that develops, manufactures and markets proprietary medical devices used for circulatory support, from 2006 to 2014.</w:t>
      </w:r>
    </w:p>
    <w:p>
      <w:pPr>
        <w:ind w:left="300" w:right="120" w:hanging="298"/>
        <w:spacing w:after="0" w:line="234" w:lineRule="auto"/>
        <w:tabs>
          <w:tab w:leader="none" w:pos="297" w:val="left"/>
        </w:tabs>
        <w:numPr>
          <w:ilvl w:val="0"/>
          <w:numId w:val="27"/>
        </w:numPr>
        <w:rPr>
          <w:rFonts w:ascii="Arial" w:cs="Arial" w:eastAsia="Arial" w:hAnsi="Arial"/>
          <w:sz w:val="13"/>
          <w:szCs w:val="13"/>
          <w:color w:val="auto"/>
        </w:rPr>
      </w:pPr>
      <w:r>
        <w:rPr>
          <w:rFonts w:ascii="Arial" w:cs="Arial" w:eastAsia="Arial" w:hAnsi="Arial"/>
          <w:sz w:val="13"/>
          <w:szCs w:val="13"/>
          <w:color w:val="auto"/>
        </w:rPr>
        <w:t>Prior to that, he held executive leadership positions at Digirad Corporation, Philips Medical Systems, ADAC Laboratories, McKinsey &amp; Company and CitiCorp.</w:t>
      </w:r>
    </w:p>
    <w:p>
      <w:pPr>
        <w:ind w:left="300" w:right="400" w:hanging="298"/>
        <w:spacing w:after="0" w:line="234" w:lineRule="auto"/>
        <w:tabs>
          <w:tab w:leader="none" w:pos="297"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Burbach received a bachelor’s degree in industrial engineering from Stanford University and a master’s of business administration from Harvard Business School.</w:t>
      </w:r>
    </w:p>
    <w:p>
      <w:pPr>
        <w:ind w:left="300" w:right="240" w:hanging="298"/>
        <w:spacing w:after="0" w:line="219" w:lineRule="auto"/>
        <w:tabs>
          <w:tab w:leader="none" w:pos="297" w:val="left"/>
        </w:tabs>
        <w:numPr>
          <w:ilvl w:val="0"/>
          <w:numId w:val="27"/>
        </w:numPr>
        <w:rPr>
          <w:rFonts w:ascii="Arial" w:cs="Arial" w:eastAsia="Arial" w:hAnsi="Arial"/>
          <w:sz w:val="13"/>
          <w:szCs w:val="13"/>
          <w:color w:val="auto"/>
        </w:rPr>
      </w:pPr>
      <w:r>
        <w:rPr>
          <w:rFonts w:ascii="Arial" w:cs="Arial" w:eastAsia="Arial" w:hAnsi="Arial"/>
          <w:sz w:val="13"/>
          <w:szCs w:val="13"/>
          <w:color w:val="auto"/>
        </w:rPr>
        <w:t>Mr. Burbach serves on the board of directors of Fluidigm Corporation, a public company manufacturing and marketing innovative technologies for life sciences research, and is chairman of the board of directors of Procyrion Inc., a private medical device company focused on the treatment of chronic heart failure. He also serves on the boards of Artelon, a private biomaterial developer used for tendon and ligament reconstruction, and Vascular Dynamics, Inc., a private medical device company developing innovative solutions for heart failure and hypertension.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5475605" cy="154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9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76" w:lineRule="exact"/>
        <w:rPr>
          <w:sz w:val="20"/>
          <w:szCs w:val="20"/>
          <w:color w:val="auto"/>
        </w:rPr>
      </w:pPr>
    </w:p>
    <w:p>
      <w:pPr>
        <w:ind w:left="300" w:right="340" w:hanging="298"/>
        <w:spacing w:after="0" w:line="250" w:lineRule="auto"/>
        <w:tabs>
          <w:tab w:leader="none" w:pos="297" w:val="left"/>
        </w:tabs>
        <w:numPr>
          <w:ilvl w:val="0"/>
          <w:numId w:val="28"/>
        </w:numPr>
        <w:rPr>
          <w:rFonts w:ascii="Arial" w:cs="Arial" w:eastAsia="Arial" w:hAnsi="Arial"/>
          <w:sz w:val="13"/>
          <w:szCs w:val="13"/>
          <w:color w:val="auto"/>
        </w:rPr>
      </w:pPr>
      <w:r>
        <w:rPr>
          <w:rFonts w:ascii="Arial" w:cs="Arial" w:eastAsia="Arial" w:hAnsi="Arial"/>
          <w:sz w:val="13"/>
          <w:szCs w:val="13"/>
          <w:color w:val="auto"/>
        </w:rPr>
        <w:t>Mr. Burbach's leadership background with medical device companies provides our Board with a key external perspective and insight into our medical isotope business, including strategy, development, operations, customers and other stakeholders.</w:t>
      </w:r>
    </w:p>
    <w:p>
      <w:pPr>
        <w:spacing w:after="0" w:line="200" w:lineRule="exact"/>
        <w:rPr>
          <w:sz w:val="20"/>
          <w:szCs w:val="20"/>
          <w:color w:val="auto"/>
        </w:rPr>
      </w:pPr>
    </w:p>
    <w:p>
      <w:pPr>
        <w:sectPr>
          <w:pgSz w:w="11900" w:h="16838" w:orient="portrait"/>
          <w:cols w:equalWidth="0" w:num="2">
            <w:col w:w="1880" w:space="720"/>
            <w:col w:w="8660"/>
          </w:cols>
          <w:pgMar w:left="320" w:top="123" w:right="319" w:bottom="1440" w:gutter="0" w:footer="0" w:header="0"/>
          <w:type w:val="continuous"/>
        </w:sectPr>
      </w:pPr>
    </w:p>
    <w:p>
      <w:pPr>
        <w:spacing w:after="0" w:line="337" w:lineRule="exact"/>
        <w:rPr>
          <w:sz w:val="20"/>
          <w:szCs w:val="20"/>
          <w:color w:val="auto"/>
        </w:rPr>
      </w:pPr>
    </w:p>
    <w:p>
      <w:pPr>
        <w:ind w:left="8400"/>
        <w:spacing w:after="0"/>
        <w:rPr>
          <w:sz w:val="20"/>
          <w:szCs w:val="20"/>
          <w:color w:val="auto"/>
        </w:rPr>
      </w:pPr>
      <w:r>
        <w:rPr>
          <w:sz w:val="1"/>
          <w:szCs w:val="1"/>
          <w:color w:val="auto"/>
        </w:rPr>
        <w:drawing>
          <wp:inline distT="0" distB="0" distL="0" distR="0">
            <wp:extent cx="440690" cy="18542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5"/>
          <w:szCs w:val="15"/>
          <w:color w:val="auto"/>
        </w:rPr>
        <w:t xml:space="preserve"> 2023 PROXY STATEMENT </w:t>
      </w:r>
      <w:r>
        <w:rPr>
          <w:rFonts w:ascii="Arial" w:cs="Arial" w:eastAsia="Arial" w:hAnsi="Arial"/>
          <w:sz w:val="15"/>
          <w:szCs w:val="15"/>
          <w:b w:val="1"/>
          <w:bCs w:val="1"/>
          <w:color w:val="2C2C2C"/>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171055"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19" w:name="page20"/>
    <w:bookmarkEnd w:id="19"/>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396875</wp:posOffset>
            </wp:positionV>
            <wp:extent cx="6797675" cy="10210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97675" cy="102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600"/>
        <w:spacing w:after="0"/>
        <w:rPr>
          <w:sz w:val="20"/>
          <w:szCs w:val="20"/>
          <w:color w:val="auto"/>
        </w:rPr>
      </w:pPr>
      <w:r>
        <w:rPr>
          <w:rFonts w:ascii="Arial" w:cs="Arial" w:eastAsia="Arial" w:hAnsi="Arial"/>
          <w:sz w:val="15"/>
          <w:szCs w:val="15"/>
          <w:b w:val="1"/>
          <w:bCs w:val="1"/>
          <w:color w:val="FFFFFF"/>
        </w:rPr>
        <w:t>Professional Experience</w:t>
      </w:r>
    </w:p>
    <w:p>
      <w:pPr>
        <w:spacing w:after="0" w:line="88" w:lineRule="exact"/>
        <w:rPr>
          <w:sz w:val="20"/>
          <w:szCs w:val="20"/>
          <w:color w:val="auto"/>
        </w:rPr>
      </w:pPr>
    </w:p>
    <w:p>
      <w:pPr>
        <w:ind w:left="2900" w:right="80" w:hanging="298"/>
        <w:spacing w:after="0" w:line="235" w:lineRule="auto"/>
        <w:tabs>
          <w:tab w:leader="none" w:pos="2897"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Geveden, age 62, has served as President and Chief Executive Officer since January 2017, and served as our Chief Operating Officer from October 2015 until December 2016.</w:t>
      </w:r>
    </w:p>
    <w:p>
      <w:pPr>
        <w:ind w:left="2900" w:right="60" w:hanging="298"/>
        <w:spacing w:after="0" w:line="218" w:lineRule="auto"/>
        <w:tabs>
          <w:tab w:leader="none" w:pos="2897" w:val="left"/>
        </w:tabs>
        <w:numPr>
          <w:ilvl w:val="0"/>
          <w:numId w:val="29"/>
        </w:numPr>
        <w:rPr>
          <w:rFonts w:ascii="Arial" w:cs="Arial" w:eastAsia="Arial" w:hAnsi="Arial"/>
          <w:sz w:val="13"/>
          <w:szCs w:val="13"/>
          <w:color w:val="auto"/>
        </w:rPr>
      </w:pPr>
      <w:r>
        <w:rPr>
          <w:rFonts w:ascii="Arial" w:cs="Arial" w:eastAsia="Arial" w:hAnsi="Arial"/>
          <w:sz w:val="13"/>
          <w:szCs w:val="13"/>
          <w:color w:val="auto"/>
        </w:rPr>
        <w:t>Previously, Mr. Geveden was Executive Vice President at Teledyne Technologies Incorporated ("Teledyne"), a provider of electronic subsystems and instrumentation for aerospace, defense and other uses. There he led two of Teledyne's four operating segments since 2013, and concurrently served as President of Teledyne DALSA, Inc., a Teledyne subsidiary, since 2014. Mr. Geveden also served as President and Chief Executive Officer of Teledyne Scientific and Imaging, LLC (2011 to 2013) and President of both Teledyne Brown Engineering, Inc. and Teledyne's Engineered Systems Segment (2007 to 2011).</w:t>
      </w:r>
    </w:p>
    <w:p>
      <w:pPr>
        <w:spacing w:after="0" w:line="3" w:lineRule="exact"/>
        <w:rPr>
          <w:rFonts w:ascii="Arial" w:cs="Arial" w:eastAsia="Arial" w:hAnsi="Arial"/>
          <w:sz w:val="13"/>
          <w:szCs w:val="13"/>
          <w:color w:val="auto"/>
        </w:rPr>
      </w:pPr>
    </w:p>
    <w:p>
      <w:pPr>
        <w:ind w:left="2900" w:right="60" w:hanging="298"/>
        <w:spacing w:after="0" w:line="254" w:lineRule="auto"/>
        <w:tabs>
          <w:tab w:leader="none" w:pos="2897" w:val="left"/>
        </w:tabs>
        <w:numPr>
          <w:ilvl w:val="0"/>
          <w:numId w:val="29"/>
        </w:numPr>
        <w:rPr>
          <w:rFonts w:ascii="Arial" w:cs="Arial" w:eastAsia="Arial" w:hAnsi="Arial"/>
          <w:sz w:val="12"/>
          <w:szCs w:val="12"/>
          <w:color w:val="auto"/>
        </w:rPr>
      </w:pPr>
      <w:r>
        <w:rPr>
          <w:rFonts w:ascii="Arial" w:cs="Arial" w:eastAsia="Arial" w:hAnsi="Arial"/>
          <w:sz w:val="12"/>
          <w:szCs w:val="12"/>
          <w:color w:val="auto"/>
        </w:rPr>
        <w:t>Mr. Geveden is a former Associate Administrator of the National Aeronautics and Space Administration ("NASA"), where he was responsible for all technical operations within the agency's $16 billion portfolio and served in various other positions with NASA in a career spanning 17 years.</w:t>
      </w:r>
    </w:p>
    <w:p>
      <w:pPr>
        <w:ind w:left="2900" w:hanging="298"/>
        <w:spacing w:after="0"/>
        <w:tabs>
          <w:tab w:leader="none" w:pos="2900" w:val="left"/>
        </w:tabs>
        <w:numPr>
          <w:ilvl w:val="0"/>
          <w:numId w:val="29"/>
        </w:numPr>
        <w:rPr>
          <w:rFonts w:ascii="Arial" w:cs="Arial" w:eastAsia="Arial" w:hAnsi="Arial"/>
          <w:sz w:val="13"/>
          <w:szCs w:val="13"/>
          <w:color w:val="auto"/>
        </w:rPr>
      </w:pPr>
      <w:r>
        <w:rPr>
          <w:rFonts w:ascii="Arial" w:cs="Arial" w:eastAsia="Arial" w:hAnsi="Arial"/>
          <w:sz w:val="13"/>
          <w:szCs w:val="13"/>
          <w:color w:val="auto"/>
        </w:rPr>
        <w:t>Mr. Geveden has served as chairman of the board of directors of TTM Technologies, Inc. since 2021 and has been a director since 2018.</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Rex D. Geveden</w:t>
      </w:r>
    </w:p>
    <w:p>
      <w:pPr>
        <w:ind w:left="160"/>
        <w:spacing w:after="0" w:line="229" w:lineRule="auto"/>
        <w:rPr>
          <w:sz w:val="20"/>
          <w:szCs w:val="20"/>
          <w:color w:val="auto"/>
        </w:rPr>
      </w:pPr>
      <w:r>
        <w:rPr>
          <w:rFonts w:ascii="Arial" w:cs="Arial" w:eastAsia="Arial" w:hAnsi="Arial"/>
          <w:sz w:val="13"/>
          <w:szCs w:val="13"/>
          <w:b w:val="1"/>
          <w:bCs w:val="1"/>
          <w:color w:val="auto"/>
        </w:rPr>
        <w:t>President, Chief Executive Officer and</w:t>
      </w:r>
    </w:p>
    <w:p>
      <w:pPr>
        <w:ind w:left="160"/>
        <w:spacing w:after="0"/>
        <w:rPr>
          <w:sz w:val="20"/>
          <w:szCs w:val="20"/>
          <w:color w:val="auto"/>
        </w:rPr>
      </w:pPr>
      <w:r>
        <w:rPr>
          <w:rFonts w:ascii="Arial" w:cs="Arial" w:eastAsia="Arial" w:hAnsi="Arial"/>
          <w:sz w:val="13"/>
          <w:szCs w:val="13"/>
          <w:b w:val="1"/>
          <w:bCs w:val="1"/>
          <w:color w:val="auto"/>
        </w:rPr>
        <w:t>Director</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Director since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-19685</wp:posOffset>
            </wp:positionV>
            <wp:extent cx="5475605" cy="154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 w:right="400"/>
        <w:spacing w:after="0" w:line="276" w:lineRule="auto"/>
        <w:rPr>
          <w:sz w:val="20"/>
          <w:szCs w:val="20"/>
          <w:color w:val="auto"/>
        </w:rPr>
      </w:pPr>
      <w:r>
        <w:rPr>
          <w:rFonts w:ascii="Arial" w:cs="Arial" w:eastAsia="Arial" w:hAnsi="Arial"/>
          <w:sz w:val="13"/>
          <w:szCs w:val="13"/>
          <w:b w:val="1"/>
          <w:bCs w:val="1"/>
          <w:color w:val="auto"/>
        </w:rPr>
        <w:t xml:space="preserve">James M. Jaska Independent Director </w:t>
      </w:r>
      <w:r>
        <w:rPr>
          <w:rFonts w:ascii="Arial" w:cs="Arial" w:eastAsia="Arial" w:hAnsi="Arial"/>
          <w:sz w:val="13"/>
          <w:szCs w:val="13"/>
          <w:b w:val="1"/>
          <w:bCs w:val="1"/>
          <w:i w:val="1"/>
          <w:iCs w:val="1"/>
          <w:color w:val="auto"/>
        </w:rPr>
        <w:t>Director since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-1412240</wp:posOffset>
            </wp:positionV>
            <wp:extent cx="1021080" cy="10210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Committees:</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 Audit and Finance</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 Governance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516255</wp:posOffset>
            </wp:positionV>
            <wp:extent cx="1021080" cy="10210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160" w:right="400"/>
        <w:spacing w:after="0" w:line="286" w:lineRule="auto"/>
        <w:rPr>
          <w:sz w:val="20"/>
          <w:szCs w:val="20"/>
          <w:color w:val="auto"/>
        </w:rPr>
      </w:pPr>
      <w:r>
        <w:rPr>
          <w:rFonts w:ascii="Arial" w:cs="Arial" w:eastAsia="Arial" w:hAnsi="Arial"/>
          <w:sz w:val="13"/>
          <w:szCs w:val="13"/>
          <w:b w:val="1"/>
          <w:bCs w:val="1"/>
          <w:color w:val="auto"/>
        </w:rPr>
        <w:t xml:space="preserve">Kenneth J. Krieg Independent Director </w:t>
      </w:r>
      <w:r>
        <w:rPr>
          <w:rFonts w:ascii="Arial" w:cs="Arial" w:eastAsia="Arial" w:hAnsi="Arial"/>
          <w:sz w:val="13"/>
          <w:szCs w:val="13"/>
          <w:b w:val="1"/>
          <w:bCs w:val="1"/>
          <w:i w:val="1"/>
          <w:iCs w:val="1"/>
          <w:color w:val="auto"/>
        </w:rPr>
        <w:t>Director since 2016</w:t>
      </w:r>
    </w:p>
    <w:p>
      <w:pPr>
        <w:spacing w:after="0" w:line="26"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Committee:</w:t>
      </w:r>
    </w:p>
    <w:p>
      <w:pPr>
        <w:spacing w:after="0" w:line="21"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 Compensation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74" w:lineRule="exact"/>
        <w:rPr>
          <w:sz w:val="20"/>
          <w:szCs w:val="20"/>
          <w:color w:val="auto"/>
        </w:rPr>
      </w:pPr>
    </w:p>
    <w:p>
      <w:pPr>
        <w:ind w:left="300" w:right="60" w:hanging="298"/>
        <w:spacing w:after="0" w:line="228" w:lineRule="auto"/>
        <w:tabs>
          <w:tab w:leader="none" w:pos="297" w:val="left"/>
        </w:tabs>
        <w:numPr>
          <w:ilvl w:val="0"/>
          <w:numId w:val="31"/>
        </w:numPr>
        <w:rPr>
          <w:rFonts w:ascii="Arial" w:cs="Arial" w:eastAsia="Arial" w:hAnsi="Arial"/>
          <w:sz w:val="13"/>
          <w:szCs w:val="13"/>
          <w:color w:val="auto"/>
        </w:rPr>
      </w:pPr>
      <w:r>
        <w:rPr>
          <w:rFonts w:ascii="Arial" w:cs="Arial" w:eastAsia="Arial" w:hAnsi="Arial"/>
          <w:sz w:val="13"/>
          <w:szCs w:val="13"/>
          <w:color w:val="auto"/>
        </w:rPr>
        <w:t>Mr. Geveden has broad leadership and technical experience overseeing commercial manufacturing operations for publicly traded companies and high-consequence technology programs for the U.S. government. This experience, combined with his strategic vision, make him a valuable contributor to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329565</wp:posOffset>
            </wp:positionV>
            <wp:extent cx="5475605" cy="154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76" w:lineRule="exact"/>
        <w:rPr>
          <w:sz w:val="20"/>
          <w:szCs w:val="20"/>
          <w:color w:val="auto"/>
        </w:rPr>
      </w:pPr>
    </w:p>
    <w:p>
      <w:pPr>
        <w:ind w:left="300" w:hanging="298"/>
        <w:spacing w:after="0" w:line="234" w:lineRule="auto"/>
        <w:tabs>
          <w:tab w:leader="none" w:pos="297"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Jaska, age 72, has served as Chief Executive Officer, Versar, Inc. since October 2021. He previously served as President and Chief Executive Officer of both GC Valiant LLC and Valiant Integrated Services LLC from 2016 to 2021. From July 2015 to January 2016, he served as Division President of Supreme Group LLC (now known as Valiant Integrated Services LLC).</w:t>
      </w:r>
    </w:p>
    <w:p>
      <w:pPr>
        <w:ind w:left="300" w:hanging="298"/>
        <w:spacing w:after="0" w:line="222" w:lineRule="auto"/>
        <w:tabs>
          <w:tab w:leader="none" w:pos="297" w:val="left"/>
        </w:tabs>
        <w:numPr>
          <w:ilvl w:val="0"/>
          <w:numId w:val="32"/>
        </w:numPr>
        <w:rPr>
          <w:rFonts w:ascii="Arial" w:cs="Arial" w:eastAsia="Arial" w:hAnsi="Arial"/>
          <w:sz w:val="13"/>
          <w:szCs w:val="13"/>
          <w:color w:val="auto"/>
        </w:rPr>
      </w:pPr>
      <w:r>
        <w:rPr>
          <w:rFonts w:ascii="Arial" w:cs="Arial" w:eastAsia="Arial" w:hAnsi="Arial"/>
          <w:sz w:val="13"/>
          <w:szCs w:val="13"/>
          <w:color w:val="auto"/>
        </w:rPr>
        <w:t>Previously, Mr. Jaska served in a variety of roles of increasing responsibility with AECOM (formerly AECOM Technology Corporation) over a 10-year period, including President, Government (2013-2014), President of Americas &amp; Government (2011-2013), Division Executive Vice President (2009-2011), Group Chief Executive, Government Group (2005-2009) and Consultant (2004-2005).</w:t>
      </w:r>
    </w:p>
    <w:p>
      <w:pPr>
        <w:jc w:val="both"/>
        <w:ind w:left="300" w:right="20" w:hanging="298"/>
        <w:spacing w:after="0" w:line="224" w:lineRule="auto"/>
        <w:tabs>
          <w:tab w:leader="none" w:pos="297"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Jaska also held several positions with Tetra Tech, Inc., a global provider of professional technical services in engineering, applied sciences, resource management and infrastructure, including President and Director (2003-2004), President, Chief Financial Officer and Treasurer (2001-2003), Executive Vice President, Chief Financial Officer and Treasurer (2000-2001) and as Vice President, Chief Financial Officer and Treasurer (1994-2000).</w:t>
      </w:r>
    </w:p>
    <w:p>
      <w:pPr>
        <w:ind w:left="300" w:hanging="298"/>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Mr. Jaska has also held leadership roles with Alliant Techsystems, Inc., Honeywell, Inc. and Ecolab.</w:t>
      </w:r>
    </w:p>
    <w:p>
      <w:pPr>
        <w:spacing w:after="0" w:line="8" w:lineRule="exact"/>
        <w:rPr>
          <w:rFonts w:ascii="Arial" w:cs="Arial" w:eastAsia="Arial" w:hAnsi="Arial"/>
          <w:sz w:val="13"/>
          <w:szCs w:val="13"/>
          <w:color w:val="auto"/>
        </w:rPr>
      </w:pPr>
    </w:p>
    <w:p>
      <w:pPr>
        <w:ind w:left="300" w:hanging="298"/>
        <w:spacing w:after="0"/>
        <w:tabs>
          <w:tab w:leader="none" w:pos="300" w:val="left"/>
        </w:tabs>
        <w:numPr>
          <w:ilvl w:val="0"/>
          <w:numId w:val="32"/>
        </w:numPr>
        <w:rPr>
          <w:rFonts w:ascii="Arial" w:cs="Arial" w:eastAsia="Arial" w:hAnsi="Arial"/>
          <w:sz w:val="13"/>
          <w:szCs w:val="13"/>
          <w:color w:val="auto"/>
        </w:rPr>
      </w:pPr>
      <w:r>
        <w:rPr>
          <w:rFonts w:ascii="Arial" w:cs="Arial" w:eastAsia="Arial" w:hAnsi="Arial"/>
          <w:sz w:val="13"/>
          <w:szCs w:val="13"/>
          <w:color w:val="auto"/>
        </w:rPr>
        <w:t>He holds a master's degree and a bachelor's degree from Western Illinois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5475605" cy="154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76" w:lineRule="exact"/>
        <w:rPr>
          <w:sz w:val="20"/>
          <w:szCs w:val="20"/>
          <w:color w:val="auto"/>
        </w:rPr>
      </w:pPr>
    </w:p>
    <w:p>
      <w:pPr>
        <w:ind w:left="300" w:right="660" w:hanging="298"/>
        <w:spacing w:after="0" w:line="250" w:lineRule="auto"/>
        <w:tabs>
          <w:tab w:leader="none" w:pos="297" w:val="left"/>
        </w:tabs>
        <w:numPr>
          <w:ilvl w:val="0"/>
          <w:numId w:val="33"/>
        </w:numPr>
        <w:rPr>
          <w:rFonts w:ascii="Arial" w:cs="Arial" w:eastAsia="Arial" w:hAnsi="Arial"/>
          <w:sz w:val="13"/>
          <w:szCs w:val="13"/>
          <w:color w:val="auto"/>
        </w:rPr>
      </w:pPr>
      <w:r>
        <w:rPr>
          <w:rFonts w:ascii="Arial" w:cs="Arial" w:eastAsia="Arial" w:hAnsi="Arial"/>
          <w:sz w:val="13"/>
          <w:szCs w:val="13"/>
          <w:color w:val="auto"/>
        </w:rPr>
        <w:t>Mr. Jaska's leadership background with large technology and government services operations provides our Board with a key external perspective on our operations, customers and other stakeholders relevant to our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5475605" cy="154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88" w:lineRule="exact"/>
        <w:rPr>
          <w:sz w:val="20"/>
          <w:szCs w:val="20"/>
          <w:color w:val="auto"/>
        </w:rPr>
      </w:pPr>
    </w:p>
    <w:p>
      <w:pPr>
        <w:ind w:left="300" w:right="180" w:hanging="298"/>
        <w:spacing w:after="0" w:line="244" w:lineRule="auto"/>
        <w:tabs>
          <w:tab w:leader="none" w:pos="2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Krieg, age 62, has served as the founder and Principal of Samford Global Strategies, a consulting practice focused on helping clients lead and manage through periods of strategic change, since 2007.</w:t>
      </w:r>
    </w:p>
    <w:p>
      <w:pPr>
        <w:ind w:left="300" w:right="20" w:hanging="298"/>
        <w:spacing w:after="0" w:line="219" w:lineRule="auto"/>
        <w:tabs>
          <w:tab w:leader="none" w:pos="2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Previously, Mr. Krieg served as the Under Secretary of Defense for Acquisition, Technology and Logistics from June 2005 to July 2007, in which role he was responsible for advising the Secretary of Defense on all matters relating to the Department of Defense acquisition system, research and development, advanced technology, developmental test and evaluation, production, logistics, installation management, military construction, procurement, environmental security, nuclear, chemical and biological matters.</w:t>
      </w:r>
    </w:p>
    <w:p>
      <w:pPr>
        <w:spacing w:after="0" w:line="2" w:lineRule="exact"/>
        <w:rPr>
          <w:rFonts w:ascii="Arial" w:cs="Arial" w:eastAsia="Arial" w:hAnsi="Arial"/>
          <w:sz w:val="13"/>
          <w:szCs w:val="13"/>
          <w:color w:val="auto"/>
        </w:rPr>
      </w:pPr>
    </w:p>
    <w:p>
      <w:pPr>
        <w:ind w:left="300" w:right="120" w:hanging="298"/>
        <w:spacing w:after="0" w:line="228" w:lineRule="auto"/>
        <w:tabs>
          <w:tab w:leader="none" w:pos="2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Krieg has also served in a variety of Department of Defense roles, including as Special Assistant to the Secretary and Director for Program Analysis &amp; Evaluation and Executive Secretary of the Senior Executive Council, and served as Vice President and General Manager of International Paper Realty Inc.</w:t>
      </w:r>
    </w:p>
    <w:p>
      <w:pPr>
        <w:ind w:left="300" w:right="40" w:hanging="298"/>
        <w:spacing w:after="0" w:line="225" w:lineRule="auto"/>
        <w:tabs>
          <w:tab w:leader="none" w:pos="2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Mr. Krieg also worked in a number of defense and foreign policy assignments in Washington, DC, including positions at the White House, on the National Security Council Staff, and in the Office of the Secretary of Defense.</w:t>
      </w:r>
    </w:p>
    <w:p>
      <w:pPr>
        <w:ind w:left="300" w:right="420" w:hanging="298"/>
        <w:spacing w:after="0" w:line="234" w:lineRule="auto"/>
        <w:tabs>
          <w:tab w:leader="none" w:pos="297" w:val="left"/>
        </w:tabs>
        <w:numPr>
          <w:ilvl w:val="0"/>
          <w:numId w:val="34"/>
        </w:numPr>
        <w:rPr>
          <w:rFonts w:ascii="Arial" w:cs="Arial" w:eastAsia="Arial" w:hAnsi="Arial"/>
          <w:sz w:val="13"/>
          <w:szCs w:val="13"/>
          <w:color w:val="auto"/>
        </w:rPr>
      </w:pPr>
      <w:r>
        <w:rPr>
          <w:rFonts w:ascii="Arial" w:cs="Arial" w:eastAsia="Arial" w:hAnsi="Arial"/>
          <w:sz w:val="13"/>
          <w:szCs w:val="13"/>
          <w:color w:val="auto"/>
        </w:rPr>
        <w:t>He serves on the board of directors on Leonardo DRS, Inc. since November 2022 and served on the boards of Tempus Applied Solutions Holdings, Inc. from 2014 to 2016, and API Technologies, Inc. from 2011 to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5475605" cy="154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88" w:lineRule="exact"/>
        <w:rPr>
          <w:sz w:val="20"/>
          <w:szCs w:val="20"/>
          <w:color w:val="auto"/>
        </w:rPr>
      </w:pPr>
    </w:p>
    <w:p>
      <w:pPr>
        <w:ind w:left="300" w:hanging="298"/>
        <w:spacing w:after="0" w:line="228" w:lineRule="auto"/>
        <w:tabs>
          <w:tab w:leader="none" w:pos="297" w:val="left"/>
        </w:tabs>
        <w:numPr>
          <w:ilvl w:val="0"/>
          <w:numId w:val="35"/>
        </w:numPr>
        <w:rPr>
          <w:rFonts w:ascii="Arial" w:cs="Arial" w:eastAsia="Arial" w:hAnsi="Arial"/>
          <w:sz w:val="13"/>
          <w:szCs w:val="13"/>
          <w:color w:val="auto"/>
        </w:rPr>
      </w:pPr>
      <w:r>
        <w:rPr>
          <w:rFonts w:ascii="Arial" w:cs="Arial" w:eastAsia="Arial" w:hAnsi="Arial"/>
          <w:sz w:val="13"/>
          <w:szCs w:val="13"/>
          <w:color w:val="auto"/>
        </w:rPr>
        <w:t>Mr. Krieg has significant experience overseeing major research, development and procurement programs for the Department of Defense. His background provides our Board of Directors with valuable insight into acquisition priorities and considerations of the U.S. Government, our single largest customer.</w:t>
      </w:r>
    </w:p>
    <w:p>
      <w:pPr>
        <w:spacing w:after="0" w:line="200" w:lineRule="exact"/>
        <w:rPr>
          <w:sz w:val="20"/>
          <w:szCs w:val="20"/>
          <w:color w:val="auto"/>
        </w:rPr>
      </w:pPr>
    </w:p>
    <w:p>
      <w:pPr>
        <w:sectPr>
          <w:pgSz w:w="11900" w:h="16838" w:orient="portrait"/>
          <w:cols w:equalWidth="0" w:num="2">
            <w:col w:w="1880" w:space="720"/>
            <w:col w:w="8580"/>
          </w:cols>
          <w:pgMar w:left="320" w:top="123" w:right="399" w:bottom="1440" w:gutter="0" w:footer="0" w:header="0"/>
          <w:type w:val="continuous"/>
        </w:sect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color w:val="2C2C2C"/>
        </w:rPr>
        <w:t xml:space="preserve">8 </w:t>
      </w:r>
      <w:r>
        <w:rPr>
          <w:sz w:val="1"/>
          <w:szCs w:val="1"/>
          <w:color w:val="auto"/>
        </w:rPr>
        <w:drawing>
          <wp:inline distT="0" distB="0" distL="0" distR="0">
            <wp:extent cx="401955" cy="162560"/>
            <wp:effectExtent l="0" t="0" r="0"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5"/>
          <w:szCs w:val="15"/>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90805</wp:posOffset>
            </wp:positionV>
            <wp:extent cx="7171055"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type w:val="continuous"/>
        </w:sectPr>
      </w:pPr>
    </w:p>
    <w:bookmarkStart w:id="20" w:name="page21"/>
    <w:bookmarkEnd w:id="20"/>
    <w:p>
      <w:pPr>
        <w:ind w:left="906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580"/>
        <w:spacing w:after="0"/>
        <w:rPr>
          <w:sz w:val="20"/>
          <w:szCs w:val="20"/>
          <w:color w:val="auto"/>
        </w:rPr>
      </w:pPr>
      <w:r>
        <w:rPr>
          <w:rFonts w:ascii="Arial" w:cs="Arial" w:eastAsia="Arial" w:hAnsi="Arial"/>
          <w:sz w:val="13"/>
          <w:szCs w:val="13"/>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-102870</wp:posOffset>
            </wp:positionH>
            <wp:positionV relativeFrom="paragraph">
              <wp:posOffset>18415</wp:posOffset>
            </wp:positionV>
            <wp:extent cx="7145655"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221615</wp:posOffset>
            </wp:positionH>
            <wp:positionV relativeFrom="paragraph">
              <wp:posOffset>273685</wp:posOffset>
            </wp:positionV>
            <wp:extent cx="6797675" cy="10210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7675" cy="102108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right="400"/>
        <w:spacing w:after="0" w:line="286" w:lineRule="auto"/>
        <w:rPr>
          <w:sz w:val="20"/>
          <w:szCs w:val="20"/>
          <w:color w:val="auto"/>
        </w:rPr>
      </w:pPr>
      <w:r>
        <w:rPr>
          <w:rFonts w:ascii="Arial" w:cs="Arial" w:eastAsia="Arial" w:hAnsi="Arial"/>
          <w:sz w:val="13"/>
          <w:szCs w:val="13"/>
          <w:b w:val="1"/>
          <w:bCs w:val="1"/>
          <w:color w:val="auto"/>
        </w:rPr>
        <w:t xml:space="preserve">Leland D. Melvin Independent Director </w:t>
      </w:r>
      <w:r>
        <w:rPr>
          <w:rFonts w:ascii="Arial" w:cs="Arial" w:eastAsia="Arial" w:hAnsi="Arial"/>
          <w:sz w:val="13"/>
          <w:szCs w:val="13"/>
          <w:b w:val="1"/>
          <w:bCs w:val="1"/>
          <w:i w:val="1"/>
          <w:iCs w:val="1"/>
          <w:color w:val="auto"/>
        </w:rPr>
        <w:t>Director since 2019</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Committee:</w:t>
      </w:r>
    </w:p>
    <w:p>
      <w:pPr>
        <w:spacing w:after="0" w:line="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221615</wp:posOffset>
            </wp:positionH>
            <wp:positionV relativeFrom="paragraph">
              <wp:posOffset>369570</wp:posOffset>
            </wp:positionV>
            <wp:extent cx="1021080" cy="10210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0"/>
        <w:spacing w:after="0" w:line="267" w:lineRule="auto"/>
        <w:rPr>
          <w:sz w:val="20"/>
          <w:szCs w:val="20"/>
          <w:color w:val="auto"/>
        </w:rPr>
      </w:pPr>
      <w:r>
        <w:rPr>
          <w:rFonts w:ascii="Arial" w:cs="Arial" w:eastAsia="Arial" w:hAnsi="Arial"/>
          <w:sz w:val="13"/>
          <w:szCs w:val="13"/>
          <w:b w:val="1"/>
          <w:bCs w:val="1"/>
          <w:color w:val="auto"/>
        </w:rPr>
        <w:t xml:space="preserve">Robert L. Nardelli Independent Director </w:t>
      </w:r>
      <w:r>
        <w:rPr>
          <w:rFonts w:ascii="Arial" w:cs="Arial" w:eastAsia="Arial" w:hAnsi="Arial"/>
          <w:sz w:val="13"/>
          <w:szCs w:val="13"/>
          <w:b w:val="1"/>
          <w:bCs w:val="1"/>
          <w:i w:val="1"/>
          <w:iCs w:val="1"/>
          <w:color w:val="auto"/>
        </w:rPr>
        <w:t>Director since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88" w:lineRule="exact"/>
        <w:rPr>
          <w:sz w:val="20"/>
          <w:szCs w:val="20"/>
          <w:color w:val="auto"/>
        </w:rPr>
      </w:pPr>
    </w:p>
    <w:p>
      <w:pPr>
        <w:ind w:left="300" w:right="480" w:hanging="298"/>
        <w:spacing w:after="0" w:line="235" w:lineRule="auto"/>
        <w:tabs>
          <w:tab w:leader="none" w:pos="2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Melvin, age 59, had a 24-year career with NASA as an astronaut and research scientist, including serving as mission specialist on two Space Shuttle Atlantis missions to the International Space Station.</w:t>
      </w:r>
    </w:p>
    <w:p>
      <w:pPr>
        <w:ind w:left="300" w:right="120" w:hanging="298"/>
        <w:spacing w:after="0" w:line="234" w:lineRule="auto"/>
        <w:tabs>
          <w:tab w:leader="none" w:pos="2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 addition, he served as a NASA Associate Administrator for Education for over four years and served as co-chair of the White House's Federal Coordination in STEM Education Task Force to develop education plans for STEM.</w:t>
      </w:r>
    </w:p>
    <w:p>
      <w:pPr>
        <w:ind w:left="300" w:right="420" w:hanging="298"/>
        <w:spacing w:after="0" w:line="234" w:lineRule="auto"/>
        <w:tabs>
          <w:tab w:leader="none" w:pos="2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Melvin served as a U.S. representative to the International Space Education Board, a global collaboration on space education among a number of government space agencies.</w:t>
      </w:r>
    </w:p>
    <w:p>
      <w:pPr>
        <w:ind w:left="300" w:right="520" w:hanging="298"/>
        <w:spacing w:after="0" w:line="234" w:lineRule="auto"/>
        <w:tabs>
          <w:tab w:leader="none" w:pos="2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He is a director of Star Harbor Space Training Academy, an immersive space training academy, and Trustee Emeritus of the University of Richmond Board of Trustees.</w:t>
      </w:r>
    </w:p>
    <w:p>
      <w:pPr>
        <w:ind w:left="300" w:right="360" w:hanging="298"/>
        <w:spacing w:after="0" w:line="234" w:lineRule="auto"/>
        <w:tabs>
          <w:tab w:leader="none" w:pos="297" w:val="left"/>
        </w:tabs>
        <w:numPr>
          <w:ilvl w:val="0"/>
          <w:numId w:val="36"/>
        </w:numPr>
        <w:rPr>
          <w:rFonts w:ascii="Arial" w:cs="Arial" w:eastAsia="Arial" w:hAnsi="Arial"/>
          <w:sz w:val="13"/>
          <w:szCs w:val="13"/>
          <w:color w:val="auto"/>
        </w:rPr>
      </w:pPr>
      <w:r>
        <w:rPr>
          <w:rFonts w:ascii="Arial" w:cs="Arial" w:eastAsia="Arial" w:hAnsi="Arial"/>
          <w:sz w:val="13"/>
          <w:szCs w:val="13"/>
          <w:color w:val="auto"/>
        </w:rPr>
        <w:t>Mr. Melvin received a B.S. in chemistry from the University of Richmond and an M.S. in materials science engineering from the University of Virginia.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5475605" cy="154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88" w:lineRule="exact"/>
        <w:rPr>
          <w:sz w:val="20"/>
          <w:szCs w:val="20"/>
          <w:color w:val="auto"/>
        </w:rPr>
      </w:pPr>
    </w:p>
    <w:p>
      <w:pPr>
        <w:ind w:left="300" w:right="80" w:hanging="298"/>
        <w:spacing w:after="0" w:line="228" w:lineRule="auto"/>
        <w:tabs>
          <w:tab w:leader="none" w:pos="297" w:val="left"/>
        </w:tabs>
        <w:numPr>
          <w:ilvl w:val="0"/>
          <w:numId w:val="37"/>
        </w:numPr>
        <w:rPr>
          <w:rFonts w:ascii="Arial" w:cs="Arial" w:eastAsia="Arial" w:hAnsi="Arial"/>
          <w:sz w:val="13"/>
          <w:szCs w:val="13"/>
          <w:color w:val="auto"/>
        </w:rPr>
      </w:pPr>
      <w:r>
        <w:rPr>
          <w:rFonts w:ascii="Arial" w:cs="Arial" w:eastAsia="Arial" w:hAnsi="Arial"/>
          <w:sz w:val="13"/>
          <w:szCs w:val="13"/>
          <w:color w:val="auto"/>
        </w:rPr>
        <w:t>Mr. Melvin has 24 years of experience with NASA with extensive technical expertise in space exploration as both an astronaut and research scientist. This experience provides an external perspective and insight into the strategy, development, operations and stakeholders for our space propulsion and related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321945</wp:posOffset>
            </wp:positionV>
            <wp:extent cx="5475605" cy="154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76" w:lineRule="exact"/>
        <w:rPr>
          <w:sz w:val="20"/>
          <w:szCs w:val="20"/>
          <w:color w:val="auto"/>
        </w:rPr>
      </w:pPr>
    </w:p>
    <w:p>
      <w:pPr>
        <w:ind w:left="300" w:right="420" w:hanging="298"/>
        <w:spacing w:after="0" w:line="244" w:lineRule="auto"/>
        <w:tabs>
          <w:tab w:leader="none" w:pos="297"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Nardelli, age 74, is the Founder and Chief Executive Officer of XLR-8, LLC, an investment and consulting company, which he formed in 2012.</w:t>
      </w:r>
    </w:p>
    <w:p>
      <w:pPr>
        <w:ind w:left="300" w:right="80" w:hanging="298"/>
        <w:spacing w:after="0" w:line="228" w:lineRule="auto"/>
        <w:tabs>
          <w:tab w:leader="none" w:pos="297" w:val="left"/>
        </w:tabs>
        <w:numPr>
          <w:ilvl w:val="0"/>
          <w:numId w:val="38"/>
        </w:numPr>
        <w:rPr>
          <w:rFonts w:ascii="Arial" w:cs="Arial" w:eastAsia="Arial" w:hAnsi="Arial"/>
          <w:sz w:val="13"/>
          <w:szCs w:val="13"/>
          <w:color w:val="auto"/>
        </w:rPr>
      </w:pPr>
      <w:r>
        <w:rPr>
          <w:rFonts w:ascii="Arial" w:cs="Arial" w:eastAsia="Arial" w:hAnsi="Arial"/>
          <w:sz w:val="13"/>
          <w:szCs w:val="13"/>
          <w:color w:val="auto"/>
        </w:rPr>
        <w:t>He has also served as a Senior Advisor at Emigrant Savings Bank since August 2015, and formerly served as Senior Advisor to the founder of Cerberus Capital Management, L.P. (“Cerberus”), a private equity firm, and held several senior positions with Cerberus and Cerberus Operations and Advisory Company, LLC from 2007 to August 2015.</w:t>
      </w:r>
    </w:p>
    <w:p>
      <w:pPr>
        <w:ind w:left="300" w:right="360" w:hanging="298"/>
        <w:spacing w:after="0" w:line="234" w:lineRule="auto"/>
        <w:tabs>
          <w:tab w:leader="none" w:pos="297"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Nardelli served as Chairman and CEO of Chrysler LLC from 2007 until 2009 and served as Chairman, President and CEO of The Home Depot, Inc. from 2000 to 2007.</w:t>
      </w:r>
    </w:p>
    <w:p>
      <w:pPr>
        <w:ind w:left="300" w:hanging="298"/>
        <w:spacing w:after="0"/>
        <w:tabs>
          <w:tab w:leader="none" w:pos="300" w:val="left"/>
        </w:tabs>
        <w:numPr>
          <w:ilvl w:val="0"/>
          <w:numId w:val="38"/>
        </w:numPr>
        <w:rPr>
          <w:rFonts w:ascii="Arial" w:cs="Arial" w:eastAsia="Arial" w:hAnsi="Arial"/>
          <w:sz w:val="13"/>
          <w:szCs w:val="13"/>
          <w:color w:val="auto"/>
        </w:rPr>
      </w:pPr>
      <w:r>
        <w:rPr>
          <w:rFonts w:ascii="Arial" w:cs="Arial" w:eastAsia="Arial" w:hAnsi="Arial"/>
          <w:sz w:val="13"/>
          <w:szCs w:val="13"/>
          <w:color w:val="auto"/>
        </w:rPr>
        <w:t>Previously, Mr. Nardelli held several senior executive positions with General Electric Company.</w:t>
      </w:r>
    </w:p>
    <w:p>
      <w:pPr>
        <w:spacing w:after="0" w:line="8" w:lineRule="exact"/>
        <w:rPr>
          <w:rFonts w:ascii="Arial" w:cs="Arial" w:eastAsia="Arial" w:hAnsi="Arial"/>
          <w:sz w:val="13"/>
          <w:szCs w:val="13"/>
          <w:color w:val="auto"/>
        </w:rPr>
      </w:pPr>
    </w:p>
    <w:p>
      <w:pPr>
        <w:ind w:left="300" w:right="80" w:hanging="298"/>
        <w:spacing w:after="0" w:line="228" w:lineRule="auto"/>
        <w:tabs>
          <w:tab w:leader="none" w:pos="297" w:val="left"/>
        </w:tabs>
        <w:numPr>
          <w:ilvl w:val="0"/>
          <w:numId w:val="38"/>
        </w:numPr>
        <w:rPr>
          <w:rFonts w:ascii="Arial" w:cs="Arial" w:eastAsia="Arial" w:hAnsi="Arial"/>
          <w:sz w:val="13"/>
          <w:szCs w:val="13"/>
          <w:color w:val="auto"/>
        </w:rPr>
      </w:pPr>
      <w:r>
        <w:rPr>
          <w:rFonts w:ascii="Arial" w:cs="Arial" w:eastAsia="Arial" w:hAnsi="Arial"/>
          <w:sz w:val="13"/>
          <w:szCs w:val="13"/>
          <w:color w:val="auto"/>
        </w:rPr>
        <w:t>Mr. Nardelli serves on the board of directors of Fathom Digital Manufacturing Corporation. He has served on the boards of directors of Accelerate Acquisition Corp. (2021-2023), The Home Depot (2000-2007), The Coca-Cola Company (2002-2005), Chrysler LLC (2007-2009) and Pep Boys – Manny, Moe and Jack (2015-2016).</w:t>
      </w:r>
    </w:p>
    <w:p>
      <w:pPr>
        <w:spacing w:after="0" w:line="332" w:lineRule="exact"/>
        <w:rPr>
          <w:sz w:val="20"/>
          <w:szCs w:val="20"/>
          <w:color w:val="auto"/>
        </w:rPr>
      </w:pPr>
    </w:p>
    <w:p>
      <w:pPr>
        <w:sectPr>
          <w:pgSz w:w="11900" w:h="16838" w:orient="portrait"/>
          <w:cols w:equalWidth="0" w:num="2">
            <w:col w:w="1720" w:space="720"/>
            <w:col w:w="8660"/>
          </w:cols>
          <w:pgMar w:left="48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2440" w:type="dxa"/>
            <w:vAlign w:val="bottom"/>
          </w:tcPr>
          <w:p>
            <w:pPr>
              <w:spacing w:after="0"/>
              <w:rPr>
                <w:sz w:val="20"/>
                <w:szCs w:val="20"/>
                <w:color w:val="auto"/>
              </w:rPr>
            </w:pPr>
            <w:r>
              <w:rPr>
                <w:rFonts w:ascii="Arial" w:cs="Arial" w:eastAsia="Arial" w:hAnsi="Arial"/>
                <w:sz w:val="13"/>
                <w:szCs w:val="13"/>
                <w:b w:val="1"/>
                <w:bCs w:val="1"/>
                <w:i w:val="1"/>
                <w:iCs w:val="1"/>
                <w:color w:val="auto"/>
              </w:rPr>
              <w:t>Committees:</w:t>
            </w:r>
          </w:p>
        </w:tc>
        <w:tc>
          <w:tcPr>
            <w:tcW w:w="8620" w:type="dxa"/>
            <w:vAlign w:val="bottom"/>
            <w:gridSpan w:val="2"/>
            <w:shd w:val="clear" w:color="auto" w:fill="000000"/>
          </w:tcPr>
          <w:p>
            <w:pPr>
              <w:spacing w:after="0"/>
              <w:rPr>
                <w:sz w:val="20"/>
                <w:szCs w:val="20"/>
                <w:color w:val="auto"/>
              </w:rPr>
            </w:pPr>
            <w:r>
              <w:rPr>
                <w:rFonts w:ascii="Arial" w:cs="Arial" w:eastAsia="Arial" w:hAnsi="Arial"/>
                <w:sz w:val="15"/>
                <w:szCs w:val="15"/>
                <w:b w:val="1"/>
                <w:bCs w:val="1"/>
                <w:color w:val="FFFFFF"/>
              </w:rPr>
              <w:t>Skills and Qualifications</w:t>
            </w:r>
          </w:p>
        </w:tc>
      </w:tr>
      <w:tr>
        <w:trPr>
          <w:trHeight w:val="158"/>
        </w:trPr>
        <w:tc>
          <w:tcPr>
            <w:tcW w:w="2440" w:type="dxa"/>
            <w:vAlign w:val="bottom"/>
          </w:tcPr>
          <w:p>
            <w:pPr>
              <w:spacing w:after="0"/>
              <w:rPr>
                <w:sz w:val="20"/>
                <w:szCs w:val="20"/>
                <w:color w:val="auto"/>
              </w:rPr>
            </w:pPr>
            <w:r>
              <w:rPr>
                <w:rFonts w:ascii="Arial" w:cs="Arial" w:eastAsia="Arial" w:hAnsi="Arial"/>
                <w:sz w:val="13"/>
                <w:szCs w:val="13"/>
                <w:b w:val="1"/>
                <w:bCs w:val="1"/>
                <w:i w:val="1"/>
                <w:iCs w:val="1"/>
                <w:color w:val="auto"/>
              </w:rPr>
              <w:t>– Audit and Finance</w:t>
            </w: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8460" w:type="dxa"/>
            <w:vAlign w:val="bottom"/>
          </w:tcPr>
          <w:p>
            <w:pPr>
              <w:ind w:left="140"/>
              <w:spacing w:after="0"/>
              <w:rPr>
                <w:sz w:val="20"/>
                <w:szCs w:val="20"/>
                <w:color w:val="auto"/>
              </w:rPr>
            </w:pPr>
            <w:r>
              <w:rPr>
                <w:rFonts w:ascii="Arial" w:cs="Arial" w:eastAsia="Arial" w:hAnsi="Arial"/>
                <w:sz w:val="13"/>
                <w:szCs w:val="13"/>
                <w:color w:val="auto"/>
              </w:rPr>
              <w:t>Mr. Nardelli has over 40 years of global operating and financial experience, including with large publicly traded manufacturing companies. This</w:t>
            </w:r>
          </w:p>
        </w:tc>
      </w:tr>
      <w:tr>
        <w:trPr>
          <w:trHeight w:val="150"/>
        </w:trPr>
        <w:tc>
          <w:tcPr>
            <w:tcW w:w="2440" w:type="dxa"/>
            <w:vAlign w:val="bottom"/>
          </w:tcPr>
          <w:p>
            <w:pPr>
              <w:spacing w:after="0"/>
              <w:rPr>
                <w:sz w:val="20"/>
                <w:szCs w:val="20"/>
                <w:color w:val="auto"/>
              </w:rPr>
            </w:pPr>
            <w:r>
              <w:rPr>
                <w:rFonts w:ascii="Arial" w:cs="Arial" w:eastAsia="Arial" w:hAnsi="Arial"/>
                <w:sz w:val="13"/>
                <w:szCs w:val="13"/>
                <w:b w:val="1"/>
                <w:bCs w:val="1"/>
                <w:i w:val="1"/>
                <w:iCs w:val="1"/>
                <w:color w:val="auto"/>
              </w:rPr>
              <w:t>– Governance</w:t>
            </w:r>
          </w:p>
        </w:tc>
        <w:tc>
          <w:tcPr>
            <w:tcW w:w="160" w:type="dxa"/>
            <w:vAlign w:val="bottom"/>
          </w:tcPr>
          <w:p>
            <w:pPr>
              <w:spacing w:after="0"/>
              <w:rPr>
                <w:sz w:val="13"/>
                <w:szCs w:val="13"/>
                <w:color w:val="auto"/>
              </w:rPr>
            </w:pPr>
          </w:p>
        </w:tc>
        <w:tc>
          <w:tcPr>
            <w:tcW w:w="8460" w:type="dxa"/>
            <w:vAlign w:val="bottom"/>
          </w:tcPr>
          <w:p>
            <w:pPr>
              <w:ind w:left="140"/>
              <w:spacing w:after="0"/>
              <w:rPr>
                <w:sz w:val="20"/>
                <w:szCs w:val="20"/>
                <w:color w:val="auto"/>
              </w:rPr>
            </w:pPr>
            <w:r>
              <w:rPr>
                <w:rFonts w:ascii="Arial" w:cs="Arial" w:eastAsia="Arial" w:hAnsi="Arial"/>
                <w:sz w:val="13"/>
                <w:szCs w:val="13"/>
                <w:color w:val="auto"/>
              </w:rPr>
              <w:t>experience combined with his past service on the boards of directors of several other publicly traded companies provides a meaningful</w:t>
            </w:r>
          </w:p>
        </w:tc>
      </w:tr>
    </w:tbl>
    <w:p>
      <w:pPr>
        <w:ind w:left="2740"/>
        <w:spacing w:after="0"/>
        <w:rPr>
          <w:sz w:val="20"/>
          <w:szCs w:val="20"/>
          <w:color w:val="auto"/>
        </w:rPr>
      </w:pPr>
      <w:r>
        <w:rPr>
          <w:rFonts w:ascii="Arial" w:cs="Arial" w:eastAsia="Arial" w:hAnsi="Arial"/>
          <w:sz w:val="13"/>
          <w:szCs w:val="13"/>
          <w:color w:val="auto"/>
        </w:rPr>
        <w:t>perspective to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227330</wp:posOffset>
            </wp:positionV>
            <wp:extent cx="5475605" cy="154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362" w:lineRule="exact"/>
        <w:rPr>
          <w:sz w:val="20"/>
          <w:szCs w:val="20"/>
          <w:color w:val="auto"/>
        </w:rPr>
      </w:pPr>
    </w:p>
    <w:p>
      <w:pPr>
        <w:ind w:left="2440"/>
        <w:spacing w:after="0"/>
        <w:rPr>
          <w:sz w:val="20"/>
          <w:szCs w:val="20"/>
          <w:color w:val="auto"/>
        </w:rPr>
      </w:pPr>
      <w:r>
        <w:rPr>
          <w:rFonts w:ascii="Arial" w:cs="Arial" w:eastAsia="Arial" w:hAnsi="Arial"/>
          <w:sz w:val="15"/>
          <w:szCs w:val="15"/>
          <w:b w:val="1"/>
          <w:bCs w:val="1"/>
          <w:color w:val="FFFFFF"/>
        </w:rPr>
        <w:t>Professional Experience</w:t>
      </w:r>
    </w:p>
    <w:p>
      <w:pPr>
        <w:spacing w:after="0" w:line="88" w:lineRule="exact"/>
        <w:rPr>
          <w:sz w:val="20"/>
          <w:szCs w:val="20"/>
          <w:color w:val="auto"/>
        </w:rPr>
      </w:pPr>
    </w:p>
    <w:p>
      <w:pPr>
        <w:ind w:left="2740" w:right="260" w:hanging="298"/>
        <w:spacing w:after="0" w:line="228" w:lineRule="auto"/>
        <w:tabs>
          <w:tab w:leader="none" w:pos="2737" w:val="left"/>
        </w:tabs>
        <w:numPr>
          <w:ilvl w:val="0"/>
          <w:numId w:val="39"/>
        </w:numPr>
        <w:rPr>
          <w:rFonts w:ascii="Arial" w:cs="Arial" w:eastAsia="Arial" w:hAnsi="Arial"/>
          <w:sz w:val="13"/>
          <w:szCs w:val="13"/>
          <w:color w:val="auto"/>
        </w:rPr>
      </w:pPr>
      <w:r>
        <w:rPr>
          <w:rFonts w:ascii="Arial" w:cs="Arial" w:eastAsia="Arial" w:hAnsi="Arial"/>
          <w:sz w:val="13"/>
          <w:szCs w:val="13"/>
          <w:color w:val="auto"/>
        </w:rPr>
        <w:t>Ms. Niland, age 64, most recently served as Corporate Vice President and Chief Financial Officer of Huntington Ingalls Industries, Inc. (March 2011 to March 2016), a Fortune 500 shipbuilding company for the U.S. Navy and Coast Guard that was spun off from Northrop Grumman Corporation in 2011.</w:t>
      </w:r>
    </w:p>
    <w:p>
      <w:pPr>
        <w:spacing w:after="0" w:line="1" w:lineRule="exact"/>
        <w:rPr>
          <w:rFonts w:ascii="Arial" w:cs="Arial" w:eastAsia="Arial" w:hAnsi="Arial"/>
          <w:sz w:val="13"/>
          <w:szCs w:val="13"/>
          <w:color w:val="auto"/>
        </w:rPr>
      </w:pPr>
    </w:p>
    <w:p>
      <w:pPr>
        <w:ind w:left="2740" w:right="320" w:hanging="298"/>
        <w:spacing w:after="0" w:line="227" w:lineRule="auto"/>
        <w:tabs>
          <w:tab w:leader="none" w:pos="2737" w:val="left"/>
        </w:tabs>
        <w:numPr>
          <w:ilvl w:val="0"/>
          <w:numId w:val="39"/>
        </w:numPr>
        <w:rPr>
          <w:rFonts w:ascii="Arial" w:cs="Arial" w:eastAsia="Arial" w:hAnsi="Arial"/>
          <w:sz w:val="13"/>
          <w:szCs w:val="13"/>
          <w:color w:val="auto"/>
        </w:rPr>
      </w:pPr>
      <w:r>
        <w:rPr>
          <w:rFonts w:ascii="Arial" w:cs="Arial" w:eastAsia="Arial" w:hAnsi="Arial"/>
          <w:sz w:val="13"/>
          <w:szCs w:val="13"/>
          <w:color w:val="auto"/>
        </w:rPr>
        <w:t>Previously at Northrop Grumman, Ms. Niland served in a variety of roles of increasing responsibility over a career spanning over 37 years, including as Vice President and Chief Financial Officer, Shipbuilding; Vice President and Chief Financial Officer and Division Vice President - Finance.</w:t>
      </w:r>
    </w:p>
    <w:p>
      <w:pPr>
        <w:ind w:left="2740" w:hanging="298"/>
        <w:spacing w:after="0"/>
        <w:tabs>
          <w:tab w:leader="none" w:pos="2740" w:val="left"/>
        </w:tabs>
        <w:numPr>
          <w:ilvl w:val="0"/>
          <w:numId w:val="39"/>
        </w:numPr>
        <w:rPr>
          <w:rFonts w:ascii="Arial" w:cs="Arial" w:eastAsia="Arial" w:hAnsi="Arial"/>
          <w:sz w:val="13"/>
          <w:szCs w:val="13"/>
          <w:color w:val="auto"/>
        </w:rPr>
      </w:pPr>
      <w:r>
        <w:rPr>
          <w:rFonts w:ascii="Arial" w:cs="Arial" w:eastAsia="Arial" w:hAnsi="Arial"/>
          <w:sz w:val="13"/>
          <w:szCs w:val="13"/>
          <w:color w:val="auto"/>
        </w:rPr>
        <w:t>Ms. Niland holds a master's degree from the University of Maryland University College and a bachelor's degree from Towson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1543685</wp:posOffset>
            </wp:positionH>
            <wp:positionV relativeFrom="paragraph">
              <wp:posOffset>266065</wp:posOffset>
            </wp:positionV>
            <wp:extent cx="5475605" cy="154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type w:val="continuous"/>
        </w:sectPr>
      </w:pPr>
    </w:p>
    <w:p>
      <w:pPr>
        <w:spacing w:after="0" w:line="200" w:lineRule="exact"/>
        <w:rPr>
          <w:sz w:val="20"/>
          <w:szCs w:val="20"/>
          <w:color w:val="auto"/>
        </w:rPr>
      </w:pPr>
    </w:p>
    <w:p>
      <w:pPr>
        <w:spacing w:after="0" w:line="223" w:lineRule="exact"/>
        <w:rPr>
          <w:sz w:val="20"/>
          <w:szCs w:val="20"/>
          <w:color w:val="auto"/>
        </w:rPr>
      </w:pPr>
    </w:p>
    <w:p>
      <w:pPr>
        <w:ind w:right="400"/>
        <w:spacing w:after="0" w:line="286" w:lineRule="auto"/>
        <w:rPr>
          <w:sz w:val="20"/>
          <w:szCs w:val="20"/>
          <w:color w:val="auto"/>
        </w:rPr>
      </w:pPr>
      <w:r>
        <w:rPr>
          <w:rFonts w:ascii="Arial" w:cs="Arial" w:eastAsia="Arial" w:hAnsi="Arial"/>
          <w:sz w:val="13"/>
          <w:szCs w:val="13"/>
          <w:b w:val="1"/>
          <w:bCs w:val="1"/>
          <w:color w:val="auto"/>
        </w:rPr>
        <w:t xml:space="preserve">Barbara A. Niland Independent Director </w:t>
      </w:r>
      <w:r>
        <w:rPr>
          <w:rFonts w:ascii="Arial" w:cs="Arial" w:eastAsia="Arial" w:hAnsi="Arial"/>
          <w:sz w:val="13"/>
          <w:szCs w:val="13"/>
          <w:b w:val="1"/>
          <w:bCs w:val="1"/>
          <w:i w:val="1"/>
          <w:iCs w:val="1"/>
          <w:color w:val="auto"/>
        </w:rPr>
        <w:t>Director since 2016</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Committees: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Audit and Finance (Chair)</w:t>
      </w:r>
    </w:p>
    <w:p>
      <w:pPr>
        <w:spacing w:after="0" w:line="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Governance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88" w:lineRule="exact"/>
        <w:rPr>
          <w:sz w:val="20"/>
          <w:szCs w:val="20"/>
          <w:color w:val="auto"/>
        </w:rPr>
      </w:pPr>
    </w:p>
    <w:p>
      <w:pPr>
        <w:ind w:left="300" w:right="200" w:hanging="298"/>
        <w:spacing w:after="0" w:line="228" w:lineRule="auto"/>
        <w:tabs>
          <w:tab w:leader="none" w:pos="297" w:val="left"/>
        </w:tabs>
        <w:numPr>
          <w:ilvl w:val="0"/>
          <w:numId w:val="41"/>
        </w:numPr>
        <w:rPr>
          <w:rFonts w:ascii="Arial" w:cs="Arial" w:eastAsia="Arial" w:hAnsi="Arial"/>
          <w:sz w:val="13"/>
          <w:szCs w:val="13"/>
          <w:color w:val="auto"/>
        </w:rPr>
      </w:pPr>
      <w:r>
        <w:rPr>
          <w:rFonts w:ascii="Arial" w:cs="Arial" w:eastAsia="Arial" w:hAnsi="Arial"/>
          <w:sz w:val="13"/>
          <w:szCs w:val="13"/>
          <w:color w:val="auto"/>
        </w:rPr>
        <w:t>Ms. Niland has over 30 years of financial and operations experience with shipbuilding and manufacturing operations for the U.S. Navy. Her tenure in senior financial leadership roles with one of our publicly traded peer companies provides our Board with valuable perspectives on our industry.</w:t>
      </w:r>
    </w:p>
    <w:p>
      <w:pPr>
        <w:spacing w:after="0" w:line="532" w:lineRule="exact"/>
        <w:rPr>
          <w:sz w:val="20"/>
          <w:szCs w:val="20"/>
          <w:color w:val="auto"/>
        </w:rPr>
      </w:pPr>
    </w:p>
    <w:p>
      <w:pPr>
        <w:sectPr>
          <w:pgSz w:w="11900" w:h="16838" w:orient="portrait"/>
          <w:cols w:equalWidth="0" w:num="2">
            <w:col w:w="1720" w:space="720"/>
            <w:col w:w="8660"/>
          </w:cols>
          <w:pgMar w:left="480" w:top="123" w:right="319" w:bottom="1440" w:gutter="0" w:footer="0" w:header="0"/>
          <w:type w:val="continuous"/>
        </w:sectPr>
      </w:pPr>
    </w:p>
    <w:p>
      <w:pPr>
        <w:spacing w:after="0" w:line="200" w:lineRule="exact"/>
        <w:rPr>
          <w:sz w:val="20"/>
          <w:szCs w:val="20"/>
          <w:color w:val="auto"/>
        </w:rPr>
      </w:pPr>
    </w:p>
    <w:p>
      <w:pPr>
        <w:spacing w:after="0" w:line="372" w:lineRule="exact"/>
        <w:rPr>
          <w:sz w:val="20"/>
          <w:szCs w:val="20"/>
          <w:color w:val="auto"/>
        </w:rPr>
      </w:pPr>
    </w:p>
    <w:p>
      <w:pPr>
        <w:ind w:left="8240"/>
        <w:spacing w:after="0"/>
        <w:rPr>
          <w:sz w:val="20"/>
          <w:szCs w:val="20"/>
          <w:color w:val="auto"/>
        </w:rPr>
      </w:pPr>
      <w:r>
        <w:rPr>
          <w:sz w:val="1"/>
          <w:szCs w:val="1"/>
          <w:color w:val="auto"/>
        </w:rPr>
        <w:drawing>
          <wp:inline distT="0" distB="0" distL="0" distR="0">
            <wp:extent cx="440690" cy="18542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5"/>
          <w:szCs w:val="15"/>
          <w:color w:val="auto"/>
        </w:rPr>
        <w:t xml:space="preserve"> 2023 PROXY STATEMENT </w:t>
      </w:r>
      <w:r>
        <w:rPr>
          <w:rFonts w:ascii="Arial" w:cs="Arial" w:eastAsia="Arial" w:hAnsi="Arial"/>
          <w:sz w:val="15"/>
          <w:szCs w:val="15"/>
          <w:b w:val="1"/>
          <w:bCs w:val="1"/>
          <w:color w:val="2C2C2C"/>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90805</wp:posOffset>
            </wp:positionV>
            <wp:extent cx="7171055"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480" w:top="123" w:right="319" w:bottom="1440" w:gutter="0" w:footer="0" w:header="0"/>
          <w:type w:val="continuous"/>
        </w:sectPr>
      </w:pPr>
    </w:p>
    <w:bookmarkStart w:id="21" w:name="page22"/>
    <w:bookmarkEnd w:id="21"/>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2"/>
          <w:szCs w:val="12"/>
          <w:color w:val="auto"/>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25400</wp:posOffset>
            </wp:positionV>
            <wp:extent cx="714565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373380</wp:posOffset>
            </wp:positionV>
            <wp:extent cx="6797675" cy="10210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797675" cy="102108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160" w:right="400"/>
        <w:spacing w:after="0" w:line="286" w:lineRule="auto"/>
        <w:rPr>
          <w:sz w:val="20"/>
          <w:szCs w:val="20"/>
          <w:color w:val="auto"/>
        </w:rPr>
      </w:pPr>
      <w:r>
        <w:rPr>
          <w:rFonts w:ascii="Arial" w:cs="Arial" w:eastAsia="Arial" w:hAnsi="Arial"/>
          <w:sz w:val="13"/>
          <w:szCs w:val="13"/>
          <w:b w:val="1"/>
          <w:bCs w:val="1"/>
          <w:color w:val="auto"/>
        </w:rPr>
        <w:t xml:space="preserve">John M. Richardson Independent Director </w:t>
      </w:r>
      <w:r>
        <w:rPr>
          <w:rFonts w:ascii="Arial" w:cs="Arial" w:eastAsia="Arial" w:hAnsi="Arial"/>
          <w:sz w:val="13"/>
          <w:szCs w:val="13"/>
          <w:b w:val="1"/>
          <w:bCs w:val="1"/>
          <w:i w:val="1"/>
          <w:iCs w:val="1"/>
          <w:color w:val="auto"/>
        </w:rPr>
        <w:t>Director since 2020</w:t>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Committees:</w:t>
      </w:r>
    </w:p>
    <w:p>
      <w:pPr>
        <w:spacing w:after="0" w:line="28"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 Audit and Finance</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3"/>
          <w:szCs w:val="13"/>
          <w:b w:val="1"/>
          <w:bCs w:val="1"/>
          <w:i w:val="1"/>
          <w:iCs w:val="1"/>
          <w:color w:val="auto"/>
        </w:rPr>
        <w:t>– Compensation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Professional Experience</w:t>
      </w:r>
    </w:p>
    <w:p>
      <w:pPr>
        <w:spacing w:after="0" w:line="64" w:lineRule="exact"/>
        <w:rPr>
          <w:sz w:val="20"/>
          <w:szCs w:val="20"/>
          <w:color w:val="auto"/>
        </w:rPr>
      </w:pPr>
    </w:p>
    <w:p>
      <w:pPr>
        <w:ind w:left="300" w:hanging="298"/>
        <w:spacing w:after="0" w:line="229" w:lineRule="auto"/>
        <w:tabs>
          <w:tab w:leader="none" w:pos="290" w:val="left"/>
        </w:tabs>
        <w:numPr>
          <w:ilvl w:val="0"/>
          <w:numId w:val="43"/>
        </w:numPr>
        <w:rPr>
          <w:rFonts w:ascii="Arial" w:cs="Arial" w:eastAsia="Arial" w:hAnsi="Arial"/>
          <w:sz w:val="15"/>
          <w:szCs w:val="15"/>
          <w:color w:val="auto"/>
        </w:rPr>
      </w:pPr>
      <w:r>
        <w:rPr>
          <w:rFonts w:ascii="Arial" w:cs="Arial" w:eastAsia="Arial" w:hAnsi="Arial"/>
          <w:sz w:val="13"/>
          <w:szCs w:val="13"/>
          <w:color w:val="auto"/>
        </w:rPr>
        <w:t>Admiral Richardson, age 63, served as the 31st Chief of Naval Operations for the U.S. Navy from 2015 to 2019 and as its Director of the Naval Nuclear Propulsion Program from 2012 to 2015. As Chief of Naval Operations, he was responsible for the management of a $160 billion budget covering 600,000 sailors and civilians, over 70 installations, 290 warships and over 2,000 aircraft worldwide.</w:t>
      </w:r>
    </w:p>
    <w:p>
      <w:pPr>
        <w:spacing w:after="0" w:line="12" w:lineRule="exact"/>
        <w:rPr>
          <w:rFonts w:ascii="Arial" w:cs="Arial" w:eastAsia="Arial" w:hAnsi="Arial"/>
          <w:sz w:val="15"/>
          <w:szCs w:val="15"/>
          <w:color w:val="auto"/>
        </w:rPr>
      </w:pPr>
    </w:p>
    <w:p>
      <w:pPr>
        <w:ind w:left="300" w:right="340" w:hanging="298"/>
        <w:spacing w:after="0" w:line="223" w:lineRule="auto"/>
        <w:tabs>
          <w:tab w:leader="none" w:pos="290" w:val="left"/>
        </w:tabs>
        <w:numPr>
          <w:ilvl w:val="0"/>
          <w:numId w:val="43"/>
        </w:numPr>
        <w:rPr>
          <w:rFonts w:ascii="Arial" w:cs="Arial" w:eastAsia="Arial" w:hAnsi="Arial"/>
          <w:sz w:val="15"/>
          <w:szCs w:val="15"/>
          <w:color w:val="auto"/>
        </w:rPr>
      </w:pPr>
      <w:r>
        <w:rPr>
          <w:rFonts w:ascii="Arial" w:cs="Arial" w:eastAsia="Arial" w:hAnsi="Arial"/>
          <w:sz w:val="13"/>
          <w:szCs w:val="13"/>
          <w:color w:val="auto"/>
        </w:rPr>
        <w:t>During his 37 years of service in the U.S. Navy, Admiral Richardson gained valuable operational and national security experience safely managing the Naval Nuclear Propulsion Program. He also served on four nuclear submarines, including commanding the submarine USS Honolulu, and served as naval aide to the President of the United States.</w:t>
      </w:r>
    </w:p>
    <w:p>
      <w:pPr>
        <w:spacing w:after="0" w:line="1" w:lineRule="exact"/>
        <w:rPr>
          <w:rFonts w:ascii="Arial" w:cs="Arial" w:eastAsia="Arial" w:hAnsi="Arial"/>
          <w:sz w:val="15"/>
          <w:szCs w:val="15"/>
          <w:color w:val="auto"/>
        </w:rPr>
      </w:pPr>
    </w:p>
    <w:p>
      <w:pPr>
        <w:ind w:left="300" w:right="20" w:hanging="298"/>
        <w:spacing w:after="0" w:line="222" w:lineRule="auto"/>
        <w:tabs>
          <w:tab w:leader="none" w:pos="290" w:val="left"/>
        </w:tabs>
        <w:numPr>
          <w:ilvl w:val="0"/>
          <w:numId w:val="43"/>
        </w:numPr>
        <w:rPr>
          <w:rFonts w:ascii="Arial" w:cs="Arial" w:eastAsia="Arial" w:hAnsi="Arial"/>
          <w:sz w:val="15"/>
          <w:szCs w:val="15"/>
          <w:color w:val="auto"/>
        </w:rPr>
      </w:pPr>
      <w:r>
        <w:rPr>
          <w:rFonts w:ascii="Arial" w:cs="Arial" w:eastAsia="Arial" w:hAnsi="Arial"/>
          <w:sz w:val="13"/>
          <w:szCs w:val="13"/>
          <w:color w:val="auto"/>
        </w:rPr>
        <w:t>Admiral Richardson earned a bachelor of science degree in physics from the U.S. Naval Academy, a master's degree in electrical engineering from the Massachusetts Institute of Technology and Woods Hole Oceanographic Institution and a master's degree in National Security Strategy from the National War College.</w:t>
      </w:r>
    </w:p>
    <w:p>
      <w:pPr>
        <w:spacing w:after="0" w:line="1" w:lineRule="exact"/>
        <w:rPr>
          <w:rFonts w:ascii="Arial" w:cs="Arial" w:eastAsia="Arial" w:hAnsi="Arial"/>
          <w:sz w:val="15"/>
          <w:szCs w:val="15"/>
          <w:color w:val="auto"/>
        </w:rPr>
      </w:pPr>
    </w:p>
    <w:p>
      <w:pPr>
        <w:ind w:left="300" w:right="380" w:hanging="298"/>
        <w:spacing w:after="0" w:line="235" w:lineRule="auto"/>
        <w:tabs>
          <w:tab w:leader="none" w:pos="297" w:val="left"/>
        </w:tabs>
        <w:numPr>
          <w:ilvl w:val="0"/>
          <w:numId w:val="43"/>
        </w:numPr>
        <w:rPr>
          <w:rFonts w:ascii="Arial" w:cs="Arial" w:eastAsia="Arial" w:hAnsi="Arial"/>
          <w:sz w:val="13"/>
          <w:szCs w:val="13"/>
          <w:color w:val="auto"/>
        </w:rPr>
      </w:pPr>
      <w:r>
        <w:rPr>
          <w:rFonts w:ascii="Arial" w:cs="Arial" w:eastAsia="Arial" w:hAnsi="Arial"/>
          <w:sz w:val="13"/>
          <w:szCs w:val="13"/>
          <w:color w:val="auto"/>
        </w:rPr>
        <w:t>Admiral Richardson serves on the Board of Directors of The Boeing Company and Constellation Energy Corporation, a spin-off of Exelon Corporation, where he served as a director from 2019 to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5475605" cy="154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75605" cy="154940"/>
                    </a:xfrm>
                    <a:prstGeom prst="rect">
                      <a:avLst/>
                    </a:prstGeom>
                    <a:noFill/>
                  </pic:spPr>
                </pic:pic>
              </a:graphicData>
            </a:graphic>
          </wp:anchor>
        </w:drawing>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FFFFFF"/>
        </w:rPr>
        <w:t>Skills and Qualifications</w:t>
      </w:r>
    </w:p>
    <w:p>
      <w:pPr>
        <w:spacing w:after="0" w:line="88" w:lineRule="exact"/>
        <w:rPr>
          <w:sz w:val="20"/>
          <w:szCs w:val="20"/>
          <w:color w:val="auto"/>
        </w:rPr>
      </w:pPr>
    </w:p>
    <w:p>
      <w:pPr>
        <w:ind w:left="300" w:right="60" w:hanging="298"/>
        <w:spacing w:after="0" w:line="228" w:lineRule="auto"/>
        <w:tabs>
          <w:tab w:leader="none" w:pos="297" w:val="left"/>
        </w:tabs>
        <w:numPr>
          <w:ilvl w:val="0"/>
          <w:numId w:val="44"/>
        </w:numPr>
        <w:rPr>
          <w:rFonts w:ascii="Arial" w:cs="Arial" w:eastAsia="Arial" w:hAnsi="Arial"/>
          <w:sz w:val="13"/>
          <w:szCs w:val="13"/>
          <w:color w:val="auto"/>
        </w:rPr>
      </w:pPr>
      <w:r>
        <w:rPr>
          <w:rFonts w:ascii="Arial" w:cs="Arial" w:eastAsia="Arial" w:hAnsi="Arial"/>
          <w:sz w:val="13"/>
          <w:szCs w:val="13"/>
          <w:color w:val="auto"/>
        </w:rPr>
        <w:t>Admiral Richardson brings extensive expertise in nuclear, safety, regulation, operations management and oversight of complex, high-risk systems, as well as extensive national security experience. His unique understanding of the U.S. government, our single largest customer, and his service on other public company boards of directors provide valuable perspectives on our business and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-1652270</wp:posOffset>
            </wp:positionH>
            <wp:positionV relativeFrom="paragraph">
              <wp:posOffset>244475</wp:posOffset>
            </wp:positionV>
            <wp:extent cx="7130415" cy="8661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0415" cy="8661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80" w:space="720"/>
            <w:col w:w="8520"/>
          </w:cols>
          <w:pgMar w:left="320" w:top="123" w:right="459" w:bottom="1440" w:gutter="0" w:footer="0" w:header="0"/>
          <w:type w:val="continuous"/>
        </w:sectPr>
      </w:pPr>
    </w:p>
    <w:p>
      <w:pPr>
        <w:spacing w:after="0" w:line="278"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BF2115"/>
        </w:rPr>
        <w:t>RECOMMENDATION AND VOTE REQUIRED</w:t>
      </w:r>
    </w:p>
    <w:p>
      <w:pPr>
        <w:spacing w:after="0" w:line="6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Our Board recommends that stockholders vote “FOR” each of the director nominees. The proxy holders will vote all proxies received "FOR"</w:t>
      </w:r>
    </w:p>
    <w:p>
      <w:pPr>
        <w:spacing w:after="0" w:line="3" w:lineRule="exact"/>
        <w:rPr>
          <w:sz w:val="20"/>
          <w:szCs w:val="20"/>
          <w:color w:val="auto"/>
        </w:rPr>
      </w:pPr>
    </w:p>
    <w:p>
      <w:pPr>
        <w:jc w:val="both"/>
        <w:ind w:left="160" w:right="60"/>
        <w:spacing w:after="0" w:line="211" w:lineRule="auto"/>
        <w:rPr>
          <w:sz w:val="20"/>
          <w:szCs w:val="20"/>
          <w:color w:val="auto"/>
        </w:rPr>
      </w:pPr>
      <w:r>
        <w:rPr>
          <w:rFonts w:ascii="Arial" w:cs="Arial" w:eastAsia="Arial" w:hAnsi="Arial"/>
          <w:sz w:val="16"/>
          <w:szCs w:val="16"/>
          <w:b w:val="1"/>
          <w:bCs w:val="1"/>
          <w:color w:val="auto"/>
        </w:rPr>
        <w:t>each of the director nominees unless instructed otherwise. Approval of this proposal requires that the number of votes cast "FOR" exceeds the number of votes cast "AGAINST" at the Annual Meeting. Abstentions and broker non-votes with respect to the election of directors will have no effect on the outcome and do not count as votes cast. Under our Bylaws, in the event of a contested election, the director nominees</w:t>
      </w:r>
    </w:p>
    <w:p>
      <w:pPr>
        <w:spacing w:after="0" w:line="2" w:lineRule="exact"/>
        <w:rPr>
          <w:sz w:val="20"/>
          <w:szCs w:val="20"/>
          <w:color w:val="auto"/>
        </w:rPr>
      </w:pPr>
    </w:p>
    <w:p>
      <w:pPr>
        <w:jc w:val="both"/>
        <w:ind w:left="160" w:right="60"/>
        <w:spacing w:after="0" w:line="238" w:lineRule="auto"/>
        <w:rPr>
          <w:sz w:val="20"/>
          <w:szCs w:val="20"/>
          <w:color w:val="auto"/>
        </w:rPr>
      </w:pPr>
      <w:r>
        <w:rPr>
          <w:rFonts w:ascii="Arial" w:cs="Arial" w:eastAsia="Arial" w:hAnsi="Arial"/>
          <w:sz w:val="16"/>
          <w:szCs w:val="16"/>
          <w:b w:val="1"/>
          <w:bCs w:val="1"/>
          <w:color w:val="auto"/>
        </w:rPr>
        <w:t>will be elected by the affirmative vote of a plurality of the votes cast by the shares of our common stock entitled to vote in the election of directors at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10 </w:t>
      </w:r>
      <w:r>
        <w:rPr>
          <w:sz w:val="1"/>
          <w:szCs w:val="1"/>
          <w:color w:val="auto"/>
        </w:rPr>
        <w:drawing>
          <wp:inline distT="0" distB="0" distL="0" distR="0">
            <wp:extent cx="401955" cy="16256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20"/>
          </w:cols>
          <w:pgMar w:left="320" w:top="123" w:right="459" w:bottom="1440" w:gutter="0" w:footer="0" w:header="0"/>
          <w:type w:val="continuous"/>
        </w:sectPr>
      </w:pPr>
    </w:p>
    <w:bookmarkStart w:id="22" w:name="page23"/>
    <w:bookmarkEnd w:id="22"/>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44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22795"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22795" cy="76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CORPORATE GOVERNANCE</w:t>
      </w:r>
    </w:p>
    <w:p>
      <w:pPr>
        <w:spacing w:after="0" w:line="153"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 xml:space="preserve">We maintain a corporate governance section on our website, which contains copies of our principal governance documents. The corporate governance section may be found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“Investors — Corporate Governance.” The corporate governance section includes the following documents:</w:t>
      </w:r>
    </w:p>
    <w:p>
      <w:pPr>
        <w:spacing w:after="0" w:line="36" w:lineRule="exact"/>
        <w:rPr>
          <w:sz w:val="20"/>
          <w:szCs w:val="20"/>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Amended and Restated Bylaws</w:t>
      </w:r>
    </w:p>
    <w:p>
      <w:pPr>
        <w:spacing w:after="0" w:line="26"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Corporate Governance Principles</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Code of Business Conduct</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Code of Ethics for Chief Executive Officer and Senior Financial Officers</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Director Conflict of Interest Policy</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Audit and Finance Committee Charter</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Compensation Committee Charter</w:t>
      </w:r>
    </w:p>
    <w:p>
      <w:pPr>
        <w:spacing w:after="0" w:line="10" w:lineRule="exact"/>
        <w:rPr>
          <w:rFonts w:ascii="Arial" w:cs="Arial" w:eastAsia="Arial" w:hAnsi="Arial"/>
          <w:sz w:val="16"/>
          <w:szCs w:val="16"/>
          <w:color w:val="auto"/>
        </w:rPr>
      </w:pPr>
    </w:p>
    <w:p>
      <w:pPr>
        <w:ind w:left="280" w:hanging="136"/>
        <w:spacing w:after="0"/>
        <w:tabs>
          <w:tab w:leader="none" w:pos="2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Governance Committee Charter</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w:t>
      </w:r>
    </w:p>
    <w:p>
      <w:pPr>
        <w:spacing w:after="0" w:line="96"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 xml:space="preserve">The Board has established categorical standards, which conform to the independence requirements in the New York Stock Exchange (“NYSE”) listing standards, to assist it in determining director independence. These standards are contained in the Corporate Governance Principles found on our website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“Investor Relations — Corporate Governance.”</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color w:val="auto"/>
        </w:rPr>
        <w:t>Based on these independence standards, our Board has determined that the following eight directors are independent and meet our categorical standards:</w:t>
      </w:r>
    </w:p>
    <w:p>
      <w:pPr>
        <w:spacing w:after="0" w:line="120" w:lineRule="exact"/>
        <w:rPr>
          <w:sz w:val="20"/>
          <w:szCs w:val="20"/>
          <w:color w:val="auto"/>
        </w:rPr>
      </w:pPr>
    </w:p>
    <w:tbl>
      <w:tblPr>
        <w:tblLayout w:type="fixed"/>
        <w:tblInd w:w="1420" w:type="dxa"/>
        <w:tblCellMar>
          <w:top w:w="0" w:type="dxa"/>
          <w:left w:w="0" w:type="dxa"/>
          <w:bottom w:w="0" w:type="dxa"/>
          <w:right w:w="0" w:type="dxa"/>
        </w:tblCellMar>
      </w:tblPr>
      <w:tr>
        <w:trPr>
          <w:trHeight w:val="207"/>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Jan A. Bertsch</w:t>
            </w:r>
          </w:p>
        </w:tc>
        <w:tc>
          <w:tcPr>
            <w:tcW w:w="640" w:type="dxa"/>
            <w:vAlign w:val="bottom"/>
          </w:tcPr>
          <w:p>
            <w:pPr>
              <w:ind w:left="460"/>
              <w:spacing w:after="0"/>
              <w:rPr>
                <w:sz w:val="20"/>
                <w:szCs w:val="20"/>
                <w:color w:val="auto"/>
              </w:rPr>
            </w:pPr>
            <w:r>
              <w:rPr>
                <w:rFonts w:ascii="Arial" w:cs="Arial" w:eastAsia="Arial" w:hAnsi="Arial"/>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6"/>
                <w:szCs w:val="16"/>
                <w:color w:val="auto"/>
              </w:rPr>
              <w:t>Kenneth J. Krieg</w:t>
            </w:r>
          </w:p>
        </w:tc>
        <w:tc>
          <w:tcPr>
            <w:tcW w:w="880" w:type="dxa"/>
            <w:vAlign w:val="bottom"/>
          </w:tcPr>
          <w:p>
            <w:pPr>
              <w:ind w:left="7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rPr>
              <w:t>Barbara A. Niland</w:t>
            </w:r>
          </w:p>
        </w:tc>
      </w:tr>
      <w:tr>
        <w:trPr>
          <w:trHeight w:val="207"/>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Gerhard F. Burbach</w:t>
            </w:r>
          </w:p>
        </w:tc>
        <w:tc>
          <w:tcPr>
            <w:tcW w:w="640" w:type="dxa"/>
            <w:vAlign w:val="bottom"/>
          </w:tcPr>
          <w:p>
            <w:pPr>
              <w:ind w:left="460"/>
              <w:spacing w:after="0"/>
              <w:rPr>
                <w:sz w:val="20"/>
                <w:szCs w:val="20"/>
                <w:color w:val="auto"/>
              </w:rPr>
            </w:pPr>
            <w:r>
              <w:rPr>
                <w:rFonts w:ascii="Arial" w:cs="Arial" w:eastAsia="Arial" w:hAnsi="Arial"/>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6"/>
                <w:szCs w:val="16"/>
                <w:color w:val="auto"/>
              </w:rPr>
              <w:t>Leland D. Melvin</w:t>
            </w:r>
          </w:p>
        </w:tc>
        <w:tc>
          <w:tcPr>
            <w:tcW w:w="880" w:type="dxa"/>
            <w:vAlign w:val="bottom"/>
          </w:tcPr>
          <w:p>
            <w:pPr>
              <w:ind w:left="720"/>
              <w:spacing w:after="0"/>
              <w:rPr>
                <w:sz w:val="20"/>
                <w:szCs w:val="20"/>
                <w:color w:val="auto"/>
              </w:rPr>
            </w:pPr>
            <w:r>
              <w:rPr>
                <w:rFonts w:ascii="Arial" w:cs="Arial" w:eastAsia="Arial" w:hAnsi="Arial"/>
                <w:sz w:val="16"/>
                <w:szCs w:val="16"/>
                <w:color w:val="auto"/>
              </w:rPr>
              <w:t>•</w:t>
            </w:r>
          </w:p>
        </w:tc>
        <w:tc>
          <w:tcPr>
            <w:tcW w:w="1560" w:type="dxa"/>
            <w:vAlign w:val="bottom"/>
          </w:tcPr>
          <w:p>
            <w:pPr>
              <w:ind w:left="120"/>
              <w:spacing w:after="0"/>
              <w:rPr>
                <w:sz w:val="20"/>
                <w:szCs w:val="20"/>
                <w:color w:val="auto"/>
              </w:rPr>
            </w:pPr>
            <w:r>
              <w:rPr>
                <w:rFonts w:ascii="Arial" w:cs="Arial" w:eastAsia="Arial" w:hAnsi="Arial"/>
                <w:sz w:val="16"/>
                <w:szCs w:val="16"/>
                <w:color w:val="auto"/>
                <w:w w:val="99"/>
              </w:rPr>
              <w:t>John M. Richardson</w:t>
            </w:r>
          </w:p>
        </w:tc>
      </w:tr>
      <w:tr>
        <w:trPr>
          <w:trHeight w:val="215"/>
        </w:trPr>
        <w:tc>
          <w:tcPr>
            <w:tcW w:w="180" w:type="dxa"/>
            <w:vAlign w:val="bottom"/>
          </w:tcPr>
          <w:p>
            <w:pPr>
              <w:spacing w:after="0"/>
              <w:rPr>
                <w:sz w:val="20"/>
                <w:szCs w:val="20"/>
                <w:color w:val="auto"/>
              </w:rPr>
            </w:pPr>
            <w:r>
              <w:rPr>
                <w:rFonts w:ascii="Arial" w:cs="Arial" w:eastAsia="Arial" w:hAnsi="Arial"/>
                <w:sz w:val="16"/>
                <w:szCs w:val="16"/>
                <w:color w:val="auto"/>
              </w:rPr>
              <w:t>•</w:t>
            </w:r>
          </w:p>
        </w:tc>
        <w:tc>
          <w:tcPr>
            <w:tcW w:w="2000" w:type="dxa"/>
            <w:vAlign w:val="bottom"/>
          </w:tcPr>
          <w:p>
            <w:pPr>
              <w:ind w:left="100"/>
              <w:spacing w:after="0"/>
              <w:rPr>
                <w:sz w:val="20"/>
                <w:szCs w:val="20"/>
                <w:color w:val="auto"/>
              </w:rPr>
            </w:pPr>
            <w:r>
              <w:rPr>
                <w:rFonts w:ascii="Arial" w:cs="Arial" w:eastAsia="Arial" w:hAnsi="Arial"/>
                <w:sz w:val="16"/>
                <w:szCs w:val="16"/>
                <w:color w:val="auto"/>
              </w:rPr>
              <w:t>James M. Jaska</w:t>
            </w:r>
          </w:p>
        </w:tc>
        <w:tc>
          <w:tcPr>
            <w:tcW w:w="640" w:type="dxa"/>
            <w:vAlign w:val="bottom"/>
          </w:tcPr>
          <w:p>
            <w:pPr>
              <w:ind w:left="460"/>
              <w:spacing w:after="0"/>
              <w:rPr>
                <w:sz w:val="20"/>
                <w:szCs w:val="20"/>
                <w:color w:val="auto"/>
              </w:rPr>
            </w:pPr>
            <w:r>
              <w:rPr>
                <w:rFonts w:ascii="Arial" w:cs="Arial" w:eastAsia="Arial" w:hAnsi="Arial"/>
                <w:sz w:val="16"/>
                <w:szCs w:val="16"/>
                <w:color w:val="auto"/>
              </w:rPr>
              <w:t>•</w:t>
            </w:r>
          </w:p>
        </w:tc>
        <w:tc>
          <w:tcPr>
            <w:tcW w:w="2080" w:type="dxa"/>
            <w:vAlign w:val="bottom"/>
          </w:tcPr>
          <w:p>
            <w:pPr>
              <w:ind w:left="120"/>
              <w:spacing w:after="0"/>
              <w:rPr>
                <w:sz w:val="20"/>
                <w:szCs w:val="20"/>
                <w:color w:val="auto"/>
              </w:rPr>
            </w:pPr>
            <w:r>
              <w:rPr>
                <w:rFonts w:ascii="Arial" w:cs="Arial" w:eastAsia="Arial" w:hAnsi="Arial"/>
                <w:sz w:val="16"/>
                <w:szCs w:val="16"/>
                <w:color w:val="auto"/>
              </w:rPr>
              <w:t>Robert L. Nardelli</w:t>
            </w:r>
          </w:p>
        </w:tc>
        <w:tc>
          <w:tcPr>
            <w:tcW w:w="880" w:type="dxa"/>
            <w:vAlign w:val="bottom"/>
          </w:tcPr>
          <w:p>
            <w:pPr>
              <w:spacing w:after="0"/>
              <w:rPr>
                <w:sz w:val="18"/>
                <w:szCs w:val="18"/>
                <w:color w:val="auto"/>
              </w:rPr>
            </w:pPr>
          </w:p>
        </w:tc>
        <w:tc>
          <w:tcPr>
            <w:tcW w:w="1560" w:type="dxa"/>
            <w:vAlign w:val="bottom"/>
          </w:tcPr>
          <w:p>
            <w:pPr>
              <w:spacing w:after="0"/>
              <w:rPr>
                <w:sz w:val="18"/>
                <w:szCs w:val="18"/>
                <w:color w:val="auto"/>
              </w:rPr>
            </w:pPr>
          </w:p>
        </w:tc>
      </w:tr>
    </w:tbl>
    <w:p>
      <w:pPr>
        <w:spacing w:after="0" w:line="150"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In determining the independence of the directors, our Board considered ordinary course transactions between us and other entities with which the directors are associated. None were determined to constitute a material relationship with us.</w:t>
      </w:r>
    </w:p>
    <w:p>
      <w:pPr>
        <w:spacing w:after="0" w:line="12"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Board also determined that Mr. Geveden, who serves as an executive officer of the Company, is not an independent director. Accordingly, we currently have a supermajority of independent directors (eight of nine, or 89%) in compliance with our Corporate Governance Principles which require a majority of independent directors.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FUNCTION, LEADERSHIP STRUCTURE, DIRECTOR TENURE LIMIT AND MAJORITY VOTING</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The mission of our Board is to promote the best interests of the Company’s stockholders through oversight of the management of the Company’s business and affairs. The Board believes that its corporate governance policies and practices provide independent oversight and accountability of management. The Company’s Corporate Governance Principles and Committee Charters provide for a number of processes and practices, including the 10-year director tenure limit; appointment of a Lead Independent Director in appropriate circumstances; executive sessions of the independent directors without management at each regular Board meeting; a majority of independent directors; and an Audit and Finance Committee, Compensation Committee and Governance Committee, each comprised exclusively of independent directors.</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Chair and Chief Executive Officer Roles</w:t>
      </w:r>
    </w:p>
    <w:p>
      <w:pPr>
        <w:spacing w:after="0" w:line="84"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color w:val="auto"/>
        </w:rPr>
        <w:t>BWXT does not have a policy requiring that the positions of Chair and Chief Executive Officer be separate or be occupied by the same individual. Our Board believes that this question is properly addressed as part of succession planning and that it is appropriate to make a determination on these matters when it elects a new Chief Executive Officer, appoints a new Chair or at other times. In anticipation of the retirement of Mr. Fees as our Non-Executive Chairman at the 2022 Annual Meeting, the Board undertook its regular succession planning process and elected Jan Bertsch as the Independent Board Chair and eliminated the lead independent director role at that time.</w:t>
      </w: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3" w:name="page24"/>
    <w:bookmarkEnd w:id="23"/>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10-Year Director Tenure Limit</w:t>
      </w:r>
    </w:p>
    <w:p>
      <w:pPr>
        <w:spacing w:after="0" w:line="84"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Our Bylaws provide that (1) a person shall not be nominated for election or reelection to our Board if such person will have served as a director for 10 years prior to the date of election or re-election (as measured from the date of the Bylaw amendment, July 1, 2015) and (2) any director who attains 10 years of service during his or her term shall be deemed to have resigned and retired at the first annual meeting following his or her attainment of 10 years of service as a director.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Majority Voting with Director Resignation Policy</w:t>
      </w:r>
    </w:p>
    <w:p>
      <w:pPr>
        <w:spacing w:after="0" w:line="96" w:lineRule="exact"/>
        <w:rPr>
          <w:sz w:val="20"/>
          <w:szCs w:val="20"/>
          <w:color w:val="auto"/>
        </w:rPr>
      </w:pPr>
    </w:p>
    <w:p>
      <w:pPr>
        <w:ind w:right="20"/>
        <w:spacing w:after="0" w:line="263" w:lineRule="auto"/>
        <w:rPr>
          <w:sz w:val="20"/>
          <w:szCs w:val="20"/>
          <w:color w:val="auto"/>
        </w:rPr>
      </w:pPr>
      <w:r>
        <w:rPr>
          <w:rFonts w:ascii="Arial" w:cs="Arial" w:eastAsia="Arial" w:hAnsi="Arial"/>
          <w:sz w:val="16"/>
          <w:szCs w:val="16"/>
          <w:color w:val="auto"/>
        </w:rPr>
        <w:t>Our Bylaws provide that, in an election of directors where the number of director nominees does not exceed the number of directors to be elected (an "Uncontested Election"), each director nominee must receive the majority of the votes cast with respect to that director. Each director nominee has submitted an irrevocable resignation contingent on (i) the receipt of a majority of the votes cast in an Uncontested Election and (ii) acceptance of such resignation by the Board. If a director nominee were not receive a majority vote, the Governance Committee would make a recommendation to the Board on whether to accept or reject the resignation or take other action. Any action taken by the Board would be publicly disclosed within 90 days of certification of the election results.</w:t>
      </w: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ROLE OF THE BOARD IN SUCCESSION PLANNING</w:t>
      </w:r>
    </w:p>
    <w:p>
      <w:pPr>
        <w:spacing w:after="0" w:line="84"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Board believes effective succession planning, particularly for the Chief Executive Officer, is important to the continued success of the Company. As a result, the Board regularly reviews and discusses succession planning for the Chief Executive Officer, other Named Executives (as defined in "Named Executive Profiles" below) and certain other executive officers during executive sessions of Board meetings. The Governance Committee assists the Board in the area of succession planning, in particular, with respect to succession planning for the Chief Executive Officer. From time to time, the Board also retains an executive search firm as part of its normal succession planning function.</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ROLE OF THE BOARD IN ESG OVERSIGHT</w:t>
      </w:r>
    </w:p>
    <w:p>
      <w:pPr>
        <w:spacing w:after="0" w:line="96" w:lineRule="exact"/>
        <w:rPr>
          <w:sz w:val="20"/>
          <w:szCs w:val="20"/>
          <w:color w:val="auto"/>
        </w:rPr>
      </w:pPr>
    </w:p>
    <w:p>
      <w:pPr>
        <w:ind w:right="180"/>
        <w:spacing w:after="0" w:line="274" w:lineRule="auto"/>
        <w:rPr>
          <w:sz w:val="20"/>
          <w:szCs w:val="20"/>
          <w:color w:val="auto"/>
        </w:rPr>
      </w:pPr>
      <w:r>
        <w:rPr>
          <w:rFonts w:ascii="Arial" w:cs="Arial" w:eastAsia="Arial" w:hAnsi="Arial"/>
          <w:sz w:val="16"/>
          <w:szCs w:val="16"/>
          <w:color w:val="auto"/>
        </w:rPr>
        <w:t>The BWXT Board of Directors believes that a commitment to environmental, social and governance ("ESG") enhances shareholder value. To ensure effective governance, our policies include tenure limits, gender diversity, a no hedging/pledging policy for company securities and maintaining a lead independent director, among other things. In addition, we seek opportunities to engage with stockholders for input on current and emerging areas of focus.</w:t>
      </w:r>
    </w:p>
    <w:p>
      <w:pPr>
        <w:spacing w:after="0" w:line="52"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The Board believes that the effective oversight of the Company's ESG objectives and metrics is best accomplished by the Board and each of its Committees. The Board oversees and monitors execution upon the Company's strategy and corporate purpose, safety and security performance, succession planning and overall sustainability efforts. The Audit and Finance Committee oversees and receives regular updates on litigation and environmental matters, regulatory compliance, training, and concerns and violations relating to the Code of Business Conduct. The Compensation Committee oversees and receives regular reports on compensation and benefits, and has maintained ESG performance (safety goals) for all participants in the Company's annual incentive plans since 2015.</w:t>
      </w:r>
    </w:p>
    <w:p>
      <w:pPr>
        <w:spacing w:after="0" w:line="61"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Governance Committee has primary responsibility for ESG matters and oversees and receives regular reports on the Company's corporate governance, human capital management, diversity and inclusion, cybersecurity and other ESG matters. The executive officers have responsibility for execution and implementation of the Company's ESG program and have established a Diversity and Inclusion Committee of employees who review and report to senior management on these matters and potential actions to encourage diversity and inclusion throughout the Company.</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ROLE OF THE BOARD IN RISK OVERSIGHT</w:t>
      </w:r>
    </w:p>
    <w:p>
      <w:pPr>
        <w:spacing w:after="0" w:line="7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As part of its oversight function, the Board monitors the risks that we face. The diagram below provides a summary of the risk oversight allocation among the Board and its Committees.</w:t>
      </w:r>
    </w:p>
    <w:p>
      <w:pPr>
        <w:spacing w:after="0" w:line="24"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We maintain an enterprise risk management ("ERM") program administered by our Risk Management group. The program facilitates the process of reviewing key external, strategic, operational, safety, security and financial risks as well as monitoring the effectiveness of risk mitigation. Information on the ERM program is presented to senior management and the Board on a quarterly basis. The Board is updated quarterly on safety.</w:t>
      </w:r>
    </w:p>
    <w:p>
      <w:pPr>
        <w:spacing w:after="0" w:line="52" w:lineRule="exact"/>
        <w:rPr>
          <w:sz w:val="20"/>
          <w:szCs w:val="20"/>
          <w:color w:val="auto"/>
        </w:rPr>
      </w:pPr>
    </w:p>
    <w:p>
      <w:pPr>
        <w:jc w:val="both"/>
        <w:ind w:right="60"/>
        <w:spacing w:after="0" w:line="274" w:lineRule="auto"/>
        <w:rPr>
          <w:sz w:val="20"/>
          <w:szCs w:val="20"/>
          <w:color w:val="auto"/>
        </w:rPr>
      </w:pPr>
      <w:r>
        <w:rPr>
          <w:rFonts w:ascii="Arial" w:cs="Arial" w:eastAsia="Arial" w:hAnsi="Arial"/>
          <w:sz w:val="16"/>
          <w:szCs w:val="16"/>
          <w:color w:val="auto"/>
        </w:rPr>
        <w:t>The Audit and Finance Committee assists the Board in fulfilling its oversight responsibility in the areas of financial reporting, ethics and compliance, litigation and environmental risks and by meeting quarterly with management to review these risk exposures and discuss BWXT’s policies and guidelines concerning risk assessment and management.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12 </w:t>
      </w:r>
      <w:r>
        <w:rPr>
          <w:sz w:val="1"/>
          <w:szCs w:val="1"/>
          <w:color w:val="auto"/>
        </w:rPr>
        <w:drawing>
          <wp:inline distT="0" distB="0" distL="0" distR="0">
            <wp:extent cx="401955" cy="16256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24" w:name="page25"/>
    <w:bookmarkEnd w:id="24"/>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44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2279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2279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The Compensation Committee also assists the Board with this function by assessing risks associated with our compensation programs in consultation with management and the Committee's outside compensation consultant. The Compensation Committee has included an ESG performance metric (safety) in our annual incentive plans since 2015 to emphasize continuous focus on our safety performance.</w:t>
      </w:r>
    </w:p>
    <w:p>
      <w:pPr>
        <w:spacing w:after="0" w:line="52" w:lineRule="exact"/>
        <w:rPr>
          <w:sz w:val="20"/>
          <w:szCs w:val="20"/>
          <w:color w:val="auto"/>
        </w:rPr>
      </w:pPr>
    </w:p>
    <w:p>
      <w:pPr>
        <w:jc w:val="both"/>
        <w:ind w:right="140"/>
        <w:spacing w:after="0" w:line="274" w:lineRule="auto"/>
        <w:rPr>
          <w:sz w:val="20"/>
          <w:szCs w:val="20"/>
          <w:color w:val="auto"/>
        </w:rPr>
      </w:pPr>
      <w:r>
        <w:rPr>
          <w:rFonts w:ascii="Arial" w:cs="Arial" w:eastAsia="Arial" w:hAnsi="Arial"/>
          <w:sz w:val="16"/>
          <w:szCs w:val="16"/>
          <w:color w:val="auto"/>
        </w:rPr>
        <w:t>The Governance Committee assists the Board by assessing risks associated with ESG (including diversity and inclusion and human capital management), corporate governance and cybersecurity and receives quarterly briefings on these topics. The Chief Information Officer provides semiannual updates to the Governance Committee regarding cybersecurity and data security risks, enhancements and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12700</wp:posOffset>
            </wp:positionV>
            <wp:extent cx="5026660" cy="13227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026660" cy="1322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w:t>
      </w:r>
    </w:p>
    <w:p>
      <w:pPr>
        <w:spacing w:after="0" w:line="47"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Our Code of Business Conduct ("Code") applies to all directors, officers and employees, including our chief executive officer, chief financial officer, chief accounting officer, executive officers and other Named Executives, and provides the ethical guidelines and expectations for conducting our business. In addition, we expect our suppliers, vendors, contractors, agents, representatives, consultants and joint venture partners (our "Partners") to behave in the ethical manner described in our Code when doing work for the Company. The Code encourages our employees and Partners to speak up to clarify a policy, identify questionable conduct and report any violations through their supervisor, manager, Human Resources, Legal or Ethics and Compliance representative. Employees, Partners and third parties may also use the BWXT Help Line, which is managed by a third party and available 24 hours a day, seven days a week, to report any questions or concerns in a secure, confidential and (if desired) anonymous format. The Code prohibits retaliation against anyone who makes a good faith report of an alleged violation of our Code or policies. The Audit and Finance Committee receives quarterly reports on training, concerns and violations related to the Code. Our Code satisfies the requirements for a "code of ethics" within the meaning of SEC rules. A copy of the Code is posted on our website,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"About Us – Corporate Citizenship – Ethics and Compliance." In the event we amend or waive any of the provisions of the Code applicable to our principal executive officer, principal financial officer, principal accounting officer or controller that relates to any element of the definition of "code of ethics" enumerated in Item 406(b) of Regulation S-K under the Securities Exchange Action of 1934, as amended (the "Exchange Act"), we intend to disclose these actions on our website. A copy of the Code is also available to stockholders upon request, addressed to the Corporate Secretary at 800 Main Street, 4th Floor, Lynchburg, Virginia 24504.</w:t>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Training</w:t>
      </w:r>
    </w:p>
    <w:p>
      <w:pPr>
        <w:spacing w:after="0" w:line="10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All employees are provided with a copy of the Code and required to certify their understanding and compliance with the Code annually. In addition, mandatory Code training is provided to all employees and directors at least annually. This training is part of the Company's broader training program administered by the Ethics and Compliance Department, including online and in-person training. Topics covered have included, among other things, diversity and inclusion, sexual harassment, cybersecurity, anti-corruption and anti-bribery, and export controls.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sz w:val="1"/>
          <w:szCs w:val="1"/>
          <w:color w:val="auto"/>
        </w:rPr>
        <w:drawing>
          <wp:inline distT="0" distB="0" distL="0" distR="0">
            <wp:extent cx="401955" cy="17018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01955" cy="17018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5" w:name="page26"/>
    <w:bookmarkEnd w:id="25"/>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ENGAGEMENT</w:t>
      </w:r>
    </w:p>
    <w:p>
      <w:pPr>
        <w:spacing w:after="0" w:line="84" w:lineRule="exact"/>
        <w:rPr>
          <w:sz w:val="20"/>
          <w:szCs w:val="20"/>
          <w:color w:val="auto"/>
        </w:rPr>
      </w:pPr>
    </w:p>
    <w:p>
      <w:pPr>
        <w:ind w:left="5900"/>
        <w:spacing w:after="0" w:line="257" w:lineRule="auto"/>
        <w:rPr>
          <w:sz w:val="20"/>
          <w:szCs w:val="20"/>
          <w:color w:val="auto"/>
        </w:rPr>
      </w:pPr>
      <w:r>
        <w:rPr>
          <w:rFonts w:ascii="Arial" w:cs="Arial" w:eastAsia="Arial" w:hAnsi="Arial"/>
          <w:sz w:val="16"/>
          <w:szCs w:val="16"/>
          <w:color w:val="auto"/>
        </w:rPr>
        <w:t>We make it a priority to engage with our stockholders and have continued our stockholder engagement activities in 2022. Since the 2022 Annual Meeting of Stockholders, we conducted a stockholder engagement program and solicited stockholders holding approximately 75% of our outstanding shares to discuss, among other topics, environmental, social, governance and compensation matters. As a result of this outreach, stockholders representing approximately 16.6% of our outstanding shares requested meetings and provided feedback to management. The feedback received from our stockholder outreach program is reported to the Audit and Finance Committee, Compensation Committee and Governance Committee, as appropriate, and informs Board and Committee discussions and decisions on ESG matters, among other things.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-1614805</wp:posOffset>
            </wp:positionV>
            <wp:extent cx="2010410" cy="20104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010410" cy="20104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704215</wp:posOffset>
            </wp:positionV>
            <wp:extent cx="7130415" cy="5880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0415" cy="588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BF2115"/>
        </w:rPr>
        <w:t>Stockholder Feedback and Actions Taken</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Since the 2022 Annual Meeting, we received stockholder feedback regarding our sustainability report and have enhanced our disclosure regarding</w:t>
      </w:r>
    </w:p>
    <w:p>
      <w:pPr>
        <w:spacing w:after="0" w:line="3" w:lineRule="exact"/>
        <w:rPr>
          <w:sz w:val="20"/>
          <w:szCs w:val="20"/>
          <w:color w:val="auto"/>
        </w:rPr>
      </w:pPr>
    </w:p>
    <w:p>
      <w:pPr>
        <w:ind w:left="180" w:right="400"/>
        <w:spacing w:after="0" w:line="233" w:lineRule="auto"/>
        <w:rPr>
          <w:sz w:val="20"/>
          <w:szCs w:val="20"/>
          <w:color w:val="auto"/>
        </w:rPr>
      </w:pPr>
      <w:r>
        <w:rPr>
          <w:rFonts w:ascii="Arial" w:cs="Arial" w:eastAsia="Arial" w:hAnsi="Arial"/>
          <w:sz w:val="16"/>
          <w:szCs w:val="16"/>
          <w:color w:val="auto"/>
        </w:rPr>
        <w:t>GHG emissions and added an index reflecting disclosures aligned with the Task Force on Climate-related Financial Disclosures (TCFD) in our 2023 sustainability report, which is available on our website.</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COMMUNICATION WITH THE BOARD</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color w:val="auto"/>
        </w:rPr>
        <w:t xml:space="preserve">Stockholders or other interested persons may send written communications to the independent members of our Board, addressed to Board of Directors (independent members), c/o BWX Technologies, Inc., Corporate Secretary’s Office, 800 Main Street, 4th Floor, Lynchburg, Virginia 24504. All such communications shall be forwarded to the independent directors for their review, except for communications that (1) are unrelated to the Company’s business, (2) contain improper commercial solicitations, (3) contain material that is not appropriate for review by the Board based upon the Company’s Bylaws and the established practice and procedure of the Board, or (4) contain other improper or immaterial information. Information regarding this process is posted on our website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“Investors — Corporate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14 </w:t>
      </w:r>
      <w:r>
        <w:rPr>
          <w:sz w:val="1"/>
          <w:szCs w:val="1"/>
          <w:color w:val="auto"/>
        </w:rPr>
        <w:drawing>
          <wp:inline distT="0" distB="0" distL="0" distR="0">
            <wp:extent cx="401955" cy="16256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26" w:name="page27"/>
    <w:bookmarkEnd w:id="26"/>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44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22795"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2279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MEETINGS AND COMMITTEES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Attendance at Board and Annual Meetings of Stockholders</w:t>
      </w:r>
    </w:p>
    <w:p>
      <w:pPr>
        <w:spacing w:after="0" w:line="96" w:lineRule="exact"/>
        <w:rPr>
          <w:sz w:val="20"/>
          <w:szCs w:val="20"/>
          <w:color w:val="auto"/>
        </w:rPr>
      </w:pPr>
    </w:p>
    <w:p>
      <w:pPr>
        <w:ind w:right="120"/>
        <w:spacing w:after="0" w:line="267" w:lineRule="auto"/>
        <w:rPr>
          <w:sz w:val="20"/>
          <w:szCs w:val="20"/>
          <w:color w:val="auto"/>
        </w:rPr>
      </w:pPr>
      <w:r>
        <w:rPr>
          <w:rFonts w:ascii="Arial" w:cs="Arial" w:eastAsia="Arial" w:hAnsi="Arial"/>
          <w:sz w:val="16"/>
          <w:szCs w:val="16"/>
          <w:color w:val="auto"/>
        </w:rPr>
        <w:t>Our Board met four times during 2022. Each director attended 100% of the meetings of the Board and of the committees on which they served during the time they served on the Board in 2022. In addition, as reflected in our Corporate Governance Principles, we have adopted a policy that each member of our Board must make reasonable efforts to attend our Annual Meeting. All of our current directors who were directors at the time of the meeting attended the 2022 Annual Meeting of Stockholders.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Committees of the Board</w:t>
      </w:r>
    </w:p>
    <w:p>
      <w:pPr>
        <w:spacing w:after="0" w:line="84" w:lineRule="exact"/>
        <w:rPr>
          <w:sz w:val="20"/>
          <w:szCs w:val="20"/>
          <w:color w:val="auto"/>
        </w:rPr>
      </w:pPr>
    </w:p>
    <w:p>
      <w:pPr>
        <w:ind w:right="80"/>
        <w:spacing w:after="0" w:line="267" w:lineRule="auto"/>
        <w:rPr>
          <w:sz w:val="20"/>
          <w:szCs w:val="20"/>
          <w:color w:val="auto"/>
        </w:rPr>
      </w:pPr>
      <w:r>
        <w:rPr>
          <w:rFonts w:ascii="Arial" w:cs="Arial" w:eastAsia="Arial" w:hAnsi="Arial"/>
          <w:sz w:val="16"/>
          <w:szCs w:val="16"/>
          <w:color w:val="auto"/>
        </w:rPr>
        <w:t xml:space="preserve">The Board has established an Audit and Finance Committee, Compensation Committee and Governance Committee in accordance with the applicable NYSE and SEC requirements. Each Committee is comprised exclusively of independent directors as determined by the Board in accordance with the NYSE listing standards. Each of these committees has a written charter approved by the Board and available on our website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under “Investors — Corporate Governance.” The current members of the committees are identified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109220</wp:posOffset>
            </wp:positionV>
            <wp:extent cx="6952615" cy="26911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52615" cy="269113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8760" w:type="dxa"/>
            <w:vAlign w:val="bottom"/>
            <w:vMerge w:val="restart"/>
            <w:shd w:val="clear" w:color="auto" w:fill="000000"/>
          </w:tcPr>
          <w:p>
            <w:pPr>
              <w:ind w:left="20"/>
              <w:spacing w:after="0"/>
              <w:rPr>
                <w:sz w:val="20"/>
                <w:szCs w:val="20"/>
                <w:color w:val="auto"/>
              </w:rPr>
            </w:pPr>
            <w:r>
              <w:rPr>
                <w:rFonts w:ascii="Arial" w:cs="Arial" w:eastAsia="Arial" w:hAnsi="Arial"/>
                <w:sz w:val="19"/>
                <w:szCs w:val="19"/>
                <w:b w:val="1"/>
                <w:bCs w:val="1"/>
                <w:color w:val="FFFFFF"/>
              </w:rPr>
              <w:t>Audit and Finance Committee</w:t>
            </w:r>
          </w:p>
        </w:tc>
        <w:tc>
          <w:tcPr>
            <w:tcW w:w="21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2022 Meetings: 4</w:t>
            </w:r>
          </w:p>
        </w:tc>
        <w:tc>
          <w:tcPr>
            <w:tcW w:w="0" w:type="dxa"/>
            <w:vAlign w:val="bottom"/>
          </w:tcPr>
          <w:p>
            <w:pPr>
              <w:spacing w:after="0" w:line="20" w:lineRule="exact"/>
              <w:rPr>
                <w:sz w:val="1"/>
                <w:szCs w:val="1"/>
                <w:color w:val="auto"/>
              </w:rPr>
            </w:pPr>
          </w:p>
        </w:tc>
      </w:tr>
      <w:tr>
        <w:trPr>
          <w:trHeight w:val="241"/>
        </w:trPr>
        <w:tc>
          <w:tcPr>
            <w:tcW w:w="8760" w:type="dxa"/>
            <w:vAlign w:val="bottom"/>
            <w:tcBorders>
              <w:bottom w:val="single" w:sz="8" w:color="auto"/>
            </w:tcBorders>
            <w:vMerge w:val="continue"/>
            <w:shd w:val="clear" w:color="auto" w:fill="000000"/>
          </w:tcPr>
          <w:p>
            <w:pPr>
              <w:spacing w:after="0"/>
              <w:rPr>
                <w:sz w:val="20"/>
                <w:szCs w:val="20"/>
                <w:color w:val="auto"/>
              </w:rPr>
            </w:pPr>
          </w:p>
        </w:tc>
        <w:tc>
          <w:tcPr>
            <w:tcW w:w="2180" w:type="dxa"/>
            <w:vAlign w:val="bottom"/>
            <w:tcBorders>
              <w:bottom w:val="single" w:sz="8" w:color="auto"/>
            </w:tcBorders>
            <w:vMerge w:val="continue"/>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Barbara Niland (Chair), James Jaska, Robert Nardelli and John Richardson</w:t>
            </w:r>
          </w:p>
        </w:tc>
        <w:tc>
          <w:tcPr>
            <w:tcW w:w="21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100% Independent</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20" w:right="400"/>
        <w:spacing w:after="0" w:line="218" w:lineRule="auto"/>
        <w:rPr>
          <w:sz w:val="20"/>
          <w:szCs w:val="20"/>
          <w:color w:val="auto"/>
        </w:rPr>
      </w:pPr>
      <w:r>
        <w:rPr>
          <w:rFonts w:ascii="Arial" w:cs="Arial" w:eastAsia="Arial" w:hAnsi="Arial"/>
          <w:sz w:val="16"/>
          <w:szCs w:val="16"/>
          <w:color w:val="auto"/>
        </w:rPr>
        <w:t>Our Audit and Finance Committee’s role is financial and risk oversight. Management is responsible for preparing financial statements, and our independent registered public accounting firm is responsible for auditing those financial statements. The Audit and Finance Committee is not providing any expert or special assurance as to our financial statements or any professional certification as to the independent registered public accounting firm’s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work. The Audit and Finance Committee is responsible for the following:</w:t>
      </w:r>
    </w:p>
    <w:p>
      <w:pPr>
        <w:spacing w:after="0" w:line="104" w:lineRule="exact"/>
        <w:rPr>
          <w:sz w:val="20"/>
          <w:szCs w:val="20"/>
          <w:color w:val="auto"/>
        </w:rPr>
      </w:pPr>
    </w:p>
    <w:p>
      <w:pPr>
        <w:ind w:left="600" w:hanging="28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Appoint, retain and oversee our independent registered public accounting firm and its audit process;</w:t>
      </w:r>
    </w:p>
    <w:p>
      <w:pPr>
        <w:spacing w:after="0" w:line="120" w:lineRule="exact"/>
        <w:rPr>
          <w:rFonts w:ascii="Arial" w:cs="Arial" w:eastAsia="Arial" w:hAnsi="Arial"/>
          <w:sz w:val="16"/>
          <w:szCs w:val="16"/>
          <w:color w:val="auto"/>
        </w:rPr>
      </w:pPr>
    </w:p>
    <w:p>
      <w:pPr>
        <w:ind w:left="600" w:hanging="28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Monitor the effectiveness of our financial reporting processes and disclosure and internal controls;</w:t>
      </w:r>
    </w:p>
    <w:p>
      <w:pPr>
        <w:spacing w:after="0" w:line="132" w:lineRule="exact"/>
        <w:rPr>
          <w:rFonts w:ascii="Arial" w:cs="Arial" w:eastAsia="Arial" w:hAnsi="Arial"/>
          <w:sz w:val="16"/>
          <w:szCs w:val="16"/>
          <w:color w:val="auto"/>
        </w:rPr>
      </w:pPr>
    </w:p>
    <w:p>
      <w:pPr>
        <w:ind w:left="600" w:hanging="28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 our audited financial statements with management and our independent registered public accounting firm;</w:t>
      </w:r>
    </w:p>
    <w:p>
      <w:pPr>
        <w:spacing w:after="0" w:line="120" w:lineRule="exact"/>
        <w:rPr>
          <w:rFonts w:ascii="Arial" w:cs="Arial" w:eastAsia="Arial" w:hAnsi="Arial"/>
          <w:sz w:val="16"/>
          <w:szCs w:val="16"/>
          <w:color w:val="auto"/>
        </w:rPr>
      </w:pPr>
    </w:p>
    <w:p>
      <w:pPr>
        <w:ind w:left="600" w:hanging="28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 and evaluate the scope and performance of the internal audit function;</w:t>
      </w:r>
    </w:p>
    <w:p>
      <w:pPr>
        <w:spacing w:after="0" w:line="120" w:lineRule="exact"/>
        <w:rPr>
          <w:rFonts w:ascii="Arial" w:cs="Arial" w:eastAsia="Arial" w:hAnsi="Arial"/>
          <w:sz w:val="16"/>
          <w:szCs w:val="16"/>
          <w:color w:val="auto"/>
        </w:rPr>
      </w:pPr>
    </w:p>
    <w:p>
      <w:pPr>
        <w:ind w:left="620" w:right="920" w:hanging="302"/>
        <w:spacing w:after="0" w:line="262" w:lineRule="auto"/>
        <w:tabs>
          <w:tab w:leader="none" w:pos="616"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 our policies and procedures regarding ethics and compliance, as well as training, concerns and violations related to our Code of Business Conduct; and</w:t>
      </w:r>
    </w:p>
    <w:p>
      <w:pPr>
        <w:spacing w:after="0" w:line="73" w:lineRule="exact"/>
        <w:rPr>
          <w:rFonts w:ascii="Arial" w:cs="Arial" w:eastAsia="Arial" w:hAnsi="Arial"/>
          <w:sz w:val="16"/>
          <w:szCs w:val="16"/>
          <w:color w:val="auto"/>
        </w:rPr>
      </w:pPr>
    </w:p>
    <w:p>
      <w:pPr>
        <w:ind w:left="600" w:hanging="282"/>
        <w:spacing w:after="0"/>
        <w:tabs>
          <w:tab w:leader="none" w:pos="6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 of our exposure to various risks, including financial, litigation, environmental and regulatory risks.</w:t>
      </w:r>
    </w:p>
    <w:p>
      <w:pPr>
        <w:spacing w:after="0" w:line="60" w:lineRule="exact"/>
        <w:rPr>
          <w:sz w:val="20"/>
          <w:szCs w:val="20"/>
          <w:color w:val="auto"/>
        </w:rPr>
      </w:pPr>
    </w:p>
    <w:p>
      <w:pPr>
        <w:ind w:left="20" w:right="400"/>
        <w:spacing w:after="0" w:line="224" w:lineRule="auto"/>
        <w:rPr>
          <w:sz w:val="20"/>
          <w:szCs w:val="20"/>
          <w:color w:val="auto"/>
        </w:rPr>
      </w:pPr>
      <w:r>
        <w:rPr>
          <w:rFonts w:ascii="Arial" w:cs="Arial" w:eastAsia="Arial" w:hAnsi="Arial"/>
          <w:sz w:val="16"/>
          <w:szCs w:val="16"/>
          <w:color w:val="auto"/>
        </w:rPr>
        <w:t>Our Board has determined that (i) Ms. Niland and Messrs. Jaska and Nardelli are each "financially literate" as defined by the NYSE and each qualify as an “audit committee financial expert” within the definition established by the SEC and (ii) each member of the Audit and Finance Committee is</w:t>
      </w:r>
    </w:p>
    <w:p>
      <w:pPr>
        <w:spacing w:after="0" w:line="1" w:lineRule="exact"/>
        <w:rPr>
          <w:sz w:val="20"/>
          <w:szCs w:val="20"/>
          <w:color w:val="auto"/>
        </w:rPr>
      </w:pPr>
    </w:p>
    <w:p>
      <w:pPr>
        <w:ind w:left="20" w:right="860"/>
        <w:spacing w:after="0" w:line="224" w:lineRule="auto"/>
        <w:rPr>
          <w:sz w:val="20"/>
          <w:szCs w:val="20"/>
          <w:color w:val="auto"/>
        </w:rPr>
      </w:pPr>
      <w:r>
        <w:rPr>
          <w:rFonts w:ascii="Arial" w:cs="Arial" w:eastAsia="Arial" w:hAnsi="Arial"/>
          <w:sz w:val="16"/>
          <w:szCs w:val="16"/>
          <w:color w:val="auto"/>
        </w:rPr>
        <w:t>independent for purposes of Rule 10A-3 of the Exchange Act. For more information on the backgrounds of these directors, see their biographical information under “Proposal 1: Election of Directors” above. For more information on the Audit and Finance Committee, see "Audit and Finance Committee Report" and "Proposal 4: Ratification of Auditors" below.</w:t>
      </w:r>
    </w:p>
    <w:p>
      <w:pPr>
        <w:spacing w:after="0" w:line="200" w:lineRule="exact"/>
        <w:rPr>
          <w:sz w:val="20"/>
          <w:szCs w:val="20"/>
          <w:color w:val="auto"/>
        </w:rPr>
      </w:pPr>
    </w:p>
    <w:p>
      <w:pPr>
        <w:spacing w:after="0" w:line="284"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7" w:name="page28"/>
    <w:bookmarkEnd w:id="2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51193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5655" cy="511937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tbl>
      <w:tblPr>
        <w:tblLayout w:type="fixed"/>
        <w:tblInd w:w="160" w:type="dxa"/>
        <w:tblCellMar>
          <w:top w:w="0" w:type="dxa"/>
          <w:left w:w="0" w:type="dxa"/>
          <w:bottom w:w="0" w:type="dxa"/>
          <w:right w:w="0" w:type="dxa"/>
        </w:tblCellMar>
      </w:tblPr>
      <w:tr>
        <w:trPr>
          <w:trHeight w:val="20"/>
        </w:trPr>
        <w:tc>
          <w:tcPr>
            <w:tcW w:w="8760" w:type="dxa"/>
            <w:vAlign w:val="bottom"/>
            <w:vMerge w:val="restart"/>
            <w:shd w:val="clear" w:color="auto" w:fill="000000"/>
          </w:tcPr>
          <w:p>
            <w:pPr>
              <w:ind w:left="20"/>
              <w:spacing w:after="0"/>
              <w:rPr>
                <w:sz w:val="20"/>
                <w:szCs w:val="20"/>
                <w:color w:val="auto"/>
              </w:rPr>
            </w:pPr>
            <w:r>
              <w:rPr>
                <w:rFonts w:ascii="Arial" w:cs="Arial" w:eastAsia="Arial" w:hAnsi="Arial"/>
                <w:sz w:val="19"/>
                <w:szCs w:val="19"/>
                <w:b w:val="1"/>
                <w:bCs w:val="1"/>
                <w:color w:val="FFFFFF"/>
              </w:rPr>
              <w:t>Compensation Committee</w:t>
            </w:r>
          </w:p>
        </w:tc>
        <w:tc>
          <w:tcPr>
            <w:tcW w:w="2180" w:type="dxa"/>
            <w:vAlign w:val="bottom"/>
            <w:vMerge w:val="restart"/>
            <w:shd w:val="clear" w:color="auto" w:fill="000000"/>
          </w:tcPr>
          <w:p>
            <w:pPr>
              <w:jc w:val="center"/>
              <w:spacing w:after="0"/>
              <w:rPr>
                <w:sz w:val="20"/>
                <w:szCs w:val="20"/>
                <w:color w:val="auto"/>
              </w:rPr>
            </w:pPr>
            <w:r>
              <w:rPr>
                <w:rFonts w:ascii="Arial" w:cs="Arial" w:eastAsia="Arial" w:hAnsi="Arial"/>
                <w:sz w:val="16"/>
                <w:szCs w:val="16"/>
                <w:b w:val="1"/>
                <w:bCs w:val="1"/>
                <w:color w:val="FFFFFF"/>
              </w:rPr>
              <w:t>2022 Meetings: 5</w:t>
            </w:r>
          </w:p>
        </w:tc>
        <w:tc>
          <w:tcPr>
            <w:tcW w:w="0" w:type="dxa"/>
            <w:vAlign w:val="bottom"/>
          </w:tcPr>
          <w:p>
            <w:pPr>
              <w:spacing w:after="0" w:line="20" w:lineRule="exact"/>
              <w:rPr>
                <w:sz w:val="1"/>
                <w:szCs w:val="1"/>
                <w:color w:val="auto"/>
              </w:rPr>
            </w:pPr>
          </w:p>
        </w:tc>
      </w:tr>
      <w:tr>
        <w:trPr>
          <w:trHeight w:val="241"/>
        </w:trPr>
        <w:tc>
          <w:tcPr>
            <w:tcW w:w="8760" w:type="dxa"/>
            <w:vAlign w:val="bottom"/>
            <w:tcBorders>
              <w:bottom w:val="single" w:sz="8" w:color="auto"/>
            </w:tcBorders>
            <w:vMerge w:val="continue"/>
            <w:shd w:val="clear" w:color="auto" w:fill="000000"/>
          </w:tcPr>
          <w:p>
            <w:pPr>
              <w:spacing w:after="0"/>
              <w:rPr>
                <w:sz w:val="20"/>
                <w:szCs w:val="20"/>
                <w:color w:val="auto"/>
              </w:rPr>
            </w:pPr>
          </w:p>
        </w:tc>
        <w:tc>
          <w:tcPr>
            <w:tcW w:w="2180" w:type="dxa"/>
            <w:vAlign w:val="bottom"/>
            <w:tcBorders>
              <w:bottom w:val="single" w:sz="8" w:color="auto"/>
            </w:tcBorders>
            <w:vMerge w:val="continue"/>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87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Gerhard Burbach (Chair), Kenneth Krieg, Leland Melvin and John Richardson</w:t>
            </w:r>
          </w:p>
        </w:tc>
        <w:tc>
          <w:tcPr>
            <w:tcW w:w="21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100% Independent</w:t>
            </w:r>
          </w:p>
        </w:tc>
        <w:tc>
          <w:tcPr>
            <w:tcW w:w="0" w:type="dxa"/>
            <w:vAlign w:val="bottom"/>
          </w:tcPr>
          <w:p>
            <w:pPr>
              <w:spacing w:after="0"/>
              <w:rPr>
                <w:sz w:val="1"/>
                <w:szCs w:val="1"/>
                <w:color w:val="auto"/>
              </w:rPr>
            </w:pPr>
          </w:p>
        </w:tc>
      </w:tr>
    </w:tbl>
    <w:p>
      <w:pPr>
        <w:ind w:left="180" w:right="140"/>
        <w:spacing w:after="0" w:line="216" w:lineRule="auto"/>
        <w:rPr>
          <w:sz w:val="20"/>
          <w:szCs w:val="20"/>
          <w:color w:val="auto"/>
        </w:rPr>
      </w:pPr>
      <w:r>
        <w:rPr>
          <w:rFonts w:ascii="Arial" w:cs="Arial" w:eastAsia="Arial" w:hAnsi="Arial"/>
          <w:sz w:val="16"/>
          <w:szCs w:val="16"/>
          <w:color w:val="auto"/>
        </w:rPr>
        <w:t>The Compensation Committee has overall responsibility for our executive and non-employee director compensation plans, policies and programs. The Compensation Committee also oversees the annual evaluation of our Chief Executive Officer, in conjunction with the Governance Committee, and makes compensation recommendations to the independent directors of the Board. The Compensation Committee regularly reviews the design of our</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significant compensation programs with the assistance of its compensation consultant.</w:t>
      </w:r>
    </w:p>
    <w:p>
      <w:pPr>
        <w:spacing w:after="0" w:line="44" w:lineRule="exact"/>
        <w:rPr>
          <w:sz w:val="20"/>
          <w:szCs w:val="20"/>
          <w:color w:val="auto"/>
        </w:rPr>
      </w:pPr>
    </w:p>
    <w:p>
      <w:pPr>
        <w:ind w:left="180" w:right="300"/>
        <w:spacing w:after="0" w:line="218" w:lineRule="auto"/>
        <w:rPr>
          <w:sz w:val="20"/>
          <w:szCs w:val="20"/>
          <w:color w:val="auto"/>
        </w:rPr>
      </w:pPr>
      <w:r>
        <w:rPr>
          <w:rFonts w:ascii="Arial" w:cs="Arial" w:eastAsia="Arial" w:hAnsi="Arial"/>
          <w:sz w:val="16"/>
          <w:szCs w:val="16"/>
          <w:color w:val="auto"/>
        </w:rPr>
        <w:t>The Compensation Committee administers our Executive Incentive Compensation Plan (the “EICP”), under which it awards annual cash-based incentive compensation to our officers based on the attainment of annual performance goals. Our Compensation Committee approves, among other things, the target EICP compensation, as well as the financial and safety goals for each officer. The Committee recommends to the independent</w:t>
      </w:r>
    </w:p>
    <w:p>
      <w:pPr>
        <w:spacing w:after="0" w:line="2" w:lineRule="exact"/>
        <w:rPr>
          <w:sz w:val="20"/>
          <w:szCs w:val="20"/>
          <w:color w:val="auto"/>
        </w:rPr>
      </w:pPr>
    </w:p>
    <w:p>
      <w:pPr>
        <w:ind w:left="180" w:right="80"/>
        <w:spacing w:after="0" w:line="211" w:lineRule="auto"/>
        <w:rPr>
          <w:sz w:val="20"/>
          <w:szCs w:val="20"/>
          <w:color w:val="auto"/>
        </w:rPr>
      </w:pPr>
      <w:r>
        <w:rPr>
          <w:rFonts w:ascii="Arial" w:cs="Arial" w:eastAsia="Arial" w:hAnsi="Arial"/>
          <w:sz w:val="16"/>
          <w:szCs w:val="16"/>
          <w:color w:val="auto"/>
        </w:rPr>
        <w:t>members of the Board individual goals for EICP compensation for our Chief Executive Officer. Our Chief Executive Officer establishes EICP individual goals for the Presidents of principal operating groups and other executive officers. The Compensation Committee also administers our 2010 Long-Term Incentive Plan (as amended, the “2010 LTIP”) and 2020 Omnibus Incentive Plan (the "2020 Plan," and together with the 2010 LTIP, the "Incentive</w:t>
      </w:r>
    </w:p>
    <w:p>
      <w:pPr>
        <w:spacing w:after="0" w:line="2" w:lineRule="exact"/>
        <w:rPr>
          <w:sz w:val="20"/>
          <w:szCs w:val="20"/>
          <w:color w:val="auto"/>
        </w:rPr>
      </w:pPr>
    </w:p>
    <w:p>
      <w:pPr>
        <w:jc w:val="both"/>
        <w:ind w:left="180" w:right="280"/>
        <w:spacing w:after="0" w:line="224" w:lineRule="auto"/>
        <w:rPr>
          <w:sz w:val="20"/>
          <w:szCs w:val="20"/>
          <w:color w:val="auto"/>
        </w:rPr>
      </w:pPr>
      <w:r>
        <w:rPr>
          <w:rFonts w:ascii="Arial" w:cs="Arial" w:eastAsia="Arial" w:hAnsi="Arial"/>
          <w:sz w:val="16"/>
          <w:szCs w:val="16"/>
          <w:color w:val="auto"/>
        </w:rPr>
        <w:t>Plans"), and may delegate some of its duties (other than awards to directors and executive officers under the Incentive Plans) to our Chief Executive Officer or other senior officers. The Compensation Committee evaluates the Chief Executive Officer's performance under the EICP and the Incentive Plans and recommends payouts under such plans and other compensation changes to the independent members of the Board.</w:t>
      </w:r>
    </w:p>
    <w:p>
      <w:pPr>
        <w:spacing w:after="0" w:line="175" w:lineRule="exact"/>
        <w:rPr>
          <w:sz w:val="20"/>
          <w:szCs w:val="20"/>
          <w:color w:val="auto"/>
        </w:rPr>
      </w:pPr>
    </w:p>
    <w:p>
      <w:pPr>
        <w:ind w:left="180" w:right="320"/>
        <w:spacing w:after="0" w:line="231" w:lineRule="auto"/>
        <w:rPr>
          <w:sz w:val="20"/>
          <w:szCs w:val="20"/>
          <w:color w:val="auto"/>
        </w:rPr>
      </w:pPr>
      <w:r>
        <w:rPr>
          <w:rFonts w:ascii="Arial" w:cs="Arial" w:eastAsia="Arial" w:hAnsi="Arial"/>
          <w:sz w:val="16"/>
          <w:szCs w:val="16"/>
          <w:color w:val="auto"/>
        </w:rPr>
        <w:t>The Board has determined that each member of the Compensation Committee is (i) independent, as independence for compensation committee members is defined by the NYSE, (ii) a "non-employee director" for purposes of Section 16b-3 of the Exchange Act, and (iii) an "outside director" for purposes of 162(m) of the Internal Revenue Code.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Executive Compensation Consultant</w:t>
      </w:r>
    </w:p>
    <w:p>
      <w:pPr>
        <w:spacing w:after="0" w:line="6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Compensation Committee has the authority to retain, terminate, compensate and oversee any compensation consultant ("Compensation</w:t>
      </w:r>
    </w:p>
    <w:p>
      <w:pPr>
        <w:spacing w:after="0" w:line="3" w:lineRule="exact"/>
        <w:rPr>
          <w:sz w:val="20"/>
          <w:szCs w:val="20"/>
          <w:color w:val="auto"/>
        </w:rPr>
      </w:pPr>
    </w:p>
    <w:p>
      <w:pPr>
        <w:ind w:left="180" w:right="100"/>
        <w:spacing w:after="0" w:line="233" w:lineRule="auto"/>
        <w:rPr>
          <w:sz w:val="20"/>
          <w:szCs w:val="20"/>
          <w:color w:val="auto"/>
        </w:rPr>
      </w:pPr>
      <w:r>
        <w:rPr>
          <w:rFonts w:ascii="Arial" w:cs="Arial" w:eastAsia="Arial" w:hAnsi="Arial"/>
          <w:sz w:val="16"/>
          <w:szCs w:val="16"/>
          <w:color w:val="auto"/>
        </w:rPr>
        <w:t>Consultant") or other advisors to assist the committee in the discharge of its responsibilities. The Compensation Committee has engaged Exequity LLP (“Exequity”) as its outside Compensation Consultant. For 2022, Exequity assisted the Compensation Committee with:</w:t>
      </w:r>
    </w:p>
    <w:p>
      <w:pPr>
        <w:spacing w:after="0" w:line="29" w:lineRule="exact"/>
        <w:rPr>
          <w:sz w:val="20"/>
          <w:szCs w:val="20"/>
          <w:color w:val="auto"/>
        </w:rPr>
      </w:pPr>
    </w:p>
    <w:p>
      <w:pPr>
        <w:ind w:left="760" w:hanging="284"/>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advice and analysis on the design, structure and level of executive and director compensation and incentive plans;</w:t>
      </w:r>
    </w:p>
    <w:p>
      <w:pPr>
        <w:spacing w:after="0" w:line="59" w:lineRule="exact"/>
        <w:rPr>
          <w:rFonts w:ascii="Arial" w:cs="Arial" w:eastAsia="Arial" w:hAnsi="Arial"/>
          <w:sz w:val="16"/>
          <w:szCs w:val="16"/>
          <w:color w:val="auto"/>
        </w:rPr>
      </w:pPr>
    </w:p>
    <w:p>
      <w:pPr>
        <w:ind w:left="760" w:hanging="284"/>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review of market survey and proxy compensation data for benchmarking;</w:t>
      </w:r>
    </w:p>
    <w:p>
      <w:pPr>
        <w:spacing w:after="0" w:line="59" w:lineRule="exact"/>
        <w:rPr>
          <w:rFonts w:ascii="Arial" w:cs="Arial" w:eastAsia="Arial" w:hAnsi="Arial"/>
          <w:sz w:val="16"/>
          <w:szCs w:val="16"/>
          <w:color w:val="auto"/>
        </w:rPr>
      </w:pPr>
    </w:p>
    <w:p>
      <w:pPr>
        <w:ind w:left="760" w:hanging="284"/>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advice on external market factors and evolving compensation trends; and</w:t>
      </w:r>
    </w:p>
    <w:p>
      <w:pPr>
        <w:spacing w:after="0" w:line="59" w:lineRule="exact"/>
        <w:rPr>
          <w:rFonts w:ascii="Arial" w:cs="Arial" w:eastAsia="Arial" w:hAnsi="Arial"/>
          <w:sz w:val="16"/>
          <w:szCs w:val="16"/>
          <w:color w:val="auto"/>
        </w:rPr>
      </w:pPr>
    </w:p>
    <w:p>
      <w:pPr>
        <w:ind w:left="760" w:hanging="284"/>
        <w:spacing w:after="0"/>
        <w:tabs>
          <w:tab w:leader="none" w:pos="7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assistance with regulatory compliance and changes regarding compensation matters.</w:t>
      </w:r>
    </w:p>
    <w:p>
      <w:pPr>
        <w:spacing w:after="0" w:line="60" w:lineRule="exact"/>
        <w:rPr>
          <w:sz w:val="20"/>
          <w:szCs w:val="20"/>
          <w:color w:val="auto"/>
        </w:rPr>
      </w:pPr>
    </w:p>
    <w:p>
      <w:pPr>
        <w:jc w:val="both"/>
        <w:ind w:left="180" w:right="420"/>
        <w:spacing w:after="0" w:line="246" w:lineRule="auto"/>
        <w:rPr>
          <w:sz w:val="20"/>
          <w:szCs w:val="20"/>
          <w:color w:val="auto"/>
        </w:rPr>
      </w:pPr>
      <w:r>
        <w:rPr>
          <w:rFonts w:ascii="Arial" w:cs="Arial" w:eastAsia="Arial" w:hAnsi="Arial"/>
          <w:sz w:val="16"/>
          <w:szCs w:val="16"/>
          <w:color w:val="auto"/>
        </w:rPr>
        <w:t>Exequity attends the Compensation Committee meetings, including executive sessions. Although Exequity works with our management on various matters for which the Compensation Committee is responsible, our management does not direct or oversee the retention or activities of Exequity.</w:t>
      </w:r>
    </w:p>
    <w:p>
      <w:pPr>
        <w:spacing w:after="0" w:line="171" w:lineRule="exact"/>
        <w:rPr>
          <w:sz w:val="20"/>
          <w:szCs w:val="20"/>
          <w:color w:val="auto"/>
        </w:rPr>
      </w:pPr>
    </w:p>
    <w:p>
      <w:pPr>
        <w:ind w:left="180" w:right="180"/>
        <w:spacing w:after="0" w:line="246" w:lineRule="auto"/>
        <w:rPr>
          <w:sz w:val="20"/>
          <w:szCs w:val="20"/>
          <w:color w:val="auto"/>
        </w:rPr>
      </w:pPr>
      <w:r>
        <w:rPr>
          <w:rFonts w:ascii="Arial" w:cs="Arial" w:eastAsia="Arial" w:hAnsi="Arial"/>
          <w:sz w:val="16"/>
          <w:szCs w:val="16"/>
          <w:color w:val="auto"/>
        </w:rPr>
        <w:t>See the “Compensation Discussion and Analysis” and “Compensation of Executive Officers” sections of this proxy statement for information about our 2022 executive officer compensation, including a discussion of the role of the Compensation Consultant.</w:t>
      </w:r>
    </w:p>
    <w:p>
      <w:pPr>
        <w:spacing w:after="0" w:line="232" w:lineRule="exact"/>
        <w:rPr>
          <w:sz w:val="20"/>
          <w:szCs w:val="20"/>
          <w:color w:val="auto"/>
        </w:rPr>
      </w:pPr>
    </w:p>
    <w:p>
      <w:pPr>
        <w:ind w:left="18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60" w:lineRule="exact"/>
        <w:rPr>
          <w:sz w:val="20"/>
          <w:szCs w:val="20"/>
          <w:color w:val="auto"/>
        </w:rPr>
      </w:pPr>
    </w:p>
    <w:p>
      <w:pPr>
        <w:jc w:val="both"/>
        <w:ind w:left="180" w:right="400"/>
        <w:spacing w:after="0" w:line="218" w:lineRule="auto"/>
        <w:rPr>
          <w:sz w:val="20"/>
          <w:szCs w:val="20"/>
          <w:color w:val="auto"/>
        </w:rPr>
      </w:pPr>
      <w:r>
        <w:rPr>
          <w:rFonts w:ascii="Arial" w:cs="Arial" w:eastAsia="Arial" w:hAnsi="Arial"/>
          <w:sz w:val="16"/>
          <w:szCs w:val="16"/>
          <w:color w:val="auto"/>
        </w:rPr>
        <w:t>No director who served as a member of the Compensation Committee during the year ended December 31, 2022 (i) was during such year, or had previously been, an officer or employee of BWXT or any of our subsidiaries, or (ii) had any material interest in a transaction of BWXT or a business relationship with, or any indebtedness to, BWXT. None of our executive officers have served as members of a compensation committee (or if no</w:t>
      </w:r>
    </w:p>
    <w:p>
      <w:pPr>
        <w:spacing w:after="0" w:line="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committee performs that function, the board of directors) of any other entity that has an executive officer serving as a member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16 </w:t>
      </w:r>
      <w:r>
        <w:rPr>
          <w:sz w:val="1"/>
          <w:szCs w:val="1"/>
          <w:color w:val="auto"/>
        </w:rPr>
        <w:drawing>
          <wp:inline distT="0" distB="0" distL="0" distR="0">
            <wp:extent cx="401955" cy="16256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00"/>
          </w:cols>
          <w:pgMar w:left="320" w:top="123" w:right="47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9"/>
              </w:rPr>
              <w:t>Table of Contents</w:t>
            </w:r>
          </w:p>
        </w:tc>
        <w:tc>
          <w:tcPr>
            <w:tcW w:w="840" w:type="dxa"/>
            <w:vAlign w:val="bottom"/>
            <w:gridSpan w:val="2"/>
          </w:tcPr>
          <w:p>
            <w:pPr>
              <w:spacing w:after="0"/>
              <w:rPr>
                <w:sz w:val="16"/>
                <w:szCs w:val="16"/>
                <w:color w:val="auto"/>
              </w:rPr>
            </w:pPr>
          </w:p>
        </w:tc>
      </w:tr>
      <w:tr>
        <w:trPr>
          <w:trHeight w:val="220"/>
        </w:trPr>
        <w:tc>
          <w:tcPr>
            <w:tcW w:w="6360" w:type="dxa"/>
            <w:vAlign w:val="bottom"/>
            <w:tcBorders>
              <w:bottom w:val="single" w:sz="8" w:color="auto"/>
            </w:tcBorders>
          </w:tcPr>
          <w:p>
            <w:pPr>
              <w:spacing w:after="0"/>
              <w:rPr>
                <w:sz w:val="19"/>
                <w:szCs w:val="19"/>
                <w:color w:val="auto"/>
              </w:rPr>
            </w:pPr>
          </w:p>
        </w:tc>
        <w:tc>
          <w:tcPr>
            <w:tcW w:w="4860" w:type="dxa"/>
            <w:vAlign w:val="bottom"/>
            <w:tcBorders>
              <w:bottom w:val="single" w:sz="8" w:color="auto"/>
            </w:tcBorders>
            <w:gridSpan w:val="5"/>
          </w:tcPr>
          <w:p>
            <w:pPr>
              <w:ind w:left="2080"/>
              <w:spacing w:after="0"/>
              <w:rPr>
                <w:sz w:val="20"/>
                <w:szCs w:val="20"/>
                <w:color w:val="auto"/>
              </w:rPr>
            </w:pPr>
            <w:r>
              <w:rPr>
                <w:rFonts w:ascii="Arial" w:cs="Arial" w:eastAsia="Arial" w:hAnsi="Arial"/>
                <w:sz w:val="13"/>
                <w:szCs w:val="13"/>
                <w:color w:val="auto"/>
              </w:rPr>
              <w:t>CORPORATE GOVERNANCE</w:t>
            </w:r>
          </w:p>
        </w:tc>
      </w:tr>
      <w:tr>
        <w:trPr>
          <w:trHeight w:val="422"/>
        </w:trPr>
        <w:tc>
          <w:tcPr>
            <w:tcW w:w="63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spacing w:after="0"/>
              <w:rPr>
                <w:sz w:val="24"/>
                <w:szCs w:val="24"/>
                <w:color w:val="auto"/>
              </w:rPr>
            </w:pPr>
          </w:p>
        </w:tc>
        <w:tc>
          <w:tcPr>
            <w:tcW w:w="280" w:type="dxa"/>
            <w:vAlign w:val="bottom"/>
          </w:tcPr>
          <w:p>
            <w:pPr>
              <w:spacing w:after="0"/>
              <w:rPr>
                <w:sz w:val="24"/>
                <w:szCs w:val="24"/>
                <w:color w:val="auto"/>
              </w:rPr>
            </w:pPr>
          </w:p>
        </w:tc>
      </w:tr>
      <w:tr>
        <w:trPr>
          <w:trHeight w:val="236"/>
        </w:trPr>
        <w:tc>
          <w:tcPr>
            <w:tcW w:w="6360" w:type="dxa"/>
            <w:vAlign w:val="bottom"/>
            <w:tcBorders>
              <w:bottom w:val="single" w:sz="8" w:color="auto"/>
            </w:tcBorders>
            <w:shd w:val="clear" w:color="auto" w:fill="000000"/>
          </w:tcPr>
          <w:p>
            <w:pPr>
              <w:ind w:left="20"/>
              <w:spacing w:after="0"/>
              <w:rPr>
                <w:sz w:val="20"/>
                <w:szCs w:val="20"/>
                <w:color w:val="auto"/>
              </w:rPr>
            </w:pPr>
            <w:r>
              <w:rPr>
                <w:rFonts w:ascii="Arial" w:cs="Arial" w:eastAsia="Arial" w:hAnsi="Arial"/>
                <w:sz w:val="19"/>
                <w:szCs w:val="19"/>
                <w:b w:val="1"/>
                <w:bCs w:val="1"/>
                <w:color w:val="FFFFFF"/>
              </w:rPr>
              <w:t>Governance Committee</w:t>
            </w:r>
          </w:p>
        </w:tc>
        <w:tc>
          <w:tcPr>
            <w:tcW w:w="2400" w:type="dxa"/>
            <w:vAlign w:val="bottom"/>
            <w:tcBorders>
              <w:bottom w:val="single" w:sz="8" w:color="auto"/>
            </w:tcBorders>
            <w:shd w:val="clear" w:color="auto" w:fill="000000"/>
          </w:tcPr>
          <w:p>
            <w:pPr>
              <w:spacing w:after="0"/>
              <w:rPr>
                <w:sz w:val="20"/>
                <w:szCs w:val="20"/>
                <w:color w:val="auto"/>
              </w:rPr>
            </w:pPr>
          </w:p>
        </w:tc>
        <w:tc>
          <w:tcPr>
            <w:tcW w:w="2180" w:type="dxa"/>
            <w:vAlign w:val="bottom"/>
            <w:tcBorders>
              <w:bottom w:val="single" w:sz="8" w:color="auto"/>
            </w:tcBorders>
            <w:gridSpan w:val="3"/>
            <w:shd w:val="clear" w:color="auto" w:fill="000000"/>
          </w:tcPr>
          <w:p>
            <w:pPr>
              <w:ind w:left="440"/>
              <w:spacing w:after="0"/>
              <w:rPr>
                <w:sz w:val="20"/>
                <w:szCs w:val="20"/>
                <w:color w:val="auto"/>
              </w:rPr>
            </w:pPr>
            <w:r>
              <w:rPr>
                <w:rFonts w:ascii="Arial" w:cs="Arial" w:eastAsia="Arial" w:hAnsi="Arial"/>
                <w:sz w:val="16"/>
                <w:szCs w:val="16"/>
                <w:b w:val="1"/>
                <w:bCs w:val="1"/>
                <w:color w:val="FFFFFF"/>
              </w:rPr>
              <w:t>2022 Meetings: 4</w:t>
            </w:r>
          </w:p>
        </w:tc>
        <w:tc>
          <w:tcPr>
            <w:tcW w:w="280" w:type="dxa"/>
            <w:vAlign w:val="bottom"/>
          </w:tcPr>
          <w:p>
            <w:pPr>
              <w:spacing w:after="0"/>
              <w:rPr>
                <w:sz w:val="20"/>
                <w:szCs w:val="20"/>
                <w:color w:val="auto"/>
              </w:rPr>
            </w:pPr>
          </w:p>
        </w:tc>
      </w:tr>
      <w:tr>
        <w:trPr>
          <w:trHeight w:val="199"/>
        </w:trPr>
        <w:tc>
          <w:tcPr>
            <w:tcW w:w="6360" w:type="dxa"/>
            <w:vAlign w:val="bottom"/>
            <w:shd w:val="clear" w:color="auto" w:fill="DBDBDB"/>
          </w:tcPr>
          <w:p>
            <w:pPr>
              <w:ind w:left="180"/>
              <w:spacing w:after="0"/>
              <w:rPr>
                <w:sz w:val="20"/>
                <w:szCs w:val="20"/>
                <w:color w:val="auto"/>
              </w:rPr>
            </w:pPr>
            <w:r>
              <w:rPr>
                <w:rFonts w:ascii="Arial" w:cs="Arial" w:eastAsia="Arial" w:hAnsi="Arial"/>
                <w:sz w:val="16"/>
                <w:szCs w:val="16"/>
                <w:color w:val="auto"/>
              </w:rPr>
              <w:t>James Jaska (Chair), Barbara Niland and Robert Nardelli</w:t>
            </w:r>
          </w:p>
        </w:tc>
        <w:tc>
          <w:tcPr>
            <w:tcW w:w="2400" w:type="dxa"/>
            <w:vAlign w:val="bottom"/>
            <w:shd w:val="clear" w:color="auto" w:fill="DBDBDB"/>
          </w:tcPr>
          <w:p>
            <w:pPr>
              <w:spacing w:after="0"/>
              <w:rPr>
                <w:sz w:val="17"/>
                <w:szCs w:val="17"/>
                <w:color w:val="auto"/>
              </w:rPr>
            </w:pPr>
          </w:p>
        </w:tc>
        <w:tc>
          <w:tcPr>
            <w:tcW w:w="2180" w:type="dxa"/>
            <w:vAlign w:val="bottom"/>
            <w:gridSpan w:val="3"/>
            <w:shd w:val="clear" w:color="auto" w:fill="DBDBDB"/>
          </w:tcPr>
          <w:p>
            <w:pPr>
              <w:ind w:left="400"/>
              <w:spacing w:after="0"/>
              <w:rPr>
                <w:sz w:val="20"/>
                <w:szCs w:val="20"/>
                <w:color w:val="auto"/>
              </w:rPr>
            </w:pPr>
            <w:r>
              <w:rPr>
                <w:rFonts w:ascii="Arial" w:cs="Arial" w:eastAsia="Arial" w:hAnsi="Arial"/>
                <w:sz w:val="16"/>
                <w:szCs w:val="16"/>
                <w:color w:val="auto"/>
              </w:rPr>
              <w:t>100% Independent</w:t>
            </w:r>
          </w:p>
        </w:tc>
        <w:tc>
          <w:tcPr>
            <w:tcW w:w="2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-300990</wp:posOffset>
            </wp:positionV>
            <wp:extent cx="6952615" cy="53981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952615" cy="5398135"/>
                    </a:xfrm>
                    <a:prstGeom prst="rect">
                      <a:avLst/>
                    </a:prstGeom>
                    <a:noFill/>
                  </pic:spPr>
                </pic:pic>
              </a:graphicData>
            </a:graphic>
          </wp:anchor>
        </w:drawing>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Governance Committee has overall responsibility to:</w:t>
      </w:r>
    </w:p>
    <w:p>
      <w:pPr>
        <w:spacing w:after="0" w:line="31" w:lineRule="exact"/>
        <w:rPr>
          <w:sz w:val="20"/>
          <w:szCs w:val="20"/>
          <w:color w:val="auto"/>
        </w:rPr>
      </w:pPr>
    </w:p>
    <w:p>
      <w:pPr>
        <w:ind w:left="600" w:hanging="28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establish and assess director qualifications;</w:t>
      </w:r>
    </w:p>
    <w:p>
      <w:pPr>
        <w:spacing w:after="0" w:line="23" w:lineRule="exact"/>
        <w:rPr>
          <w:rFonts w:ascii="Arial" w:cs="Arial" w:eastAsia="Arial" w:hAnsi="Arial"/>
          <w:sz w:val="16"/>
          <w:szCs w:val="16"/>
          <w:color w:val="auto"/>
        </w:rPr>
      </w:pPr>
    </w:p>
    <w:p>
      <w:pPr>
        <w:ind w:left="600" w:hanging="28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review the composition of the Board and recommend director nominees for election;</w:t>
      </w:r>
    </w:p>
    <w:p>
      <w:pPr>
        <w:spacing w:after="0" w:line="27" w:lineRule="exact"/>
        <w:rPr>
          <w:rFonts w:ascii="Arial" w:cs="Arial" w:eastAsia="Arial" w:hAnsi="Arial"/>
          <w:sz w:val="16"/>
          <w:szCs w:val="16"/>
          <w:color w:val="auto"/>
        </w:rPr>
      </w:pPr>
    </w:p>
    <w:p>
      <w:pPr>
        <w:ind w:left="600" w:hanging="28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lead the Board's oversight of ESG issues within the Company, including diversity and inclusion;</w:t>
      </w:r>
    </w:p>
    <w:p>
      <w:pPr>
        <w:spacing w:after="0" w:line="30" w:lineRule="exact"/>
        <w:rPr>
          <w:rFonts w:ascii="Arial" w:cs="Arial" w:eastAsia="Arial" w:hAnsi="Arial"/>
          <w:sz w:val="16"/>
          <w:szCs w:val="16"/>
          <w:color w:val="auto"/>
        </w:rPr>
      </w:pPr>
    </w:p>
    <w:p>
      <w:pPr>
        <w:ind w:left="620" w:right="940" w:hanging="302"/>
        <w:spacing w:after="0" w:line="238" w:lineRule="auto"/>
        <w:tabs>
          <w:tab w:leader="none" w:pos="616" w:val="left"/>
        </w:tabs>
        <w:numPr>
          <w:ilvl w:val="0"/>
          <w:numId w:val="48"/>
        </w:numPr>
        <w:rPr>
          <w:rFonts w:ascii="Arial" w:cs="Arial" w:eastAsia="Arial" w:hAnsi="Arial"/>
          <w:sz w:val="16"/>
          <w:szCs w:val="16"/>
          <w:color w:val="auto"/>
        </w:rPr>
      </w:pPr>
      <w:r>
        <w:rPr>
          <w:rFonts w:ascii="Arial" w:cs="Arial" w:eastAsia="Arial" w:hAnsi="Arial"/>
          <w:sz w:val="16"/>
          <w:szCs w:val="16"/>
          <w:color w:val="auto"/>
        </w:rPr>
        <w:t>oversee the annual self-evaluation process for our Board and Committees, as well as the Chief Executive Officer in conjunction with our Compensation Committee;</w:t>
      </w:r>
    </w:p>
    <w:p>
      <w:pPr>
        <w:spacing w:after="0" w:line="4" w:lineRule="exact"/>
        <w:rPr>
          <w:rFonts w:ascii="Arial" w:cs="Arial" w:eastAsia="Arial" w:hAnsi="Arial"/>
          <w:sz w:val="16"/>
          <w:szCs w:val="16"/>
          <w:color w:val="auto"/>
        </w:rPr>
      </w:pPr>
    </w:p>
    <w:p>
      <w:pPr>
        <w:ind w:left="600" w:hanging="28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evaluate director orientation and director education programs; and</w:t>
      </w:r>
    </w:p>
    <w:p>
      <w:pPr>
        <w:spacing w:after="0" w:line="30" w:lineRule="exact"/>
        <w:rPr>
          <w:rFonts w:ascii="Arial" w:cs="Arial" w:eastAsia="Arial" w:hAnsi="Arial"/>
          <w:sz w:val="16"/>
          <w:szCs w:val="16"/>
          <w:color w:val="auto"/>
        </w:rPr>
      </w:pPr>
    </w:p>
    <w:p>
      <w:pPr>
        <w:ind w:left="600" w:hanging="282"/>
        <w:spacing w:after="0"/>
        <w:tabs>
          <w:tab w:leader="none" w:pos="600" w:val="left"/>
        </w:tabs>
        <w:numPr>
          <w:ilvl w:val="0"/>
          <w:numId w:val="48"/>
        </w:numPr>
        <w:rPr>
          <w:rFonts w:ascii="Arial" w:cs="Arial" w:eastAsia="Arial" w:hAnsi="Arial"/>
          <w:sz w:val="16"/>
          <w:szCs w:val="16"/>
          <w:color w:val="auto"/>
        </w:rPr>
      </w:pPr>
      <w:r>
        <w:rPr>
          <w:rFonts w:ascii="Arial" w:cs="Arial" w:eastAsia="Arial" w:hAnsi="Arial"/>
          <w:sz w:val="16"/>
          <w:szCs w:val="16"/>
          <w:color w:val="auto"/>
        </w:rPr>
        <w:t>monitor governance and cybersecurity risks.</w:t>
      </w:r>
    </w:p>
    <w:p>
      <w:pPr>
        <w:spacing w:after="0" w:line="23" w:lineRule="exact"/>
        <w:rPr>
          <w:sz w:val="20"/>
          <w:szCs w:val="20"/>
          <w:color w:val="auto"/>
        </w:rPr>
      </w:pPr>
    </w:p>
    <w:p>
      <w:pPr>
        <w:ind w:left="20" w:right="460"/>
        <w:spacing w:after="0" w:line="252" w:lineRule="auto"/>
        <w:rPr>
          <w:sz w:val="20"/>
          <w:szCs w:val="20"/>
          <w:color w:val="auto"/>
        </w:rPr>
      </w:pPr>
      <w:r>
        <w:rPr>
          <w:rFonts w:ascii="Arial" w:cs="Arial" w:eastAsia="Arial" w:hAnsi="Arial"/>
          <w:sz w:val="16"/>
          <w:szCs w:val="16"/>
          <w:color w:val="auto"/>
        </w:rPr>
        <w:t>This committee will consider individuals recommended by stockholders for nomination as directors in accordance with the procedures described under “Stockholders’ Proposals.”</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 Evaluation and Nomination Process</w:t>
      </w:r>
    </w:p>
    <w:p>
      <w:pPr>
        <w:spacing w:after="0" w:line="60" w:lineRule="exact"/>
        <w:rPr>
          <w:sz w:val="20"/>
          <w:szCs w:val="20"/>
          <w:color w:val="auto"/>
        </w:rPr>
      </w:pPr>
    </w:p>
    <w:p>
      <w:pPr>
        <w:ind w:left="20" w:right="500"/>
        <w:spacing w:after="0" w:line="262" w:lineRule="auto"/>
        <w:rPr>
          <w:sz w:val="20"/>
          <w:szCs w:val="20"/>
          <w:color w:val="auto"/>
        </w:rPr>
      </w:pPr>
      <w:r>
        <w:rPr>
          <w:rFonts w:ascii="Arial" w:cs="Arial" w:eastAsia="Arial" w:hAnsi="Arial"/>
          <w:sz w:val="16"/>
          <w:szCs w:val="16"/>
          <w:color w:val="auto"/>
        </w:rPr>
        <w:t>Our Governance Committee is responsible for assessing the qualifications, skills and characteristics of candidates for election to the Board. In making this assessment, the Governance Committee generally considers a number of factors, including each candidate’s:</w:t>
      </w:r>
    </w:p>
    <w:p>
      <w:pPr>
        <w:spacing w:after="0" w:line="25" w:lineRule="exact"/>
        <w:rPr>
          <w:sz w:val="20"/>
          <w:szCs w:val="20"/>
          <w:color w:val="auto"/>
        </w:rPr>
      </w:pPr>
    </w:p>
    <w:p>
      <w:pPr>
        <w:ind w:left="620" w:right="620" w:hanging="302"/>
        <w:spacing w:after="0" w:line="246" w:lineRule="auto"/>
        <w:tabs>
          <w:tab w:leader="none" w:pos="6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professional and personal experiences and expertise in relation to (i) our businesses and industries and (ii) the experiences and expertise of other Board members;</w:t>
      </w:r>
    </w:p>
    <w:p>
      <w:pPr>
        <w:spacing w:after="0" w:line="49" w:lineRule="exact"/>
        <w:rPr>
          <w:rFonts w:ascii="Arial" w:cs="Arial" w:eastAsia="Arial" w:hAnsi="Arial"/>
          <w:sz w:val="16"/>
          <w:szCs w:val="16"/>
          <w:color w:val="auto"/>
        </w:rPr>
      </w:pPr>
    </w:p>
    <w:p>
      <w:pPr>
        <w:ind w:left="600" w:hanging="282"/>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integrity and ethics in his/her personal and professional life;</w:t>
      </w:r>
    </w:p>
    <w:p>
      <w:pPr>
        <w:spacing w:after="0" w:line="71" w:lineRule="exact"/>
        <w:rPr>
          <w:rFonts w:ascii="Arial" w:cs="Arial" w:eastAsia="Arial" w:hAnsi="Arial"/>
          <w:sz w:val="16"/>
          <w:szCs w:val="16"/>
          <w:color w:val="auto"/>
        </w:rPr>
      </w:pPr>
    </w:p>
    <w:p>
      <w:pPr>
        <w:ind w:left="600" w:hanging="282"/>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professional accomplishments in his/her field;</w:t>
      </w:r>
    </w:p>
    <w:p>
      <w:pPr>
        <w:spacing w:after="0" w:line="71" w:lineRule="exact"/>
        <w:rPr>
          <w:rFonts w:ascii="Arial" w:cs="Arial" w:eastAsia="Arial" w:hAnsi="Arial"/>
          <w:sz w:val="16"/>
          <w:szCs w:val="16"/>
          <w:color w:val="auto"/>
        </w:rPr>
      </w:pPr>
    </w:p>
    <w:p>
      <w:pPr>
        <w:ind w:left="600" w:hanging="282"/>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personal, financial or professional interests in any competitor, customer or supplier of ours;</w:t>
      </w:r>
    </w:p>
    <w:p>
      <w:pPr>
        <w:spacing w:after="0" w:line="83" w:lineRule="exact"/>
        <w:rPr>
          <w:rFonts w:ascii="Arial" w:cs="Arial" w:eastAsia="Arial" w:hAnsi="Arial"/>
          <w:sz w:val="16"/>
          <w:szCs w:val="16"/>
          <w:color w:val="auto"/>
        </w:rPr>
      </w:pPr>
    </w:p>
    <w:p>
      <w:pPr>
        <w:ind w:left="620" w:right="740" w:hanging="302"/>
        <w:spacing w:after="0" w:line="231" w:lineRule="auto"/>
        <w:tabs>
          <w:tab w:leader="none" w:pos="6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preparedness to participate fully in Board activities, including active membership on at least one Board committee and attendance at, and active participation in, meetings of the Board and the committee(s) of which he or she is a member, and any other personal or professional commitments that would, in the Governance Committee’s sole judgment, interfere with or limit his or her ability to do so;</w:t>
      </w:r>
    </w:p>
    <w:p>
      <w:pPr>
        <w:spacing w:after="0" w:line="53" w:lineRule="exact"/>
        <w:rPr>
          <w:rFonts w:ascii="Arial" w:cs="Arial" w:eastAsia="Arial" w:hAnsi="Arial"/>
          <w:sz w:val="16"/>
          <w:szCs w:val="16"/>
          <w:color w:val="auto"/>
        </w:rPr>
      </w:pPr>
    </w:p>
    <w:p>
      <w:pPr>
        <w:ind w:left="620" w:right="840" w:hanging="302"/>
        <w:spacing w:after="0" w:line="246" w:lineRule="auto"/>
        <w:tabs>
          <w:tab w:leader="none" w:pos="616" w:val="left"/>
        </w:tabs>
        <w:numPr>
          <w:ilvl w:val="0"/>
          <w:numId w:val="49"/>
        </w:numPr>
        <w:rPr>
          <w:rFonts w:ascii="Arial" w:cs="Arial" w:eastAsia="Arial" w:hAnsi="Arial"/>
          <w:sz w:val="16"/>
          <w:szCs w:val="16"/>
          <w:color w:val="auto"/>
        </w:rPr>
      </w:pPr>
      <w:r>
        <w:rPr>
          <w:rFonts w:ascii="Arial" w:cs="Arial" w:eastAsia="Arial" w:hAnsi="Arial"/>
          <w:sz w:val="16"/>
          <w:szCs w:val="16"/>
          <w:color w:val="auto"/>
        </w:rPr>
        <w:t>willingness to apply for and ability to obtain and retain an appropriate U.S. Department of Defense or U.S. Department of Energy security clearance; and</w:t>
      </w:r>
    </w:p>
    <w:p>
      <w:pPr>
        <w:spacing w:after="0" w:line="36" w:lineRule="exact"/>
        <w:rPr>
          <w:rFonts w:ascii="Arial" w:cs="Arial" w:eastAsia="Arial" w:hAnsi="Arial"/>
          <w:sz w:val="16"/>
          <w:szCs w:val="16"/>
          <w:color w:val="auto"/>
        </w:rPr>
      </w:pPr>
    </w:p>
    <w:p>
      <w:pPr>
        <w:ind w:left="600" w:hanging="282"/>
        <w:spacing w:after="0"/>
        <w:tabs>
          <w:tab w:leader="none" w:pos="6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ability to contribute positively to the Board and any of its committees.</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The Board recognizes the benefits of a diverse board and requires any search for potential director candidates to consider diversity as to gender, ethnic</w:t>
      </w:r>
    </w:p>
    <w:p>
      <w:pPr>
        <w:spacing w:after="0" w:line="3" w:lineRule="exact"/>
        <w:rPr>
          <w:sz w:val="20"/>
          <w:szCs w:val="20"/>
          <w:color w:val="auto"/>
        </w:rPr>
      </w:pPr>
    </w:p>
    <w:p>
      <w:pPr>
        <w:ind w:left="20" w:right="520"/>
        <w:spacing w:after="0" w:line="233" w:lineRule="auto"/>
        <w:rPr>
          <w:sz w:val="20"/>
          <w:szCs w:val="20"/>
          <w:color w:val="auto"/>
        </w:rPr>
      </w:pPr>
      <w:r>
        <w:rPr>
          <w:rFonts w:ascii="Arial" w:cs="Arial" w:eastAsia="Arial" w:hAnsi="Arial"/>
          <w:sz w:val="16"/>
          <w:szCs w:val="16"/>
          <w:color w:val="auto"/>
        </w:rPr>
        <w:t>background, education, viewpoint and personal and professional experiences. Our Board includes three directors (33% of the Board) who are diverse by gender, race or ethnicity.</w:t>
      </w:r>
    </w:p>
    <w:p>
      <w:pPr>
        <w:spacing w:after="0" w:line="29" w:lineRule="exact"/>
        <w:rPr>
          <w:sz w:val="20"/>
          <w:szCs w:val="20"/>
          <w:color w:val="auto"/>
        </w:rPr>
      </w:pPr>
    </w:p>
    <w:p>
      <w:pPr>
        <w:ind w:left="20" w:right="500"/>
        <w:spacing w:after="0" w:line="224" w:lineRule="auto"/>
        <w:rPr>
          <w:sz w:val="20"/>
          <w:szCs w:val="20"/>
          <w:color w:val="auto"/>
        </w:rPr>
      </w:pPr>
      <w:r>
        <w:rPr>
          <w:rFonts w:ascii="Arial" w:cs="Arial" w:eastAsia="Arial" w:hAnsi="Arial"/>
          <w:sz w:val="16"/>
          <w:szCs w:val="16"/>
          <w:color w:val="auto"/>
        </w:rPr>
        <w:t>The Governance Committee solicits ideas for possible candidates from a number of sources — including members of the Board, our Chief Executive Officer and other senior level executive officers, individuals personally known to the members of the Board and independent director candidate search</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firms.</w:t>
      </w:r>
    </w:p>
    <w:p>
      <w:pPr>
        <w:spacing w:after="0" w:line="44" w:lineRule="exact"/>
        <w:rPr>
          <w:sz w:val="20"/>
          <w:szCs w:val="20"/>
          <w:color w:val="auto"/>
        </w:rPr>
      </w:pPr>
    </w:p>
    <w:p>
      <w:pPr>
        <w:jc w:val="both"/>
        <w:ind w:left="20" w:right="1060"/>
        <w:spacing w:after="0" w:line="231" w:lineRule="auto"/>
        <w:rPr>
          <w:sz w:val="20"/>
          <w:szCs w:val="20"/>
          <w:color w:val="auto"/>
        </w:rPr>
      </w:pPr>
      <w:r>
        <w:rPr>
          <w:rFonts w:ascii="Arial" w:cs="Arial" w:eastAsia="Arial" w:hAnsi="Arial"/>
          <w:sz w:val="16"/>
          <w:szCs w:val="16"/>
          <w:color w:val="auto"/>
        </w:rPr>
        <w:t xml:space="preserve">In addition, any stockholder may nominate one or more persons for election as one of our directors at an annual meeting of stockholders if the stockholder complies with the notice, information and consent provisions contained in our Bylaws. See “Stockholders’ Proposals” in this proxy statement and our Bylaws, which may be found on our website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at “Investors — Corporate Governance.”</w:t>
      </w:r>
    </w:p>
    <w:p>
      <w:pPr>
        <w:spacing w:after="0" w:line="29" w:lineRule="exact"/>
        <w:rPr>
          <w:sz w:val="20"/>
          <w:szCs w:val="20"/>
          <w:color w:val="auto"/>
        </w:rPr>
      </w:pPr>
    </w:p>
    <w:p>
      <w:pPr>
        <w:ind w:left="20" w:right="680"/>
        <w:spacing w:after="0" w:line="224" w:lineRule="auto"/>
        <w:rPr>
          <w:sz w:val="20"/>
          <w:szCs w:val="20"/>
          <w:color w:val="auto"/>
        </w:rPr>
      </w:pPr>
      <w:r>
        <w:rPr>
          <w:rFonts w:ascii="Arial" w:cs="Arial" w:eastAsia="Arial" w:hAnsi="Arial"/>
          <w:sz w:val="16"/>
          <w:szCs w:val="16"/>
          <w:color w:val="auto"/>
        </w:rPr>
        <w:t>The Governance Committee will evaluate properly identified candidates, including nominees recommended by stockholders. The Governance Committee also takes into account the contributions of incumbent directors as Board members and the benefits to us arising from the experience of</w:t>
      </w:r>
    </w:p>
    <w:p>
      <w:pPr>
        <w:spacing w:after="0" w:line="1" w:lineRule="exact"/>
        <w:rPr>
          <w:sz w:val="20"/>
          <w:szCs w:val="20"/>
          <w:color w:val="auto"/>
        </w:rPr>
      </w:pPr>
    </w:p>
    <w:p>
      <w:pPr>
        <w:ind w:left="20" w:right="380"/>
        <w:spacing w:after="0" w:line="233" w:lineRule="auto"/>
        <w:rPr>
          <w:sz w:val="20"/>
          <w:szCs w:val="20"/>
          <w:color w:val="auto"/>
        </w:rPr>
      </w:pPr>
      <w:r>
        <w:rPr>
          <w:rFonts w:ascii="Arial" w:cs="Arial" w:eastAsia="Arial" w:hAnsi="Arial"/>
          <w:sz w:val="16"/>
          <w:szCs w:val="16"/>
          <w:color w:val="auto"/>
        </w:rPr>
        <w:t>incumbent directors on the Board. Although the Governance Committee will consider candidates identified by stockholders, the Governance Committee has sole discretion whether to recommend those candidates to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9" w:name="page30"/>
    <w:bookmarkEnd w:id="29"/>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COMPENSATION OF DIRECTORS</w:t>
      </w:r>
    </w:p>
    <w:p>
      <w:pPr>
        <w:spacing w:after="0" w:line="153"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The table below summarizes the compensation earned by or paid to our non-employee directors only for services as a member of our Board for the year ending December 31, 2022. The Compensation Committee of our Board, in coordination with its Compensation Consultant, conducts an annual benchmarking analysis of our Board's non-employee director compensation in comparison to two comparator groups — our custom peer group used for executive compensation benchmarking and a general industry reference group of 100 companies, for which the Company is the median based on revenue. Directors who are also our employees do not receive any compensation for their service as directors. For information regarding the compensation of our Chief Executive Officer, our only employee director, see “Compensation of Executive Officers” on the following pages.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COMPENSATION TABLE FOR 2022</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shd w:val="clear" w:color="auto" w:fill="000000"/>
          </w:tcPr>
          <w:p>
            <w:pPr>
              <w:spacing w:after="0"/>
              <w:rPr>
                <w:sz w:val="14"/>
                <w:szCs w:val="14"/>
                <w:color w:val="auto"/>
              </w:rPr>
            </w:pPr>
          </w:p>
        </w:tc>
        <w:tc>
          <w:tcPr>
            <w:tcW w:w="1220" w:type="dxa"/>
            <w:vAlign w:val="bottom"/>
            <w:shd w:val="clear" w:color="auto" w:fill="000000"/>
          </w:tcPr>
          <w:p>
            <w:pPr>
              <w:spacing w:after="0"/>
              <w:rPr>
                <w:sz w:val="14"/>
                <w:szCs w:val="14"/>
                <w:color w:val="auto"/>
              </w:rPr>
            </w:pPr>
          </w:p>
        </w:tc>
        <w:tc>
          <w:tcPr>
            <w:tcW w:w="1400" w:type="dxa"/>
            <w:vAlign w:val="bottom"/>
            <w:shd w:val="clear" w:color="auto" w:fill="000000"/>
          </w:tcPr>
          <w:p>
            <w:pPr>
              <w:jc w:val="right"/>
              <w:ind w:right="382"/>
              <w:spacing w:after="0"/>
              <w:rPr>
                <w:sz w:val="20"/>
                <w:szCs w:val="20"/>
                <w:color w:val="auto"/>
              </w:rPr>
            </w:pPr>
            <w:r>
              <w:rPr>
                <w:rFonts w:ascii="Arial" w:cs="Arial" w:eastAsia="Arial" w:hAnsi="Arial"/>
                <w:sz w:val="13"/>
                <w:szCs w:val="13"/>
                <w:b w:val="1"/>
                <w:bCs w:val="1"/>
                <w:color w:val="FFFFFF"/>
                <w:w w:val="97"/>
              </w:rPr>
              <w:t>Fees Earned or</w:t>
            </w:r>
          </w:p>
        </w:tc>
        <w:tc>
          <w:tcPr>
            <w:tcW w:w="580" w:type="dxa"/>
            <w:vAlign w:val="bottom"/>
            <w:shd w:val="clear" w:color="auto" w:fill="000000"/>
          </w:tcPr>
          <w:p>
            <w:pPr>
              <w:spacing w:after="0"/>
              <w:rPr>
                <w:sz w:val="14"/>
                <w:szCs w:val="14"/>
                <w:color w:val="auto"/>
              </w:rPr>
            </w:pPr>
          </w:p>
        </w:tc>
        <w:tc>
          <w:tcPr>
            <w:tcW w:w="1280" w:type="dxa"/>
            <w:vAlign w:val="bottom"/>
            <w:shd w:val="clear" w:color="auto" w:fill="000000"/>
          </w:tcPr>
          <w:p>
            <w:pPr>
              <w:jc w:val="right"/>
              <w:ind w:right="622"/>
              <w:spacing w:after="0"/>
              <w:rPr>
                <w:sz w:val="20"/>
                <w:szCs w:val="20"/>
                <w:color w:val="auto"/>
              </w:rPr>
            </w:pPr>
            <w:r>
              <w:rPr>
                <w:rFonts w:ascii="Arial" w:cs="Arial" w:eastAsia="Arial" w:hAnsi="Arial"/>
                <w:sz w:val="13"/>
                <w:szCs w:val="13"/>
                <w:b w:val="1"/>
                <w:bCs w:val="1"/>
                <w:color w:val="FFFFFF"/>
              </w:rPr>
              <w:t>Stock</w:t>
            </w:r>
          </w:p>
        </w:tc>
        <w:tc>
          <w:tcPr>
            <w:tcW w:w="560" w:type="dxa"/>
            <w:vAlign w:val="bottom"/>
            <w:shd w:val="clear" w:color="auto" w:fill="000000"/>
          </w:tcPr>
          <w:p>
            <w:pPr>
              <w:spacing w:after="0"/>
              <w:rPr>
                <w:sz w:val="14"/>
                <w:szCs w:val="14"/>
                <w:color w:val="auto"/>
              </w:rPr>
            </w:pPr>
          </w:p>
        </w:tc>
        <w:tc>
          <w:tcPr>
            <w:tcW w:w="1180" w:type="dxa"/>
            <w:vAlign w:val="bottom"/>
            <w:shd w:val="clear" w:color="auto" w:fill="000000"/>
          </w:tcPr>
          <w:p>
            <w:pPr>
              <w:ind w:left="40"/>
              <w:spacing w:after="0"/>
              <w:rPr>
                <w:sz w:val="20"/>
                <w:szCs w:val="20"/>
                <w:color w:val="auto"/>
              </w:rPr>
            </w:pPr>
            <w:r>
              <w:rPr>
                <w:rFonts w:ascii="Arial" w:cs="Arial" w:eastAsia="Arial" w:hAnsi="Arial"/>
                <w:sz w:val="13"/>
                <w:szCs w:val="13"/>
                <w:b w:val="1"/>
                <w:bCs w:val="1"/>
                <w:color w:val="FFFFFF"/>
              </w:rPr>
              <w:t>All Other</w:t>
            </w:r>
          </w:p>
        </w:tc>
        <w:tc>
          <w:tcPr>
            <w:tcW w:w="580" w:type="dxa"/>
            <w:vAlign w:val="bottom"/>
            <w:shd w:val="clear" w:color="auto" w:fill="000000"/>
          </w:tcPr>
          <w:p>
            <w:pPr>
              <w:spacing w:after="0"/>
              <w:rPr>
                <w:sz w:val="14"/>
                <w:szCs w:val="14"/>
                <w:color w:val="auto"/>
              </w:rPr>
            </w:pPr>
          </w:p>
        </w:tc>
        <w:tc>
          <w:tcPr>
            <w:tcW w:w="1280" w:type="dxa"/>
            <w:vAlign w:val="bottom"/>
            <w:shd w:val="clear" w:color="auto" w:fill="000000"/>
          </w:tcPr>
          <w:p>
            <w:pPr>
              <w:spacing w:after="0"/>
              <w:rPr>
                <w:sz w:val="14"/>
                <w:szCs w:val="14"/>
                <w:color w:val="auto"/>
              </w:rPr>
            </w:pPr>
          </w:p>
        </w:tc>
      </w:tr>
      <w:tr>
        <w:trPr>
          <w:trHeight w:val="194"/>
        </w:trPr>
        <w:tc>
          <w:tcPr>
            <w:tcW w:w="31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Name of Non-Employee Director</w:t>
            </w:r>
          </w:p>
        </w:tc>
        <w:tc>
          <w:tcPr>
            <w:tcW w:w="1220" w:type="dxa"/>
            <w:vAlign w:val="bottom"/>
            <w:shd w:val="clear" w:color="auto" w:fill="000000"/>
          </w:tcPr>
          <w:p>
            <w:pPr>
              <w:spacing w:after="0"/>
              <w:rPr>
                <w:sz w:val="16"/>
                <w:szCs w:val="16"/>
                <w:color w:val="auto"/>
              </w:rPr>
            </w:pPr>
          </w:p>
        </w:tc>
        <w:tc>
          <w:tcPr>
            <w:tcW w:w="1400" w:type="dxa"/>
            <w:vAlign w:val="bottom"/>
            <w:shd w:val="clear" w:color="auto" w:fill="000000"/>
          </w:tcPr>
          <w:p>
            <w:pPr>
              <w:jc w:val="right"/>
              <w:ind w:right="402"/>
              <w:spacing w:after="0"/>
              <w:rPr>
                <w:sz w:val="20"/>
                <w:szCs w:val="20"/>
                <w:color w:val="auto"/>
              </w:rPr>
            </w:pPr>
            <w:r>
              <w:rPr>
                <w:rFonts w:ascii="Arial" w:cs="Arial" w:eastAsia="Arial" w:hAnsi="Arial"/>
                <w:sz w:val="13"/>
                <w:szCs w:val="13"/>
                <w:b w:val="1"/>
                <w:bCs w:val="1"/>
                <w:color w:val="FFFFFF"/>
                <w:w w:val="95"/>
              </w:rPr>
              <w:t xml:space="preserve">Paid in Cash </w:t>
            </w:r>
            <w:r>
              <w:rPr>
                <w:rFonts w:ascii="Arial" w:cs="Arial" w:eastAsia="Arial" w:hAnsi="Arial"/>
                <w:sz w:val="16"/>
                <w:szCs w:val="16"/>
                <w:b w:val="1"/>
                <w:bCs w:val="1"/>
                <w:color w:val="FFFFFF"/>
                <w:w w:val="95"/>
                <w:vertAlign w:val="superscript"/>
              </w:rPr>
              <w:t>(1)</w:t>
            </w:r>
          </w:p>
        </w:tc>
        <w:tc>
          <w:tcPr>
            <w:tcW w:w="580" w:type="dxa"/>
            <w:vAlign w:val="bottom"/>
            <w:shd w:val="clear" w:color="auto" w:fill="000000"/>
          </w:tcPr>
          <w:p>
            <w:pPr>
              <w:spacing w:after="0"/>
              <w:rPr>
                <w:sz w:val="16"/>
                <w:szCs w:val="16"/>
                <w:color w:val="auto"/>
              </w:rPr>
            </w:pPr>
          </w:p>
        </w:tc>
        <w:tc>
          <w:tcPr>
            <w:tcW w:w="1280" w:type="dxa"/>
            <w:vAlign w:val="bottom"/>
            <w:shd w:val="clear" w:color="auto" w:fill="000000"/>
          </w:tcPr>
          <w:p>
            <w:pPr>
              <w:jc w:val="right"/>
              <w:ind w:right="502"/>
              <w:spacing w:after="0"/>
              <w:rPr>
                <w:sz w:val="20"/>
                <w:szCs w:val="20"/>
                <w:color w:val="auto"/>
              </w:rPr>
            </w:pPr>
            <w:r>
              <w:rPr>
                <w:rFonts w:ascii="Arial" w:cs="Arial" w:eastAsia="Arial" w:hAnsi="Arial"/>
                <w:sz w:val="13"/>
                <w:szCs w:val="13"/>
                <w:b w:val="1"/>
                <w:bCs w:val="1"/>
                <w:color w:val="FFFFFF"/>
              </w:rPr>
              <w:t xml:space="preserve">Awards </w:t>
            </w:r>
            <w:r>
              <w:rPr>
                <w:rFonts w:ascii="Arial" w:cs="Arial" w:eastAsia="Arial" w:hAnsi="Arial"/>
                <w:sz w:val="16"/>
                <w:szCs w:val="16"/>
                <w:b w:val="1"/>
                <w:bCs w:val="1"/>
                <w:color w:val="FFFFFF"/>
                <w:vertAlign w:val="superscript"/>
              </w:rPr>
              <w:t>(2)</w:t>
            </w:r>
          </w:p>
        </w:tc>
        <w:tc>
          <w:tcPr>
            <w:tcW w:w="1740" w:type="dxa"/>
            <w:vAlign w:val="bottom"/>
            <w:gridSpan w:val="2"/>
            <w:shd w:val="clear" w:color="auto" w:fill="000000"/>
          </w:tcPr>
          <w:p>
            <w:pPr>
              <w:ind w:left="360"/>
              <w:spacing w:after="0"/>
              <w:rPr>
                <w:sz w:val="20"/>
                <w:szCs w:val="20"/>
                <w:color w:val="auto"/>
              </w:rPr>
            </w:pPr>
            <w:r>
              <w:rPr>
                <w:rFonts w:ascii="Arial" w:cs="Arial" w:eastAsia="Arial" w:hAnsi="Arial"/>
                <w:sz w:val="13"/>
                <w:szCs w:val="13"/>
                <w:b w:val="1"/>
                <w:bCs w:val="1"/>
                <w:color w:val="FFFFFF"/>
              </w:rPr>
              <w:t xml:space="preserve">Compensation </w:t>
            </w:r>
            <w:r>
              <w:rPr>
                <w:rFonts w:ascii="Arial" w:cs="Arial" w:eastAsia="Arial" w:hAnsi="Arial"/>
                <w:sz w:val="16"/>
                <w:szCs w:val="16"/>
                <w:b w:val="1"/>
                <w:bCs w:val="1"/>
                <w:color w:val="FFFFFF"/>
                <w:vertAlign w:val="superscript"/>
              </w:rPr>
              <w:t>(3)</w:t>
            </w:r>
          </w:p>
        </w:tc>
        <w:tc>
          <w:tcPr>
            <w:tcW w:w="580" w:type="dxa"/>
            <w:vAlign w:val="bottom"/>
            <w:shd w:val="clear" w:color="auto" w:fill="000000"/>
          </w:tcPr>
          <w:p>
            <w:pPr>
              <w:spacing w:after="0"/>
              <w:rPr>
                <w:sz w:val="16"/>
                <w:szCs w:val="16"/>
                <w:color w:val="auto"/>
              </w:rPr>
            </w:pPr>
          </w:p>
        </w:tc>
        <w:tc>
          <w:tcPr>
            <w:tcW w:w="1280" w:type="dxa"/>
            <w:vAlign w:val="bottom"/>
            <w:shd w:val="clear" w:color="auto" w:fill="000000"/>
          </w:tcPr>
          <w:p>
            <w:pPr>
              <w:jc w:val="right"/>
              <w:ind w:right="721"/>
              <w:spacing w:after="0"/>
              <w:rPr>
                <w:sz w:val="20"/>
                <w:szCs w:val="20"/>
                <w:color w:val="auto"/>
              </w:rPr>
            </w:pPr>
            <w:r>
              <w:rPr>
                <w:rFonts w:ascii="Arial" w:cs="Arial" w:eastAsia="Arial" w:hAnsi="Arial"/>
                <w:sz w:val="13"/>
                <w:szCs w:val="13"/>
                <w:b w:val="1"/>
                <w:bCs w:val="1"/>
                <w:color w:val="FFFFFF"/>
              </w:rPr>
              <w:t>Total</w:t>
            </w:r>
          </w:p>
        </w:tc>
      </w:tr>
      <w:tr>
        <w:trPr>
          <w:trHeight w:val="202"/>
        </w:trPr>
        <w:tc>
          <w:tcPr>
            <w:tcW w:w="3100" w:type="dxa"/>
            <w:vAlign w:val="bottom"/>
          </w:tcPr>
          <w:p>
            <w:pPr>
              <w:ind w:left="20"/>
              <w:spacing w:after="0"/>
              <w:rPr>
                <w:sz w:val="20"/>
                <w:szCs w:val="20"/>
                <w:color w:val="auto"/>
              </w:rPr>
            </w:pPr>
            <w:r>
              <w:rPr>
                <w:rFonts w:ascii="Arial" w:cs="Arial" w:eastAsia="Arial" w:hAnsi="Arial"/>
                <w:sz w:val="16"/>
                <w:szCs w:val="16"/>
                <w:color w:val="auto"/>
              </w:rPr>
              <w:t>Jan A. Bertsch</w:t>
            </w: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171,250</w:t>
            </w:r>
          </w:p>
        </w:tc>
        <w:tc>
          <w:tcPr>
            <w:tcW w:w="5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301,221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Gerhard F. Burbach</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105,000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234,971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James A. Jaska</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105,000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234,971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Kenneth J. Krieg</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96,250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226,221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Leland D. Melvin</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90,000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219,971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Robert L. Nardelli</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90,000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219,971</w:t>
            </w:r>
          </w:p>
        </w:tc>
      </w:tr>
      <w:tr>
        <w:trPr>
          <w:trHeight w:val="207"/>
        </w:trPr>
        <w:tc>
          <w:tcPr>
            <w:tcW w:w="3100" w:type="dxa"/>
            <w:vAlign w:val="bottom"/>
          </w:tcPr>
          <w:p>
            <w:pPr>
              <w:ind w:left="20"/>
              <w:spacing w:after="0"/>
              <w:rPr>
                <w:sz w:val="20"/>
                <w:szCs w:val="20"/>
                <w:color w:val="auto"/>
              </w:rPr>
            </w:pPr>
            <w:r>
              <w:rPr>
                <w:rFonts w:ascii="Arial" w:cs="Arial" w:eastAsia="Arial" w:hAnsi="Arial"/>
                <w:sz w:val="16"/>
                <w:szCs w:val="16"/>
                <w:color w:val="auto"/>
              </w:rPr>
              <w:t>Barbara A. Niland</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113,750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243,721</w:t>
            </w:r>
          </w:p>
        </w:tc>
      </w:tr>
      <w:tr>
        <w:trPr>
          <w:trHeight w:val="215"/>
        </w:trPr>
        <w:tc>
          <w:tcPr>
            <w:tcW w:w="3100" w:type="dxa"/>
            <w:vAlign w:val="bottom"/>
          </w:tcPr>
          <w:p>
            <w:pPr>
              <w:ind w:left="20"/>
              <w:spacing w:after="0"/>
              <w:rPr>
                <w:sz w:val="20"/>
                <w:szCs w:val="20"/>
                <w:color w:val="auto"/>
              </w:rPr>
            </w:pPr>
            <w:r>
              <w:rPr>
                <w:rFonts w:ascii="Arial" w:cs="Arial" w:eastAsia="Arial" w:hAnsi="Arial"/>
                <w:sz w:val="16"/>
                <w:szCs w:val="16"/>
                <w:color w:val="auto"/>
              </w:rPr>
              <w:t>John M. Richardson</w:t>
            </w:r>
          </w:p>
        </w:tc>
        <w:tc>
          <w:tcPr>
            <w:tcW w:w="1220" w:type="dxa"/>
            <w:vAlign w:val="bottom"/>
          </w:tcPr>
          <w:p>
            <w:pPr>
              <w:spacing w:after="0"/>
              <w:rPr>
                <w:sz w:val="18"/>
                <w:szCs w:val="18"/>
                <w:color w:val="auto"/>
              </w:rPr>
            </w:pPr>
          </w:p>
        </w:tc>
        <w:tc>
          <w:tcPr>
            <w:tcW w:w="1400" w:type="dxa"/>
            <w:vAlign w:val="bottom"/>
          </w:tcPr>
          <w:p>
            <w:pPr>
              <w:jc w:val="right"/>
              <w:ind w:right="322"/>
              <w:spacing w:after="0"/>
              <w:rPr>
                <w:sz w:val="20"/>
                <w:szCs w:val="20"/>
                <w:color w:val="auto"/>
              </w:rPr>
            </w:pPr>
            <w:r>
              <w:rPr>
                <w:rFonts w:ascii="Arial" w:cs="Arial" w:eastAsia="Arial" w:hAnsi="Arial"/>
                <w:sz w:val="16"/>
                <w:szCs w:val="16"/>
                <w:color w:val="auto"/>
              </w:rPr>
              <w:t>90,000</w:t>
            </w:r>
          </w:p>
        </w:tc>
        <w:tc>
          <w:tcPr>
            <w:tcW w:w="580" w:type="dxa"/>
            <w:vAlign w:val="bottom"/>
          </w:tcPr>
          <w:p>
            <w:pPr>
              <w:spacing w:after="0"/>
              <w:rPr>
                <w:sz w:val="18"/>
                <w:szCs w:val="18"/>
                <w:color w:val="auto"/>
              </w:rPr>
            </w:pPr>
          </w:p>
        </w:tc>
        <w:tc>
          <w:tcPr>
            <w:tcW w:w="1280" w:type="dxa"/>
            <w:vAlign w:val="bottom"/>
          </w:tcPr>
          <w:p>
            <w:pPr>
              <w:jc w:val="right"/>
              <w:ind w:right="282"/>
              <w:spacing w:after="0"/>
              <w:rPr>
                <w:sz w:val="20"/>
                <w:szCs w:val="20"/>
                <w:color w:val="auto"/>
              </w:rPr>
            </w:pPr>
            <w:r>
              <w:rPr>
                <w:rFonts w:ascii="Arial" w:cs="Arial" w:eastAsia="Arial" w:hAnsi="Arial"/>
                <w:sz w:val="16"/>
                <w:szCs w:val="16"/>
                <w:color w:val="auto"/>
              </w:rPr>
              <w:t>129,971</w:t>
            </w:r>
          </w:p>
        </w:tc>
        <w:tc>
          <w:tcPr>
            <w:tcW w:w="560" w:type="dxa"/>
            <w:vAlign w:val="bottom"/>
          </w:tcPr>
          <w:p>
            <w:pPr>
              <w:spacing w:after="0"/>
              <w:rPr>
                <w:sz w:val="18"/>
                <w:szCs w:val="18"/>
                <w:color w:val="auto"/>
              </w:rPr>
            </w:pPr>
          </w:p>
        </w:tc>
        <w:tc>
          <w:tcPr>
            <w:tcW w:w="1180" w:type="dxa"/>
            <w:vAlign w:val="bottom"/>
          </w:tcPr>
          <w:p>
            <w:pPr>
              <w:ind w:left="560"/>
              <w:spacing w:after="0"/>
              <w:rPr>
                <w:sz w:val="20"/>
                <w:szCs w:val="20"/>
                <w:color w:val="auto"/>
              </w:rPr>
            </w:pPr>
            <w:r>
              <w:rPr>
                <w:rFonts w:ascii="Arial" w:cs="Arial" w:eastAsia="Arial" w:hAnsi="Arial"/>
                <w:sz w:val="16"/>
                <w:szCs w:val="16"/>
                <w:color w:val="auto"/>
              </w:rPr>
              <w:t>—</w:t>
            </w:r>
          </w:p>
        </w:tc>
        <w:tc>
          <w:tcPr>
            <w:tcW w:w="580" w:type="dxa"/>
            <w:vAlign w:val="bottom"/>
          </w:tcPr>
          <w:p>
            <w:pPr>
              <w:spacing w:after="0"/>
              <w:rPr>
                <w:sz w:val="18"/>
                <w:szCs w:val="18"/>
                <w:color w:val="auto"/>
              </w:rPr>
            </w:pPr>
          </w:p>
        </w:tc>
        <w:tc>
          <w:tcPr>
            <w:tcW w:w="1280" w:type="dxa"/>
            <w:vAlign w:val="bottom"/>
          </w:tcPr>
          <w:p>
            <w:pPr>
              <w:jc w:val="right"/>
              <w:ind w:right="341"/>
              <w:spacing w:after="0"/>
              <w:rPr>
                <w:sz w:val="20"/>
                <w:szCs w:val="20"/>
                <w:color w:val="auto"/>
              </w:rPr>
            </w:pPr>
            <w:r>
              <w:rPr>
                <w:rFonts w:ascii="Arial" w:cs="Arial" w:eastAsia="Arial" w:hAnsi="Arial"/>
                <w:sz w:val="16"/>
                <w:szCs w:val="16"/>
                <w:color w:val="auto"/>
              </w:rPr>
              <w:t>219,971</w:t>
            </w:r>
          </w:p>
        </w:tc>
      </w:tr>
    </w:tbl>
    <w:p>
      <w:pPr>
        <w:spacing w:after="0" w:line="172" w:lineRule="exact"/>
        <w:rPr>
          <w:sz w:val="20"/>
          <w:szCs w:val="20"/>
          <w:color w:val="auto"/>
        </w:rPr>
      </w:pPr>
    </w:p>
    <w:p>
      <w:pPr>
        <w:ind w:left="380" w:hanging="273"/>
        <w:spacing w:after="0"/>
        <w:tabs>
          <w:tab w:leader="none" w:pos="3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See “Fees Earned or Paid in Cash” below for a discussion of the amounts reported in this column.</w:t>
      </w:r>
    </w:p>
    <w:p>
      <w:pPr>
        <w:spacing w:after="0" w:line="20" w:lineRule="exact"/>
        <w:rPr>
          <w:rFonts w:ascii="Arial" w:cs="Arial" w:eastAsia="Arial" w:hAnsi="Arial"/>
          <w:sz w:val="13"/>
          <w:szCs w:val="13"/>
          <w:i w:val="1"/>
          <w:iCs w:val="1"/>
          <w:color w:val="auto"/>
        </w:rPr>
      </w:pPr>
    </w:p>
    <w:p>
      <w:pPr>
        <w:ind w:left="380" w:hanging="273"/>
        <w:spacing w:after="0" w:line="234" w:lineRule="auto"/>
        <w:tabs>
          <w:tab w:leader="none" w:pos="3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See “Stock Awards” below for a discussion of the amounts reported in this column.</w:t>
      </w:r>
    </w:p>
    <w:p>
      <w:pPr>
        <w:ind w:left="380" w:hanging="273"/>
        <w:spacing w:after="0"/>
        <w:tabs>
          <w:tab w:leader="none" w:pos="380" w:val="left"/>
        </w:tabs>
        <w:numPr>
          <w:ilvl w:val="0"/>
          <w:numId w:val="50"/>
        </w:numPr>
        <w:rPr>
          <w:rFonts w:ascii="Arial" w:cs="Arial" w:eastAsia="Arial" w:hAnsi="Arial"/>
          <w:sz w:val="13"/>
          <w:szCs w:val="13"/>
          <w:i w:val="1"/>
          <w:iCs w:val="1"/>
          <w:color w:val="auto"/>
        </w:rPr>
      </w:pPr>
      <w:r>
        <w:rPr>
          <w:rFonts w:ascii="Arial" w:cs="Arial" w:eastAsia="Arial" w:hAnsi="Arial"/>
          <w:sz w:val="13"/>
          <w:szCs w:val="13"/>
          <w:i w:val="1"/>
          <w:iCs w:val="1"/>
          <w:color w:val="auto"/>
        </w:rPr>
        <w:t>See “All Other Compensation” below for a discussion of the amounts that may be reported in this column.</w:t>
      </w:r>
    </w:p>
    <w:p>
      <w:pPr>
        <w:spacing w:after="0" w:line="73" w:lineRule="exact"/>
        <w:rPr>
          <w:sz w:val="20"/>
          <w:szCs w:val="20"/>
          <w:color w:val="auto"/>
        </w:rPr>
      </w:pPr>
    </w:p>
    <w:p>
      <w:pPr>
        <w:ind w:right="440"/>
        <w:spacing w:after="0" w:line="281" w:lineRule="auto"/>
        <w:rPr>
          <w:sz w:val="20"/>
          <w:szCs w:val="20"/>
          <w:color w:val="auto"/>
        </w:rPr>
      </w:pPr>
      <w:r>
        <w:rPr>
          <w:rFonts w:ascii="Arial" w:cs="Arial" w:eastAsia="Arial" w:hAnsi="Arial"/>
          <w:sz w:val="16"/>
          <w:szCs w:val="16"/>
          <w:color w:val="auto"/>
        </w:rPr>
        <w:t>During 2022, non-employee director compensation generally consisted of cash and equity. The compensation of our non-employee directors under our current non-employee director compensation program is described in more detail below.</w:t>
      </w:r>
    </w:p>
    <w:tbl>
      <w:tblPr>
        <w:tblLayout w:type="fixed"/>
        <w:tblInd w:w="0" w:type="dxa"/>
        <w:tblCellMar>
          <w:top w:w="0" w:type="dxa"/>
          <w:left w:w="0" w:type="dxa"/>
          <w:bottom w:w="0" w:type="dxa"/>
          <w:right w:w="0" w:type="dxa"/>
        </w:tblCellMar>
      </w:tblPr>
      <w:tr>
        <w:trPr>
          <w:trHeight w:val="207"/>
        </w:trPr>
        <w:tc>
          <w:tcPr>
            <w:tcW w:w="73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Annual Director Compensation (All amounts in cash, except stock award)</w:t>
            </w:r>
          </w:p>
        </w:tc>
        <w:tc>
          <w:tcPr>
            <w:tcW w:w="2980" w:type="dxa"/>
            <w:vAlign w:val="bottom"/>
            <w:shd w:val="clear" w:color="auto" w:fill="000000"/>
          </w:tcPr>
          <w:p>
            <w:pPr>
              <w:spacing w:after="0"/>
              <w:rPr>
                <w:sz w:val="18"/>
                <w:szCs w:val="18"/>
                <w:color w:val="auto"/>
              </w:rPr>
            </w:pPr>
          </w:p>
        </w:tc>
        <w:tc>
          <w:tcPr>
            <w:tcW w:w="940" w:type="dxa"/>
            <w:vAlign w:val="bottom"/>
            <w:shd w:val="clear" w:color="auto" w:fill="000000"/>
          </w:tcPr>
          <w:p>
            <w:pPr>
              <w:jc w:val="right"/>
              <w:ind w:right="261"/>
              <w:spacing w:after="0"/>
              <w:rPr>
                <w:sz w:val="20"/>
                <w:szCs w:val="20"/>
                <w:color w:val="auto"/>
              </w:rPr>
            </w:pPr>
            <w:r>
              <w:rPr>
                <w:rFonts w:ascii="Arial" w:cs="Arial" w:eastAsia="Arial" w:hAnsi="Arial"/>
                <w:sz w:val="13"/>
                <w:szCs w:val="13"/>
                <w:b w:val="1"/>
                <w:bCs w:val="1"/>
                <w:color w:val="FFFFFF"/>
              </w:rPr>
              <w:t>Amount</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Retainer for Non-Employee Directors</w:t>
            </w:r>
          </w:p>
        </w:tc>
        <w:tc>
          <w:tcPr>
            <w:tcW w:w="2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90,000</w:t>
            </w:r>
          </w:p>
        </w:tc>
      </w:tr>
      <w:tr>
        <w:trPr>
          <w:trHeight w:val="207"/>
        </w:trPr>
        <w:tc>
          <w:tcPr>
            <w:tcW w:w="7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Stock Award for Non-Employee Directors</w:t>
            </w:r>
          </w:p>
        </w:tc>
        <w:tc>
          <w:tcPr>
            <w:tcW w:w="29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130,000</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Independent Board Chair</w:t>
            </w:r>
          </w:p>
        </w:tc>
        <w:tc>
          <w:tcPr>
            <w:tcW w:w="2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100,000</w:t>
            </w:r>
          </w:p>
        </w:tc>
      </w:tr>
      <w:tr>
        <w:trPr>
          <w:trHeight w:val="207"/>
        </w:trPr>
        <w:tc>
          <w:tcPr>
            <w:tcW w:w="7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Lead Independent Director (if appointed)</w:t>
            </w:r>
          </w:p>
        </w:tc>
        <w:tc>
          <w:tcPr>
            <w:tcW w:w="29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25,000</w:t>
            </w:r>
          </w:p>
        </w:tc>
      </w:tr>
      <w:tr>
        <w:trPr>
          <w:trHeight w:val="207"/>
        </w:trPr>
        <w:tc>
          <w:tcPr>
            <w:tcW w:w="7300" w:type="dxa"/>
            <w:vAlign w:val="bottom"/>
          </w:tcPr>
          <w:p>
            <w:pPr>
              <w:ind w:left="20"/>
              <w:spacing w:after="0"/>
              <w:rPr>
                <w:sz w:val="20"/>
                <w:szCs w:val="20"/>
                <w:color w:val="auto"/>
              </w:rPr>
            </w:pPr>
            <w:r>
              <w:rPr>
                <w:rFonts w:ascii="Arial" w:cs="Arial" w:eastAsia="Arial" w:hAnsi="Arial"/>
                <w:sz w:val="16"/>
                <w:szCs w:val="16"/>
                <w:color w:val="auto"/>
              </w:rPr>
              <w:t>Chair of the Audit and Finance Committee</w:t>
            </w:r>
          </w:p>
        </w:tc>
        <w:tc>
          <w:tcPr>
            <w:tcW w:w="2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25,000</w:t>
            </w:r>
          </w:p>
        </w:tc>
      </w:tr>
      <w:tr>
        <w:trPr>
          <w:trHeight w:val="207"/>
        </w:trPr>
        <w:tc>
          <w:tcPr>
            <w:tcW w:w="7300" w:type="dxa"/>
            <w:vAlign w:val="bottom"/>
            <w:shd w:val="clear" w:color="auto" w:fill="DBDBDB"/>
          </w:tcPr>
          <w:p>
            <w:pPr>
              <w:ind w:left="20"/>
              <w:spacing w:after="0"/>
              <w:rPr>
                <w:sz w:val="20"/>
                <w:szCs w:val="20"/>
                <w:color w:val="auto"/>
              </w:rPr>
            </w:pPr>
            <w:r>
              <w:rPr>
                <w:rFonts w:ascii="Arial" w:cs="Arial" w:eastAsia="Arial" w:hAnsi="Arial"/>
                <w:sz w:val="16"/>
                <w:szCs w:val="16"/>
                <w:color w:val="auto"/>
              </w:rPr>
              <w:t>Chair of the Compensation Committee</w:t>
            </w:r>
          </w:p>
        </w:tc>
        <w:tc>
          <w:tcPr>
            <w:tcW w:w="2980" w:type="dxa"/>
            <w:vAlign w:val="bottom"/>
            <w:shd w:val="clear" w:color="auto" w:fill="DBDBDB"/>
          </w:tcPr>
          <w:p>
            <w:pPr>
              <w:spacing w:after="0"/>
              <w:rPr>
                <w:sz w:val="18"/>
                <w:szCs w:val="18"/>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6"/>
                <w:szCs w:val="16"/>
                <w:color w:val="auto"/>
              </w:rPr>
              <w:t>20,000</w:t>
            </w:r>
          </w:p>
        </w:tc>
      </w:tr>
      <w:tr>
        <w:trPr>
          <w:trHeight w:val="215"/>
        </w:trPr>
        <w:tc>
          <w:tcPr>
            <w:tcW w:w="7300" w:type="dxa"/>
            <w:vAlign w:val="bottom"/>
          </w:tcPr>
          <w:p>
            <w:pPr>
              <w:ind w:left="20"/>
              <w:spacing w:after="0"/>
              <w:rPr>
                <w:sz w:val="20"/>
                <w:szCs w:val="20"/>
                <w:color w:val="auto"/>
              </w:rPr>
            </w:pPr>
            <w:r>
              <w:rPr>
                <w:rFonts w:ascii="Arial" w:cs="Arial" w:eastAsia="Arial" w:hAnsi="Arial"/>
                <w:sz w:val="16"/>
                <w:szCs w:val="16"/>
                <w:color w:val="auto"/>
              </w:rPr>
              <w:t>Chair of the Governance Committee</w:t>
            </w:r>
          </w:p>
        </w:tc>
        <w:tc>
          <w:tcPr>
            <w:tcW w:w="29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15,000</w:t>
            </w:r>
          </w:p>
        </w:tc>
      </w:tr>
    </w:tbl>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Fees Earned or Paid in Cash</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our current director compensation program, non-employee directors are eligible to receive the above annual retainer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paid in quarterly installments (pro-rated for partial terms). Under our Supplemental Executive Retirement Plan (as amended and restated, “SERP”), directors may elect to defer the payment of up to 100% of their annual retainer and fees. Amounts elected to be deferred are credited as a bookkeeping entry into a notional account, which we refer to as a deferral account. The balance of a director’s deferral account consists of deferral contributions made by the director and hypothetical credited gains or losses attributable to investments elected by the director, or by our Compensation Committee if the director fails to make investment elections. Directors are 100% vested in their deferral accounts at all times. Ms. Bertsch and Messrs. Jaska, Krieg, Melvin and Nardelli elected to defer 100% of their cash retainer in 2022. No other directors made a deferral election with respect to their cash retainer in 2022. Amounts reported in the Director Compensation Table include amounts deferred in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18 </w:t>
      </w:r>
      <w:r>
        <w:rPr>
          <w:sz w:val="1"/>
          <w:szCs w:val="1"/>
          <w:color w:val="auto"/>
        </w:rPr>
        <w:drawing>
          <wp:inline distT="0" distB="0" distL="0" distR="0">
            <wp:extent cx="401955" cy="1625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30" w:name="page31"/>
    <w:bookmarkEnd w:id="30"/>
    <w:p>
      <w:pPr>
        <w:ind w:left="78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160"/>
        <w:spacing w:after="0"/>
        <w:rPr>
          <w:sz w:val="20"/>
          <w:szCs w:val="20"/>
          <w:color w:val="auto"/>
        </w:rPr>
      </w:pPr>
      <w:r>
        <w:rPr>
          <w:rFonts w:ascii="Arial" w:cs="Arial" w:eastAsia="Arial" w:hAnsi="Arial"/>
          <w:sz w:val="13"/>
          <w:szCs w:val="13"/>
          <w:color w:val="auto"/>
        </w:rPr>
        <w:t>COMPENSATION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60"/>
        <w:spacing w:after="0" w:line="264" w:lineRule="auto"/>
        <w:rPr>
          <w:sz w:val="20"/>
          <w:szCs w:val="20"/>
          <w:color w:val="auto"/>
        </w:rPr>
      </w:pPr>
      <w:r>
        <w:rPr>
          <w:rFonts w:ascii="Arial" w:cs="Arial" w:eastAsia="Arial" w:hAnsi="Arial"/>
          <w:sz w:val="16"/>
          <w:szCs w:val="16"/>
          <w:b w:val="1"/>
          <w:bCs w:val="1"/>
          <w:i w:val="1"/>
          <w:iCs w:val="1"/>
          <w:color w:val="auto"/>
        </w:rPr>
        <w:t>Stock Awards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addition to the cash payments provided to our directors, each non-employee director was entitled to receive a number of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units equal to $130,000 (prorated by quarter for partial terms) divided by the closing price of our common stock on the grant date, rounded down to the nearest whole share. The awards of restricted stock units were granted under our 2020 Plan and vested immediately on the date of grant. Directors are required to retain shares equivalent to five times (5x) the annual cash retainer pursuant to our stock ownership requirements. As a result, all of our non-employee directors own equity in the Company.</w:t>
      </w:r>
    </w:p>
    <w:p>
      <w:pPr>
        <w:spacing w:after="0" w:line="35"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color w:val="auto"/>
        </w:rPr>
        <w:t>The amounts reported in the “Stock Awards” column represent the grant date fair value computed in accordance with FASB ASC Topic 718. Grant date fair values are determined using the closing price of our common stock on the date of grant. Each non-employee director received an annual equity grant of 2,561 restricted stock units on May 3, 2022 with a grant date fair value of $129,971 based on the closing price of our common stock of $50.75 per share. There were no unvested stock awards or unexercised option awards (whether or not exercisable) held by the non-employee directors as of December 31, 2022. No option awards were granted to directors in 2022.</w:t>
      </w:r>
    </w:p>
    <w:p>
      <w:pPr>
        <w:spacing w:after="0" w:line="48" w:lineRule="exact"/>
        <w:rPr>
          <w:sz w:val="20"/>
          <w:szCs w:val="20"/>
          <w:color w:val="auto"/>
        </w:rPr>
      </w:pPr>
    </w:p>
    <w:p>
      <w:pPr>
        <w:jc w:val="both"/>
        <w:ind w:right="400"/>
        <w:spacing w:after="0" w:line="274" w:lineRule="auto"/>
        <w:rPr>
          <w:sz w:val="20"/>
          <w:szCs w:val="20"/>
          <w:color w:val="auto"/>
        </w:rPr>
      </w:pPr>
      <w:r>
        <w:rPr>
          <w:rFonts w:ascii="Arial" w:cs="Arial" w:eastAsia="Arial" w:hAnsi="Arial"/>
          <w:sz w:val="16"/>
          <w:szCs w:val="16"/>
          <w:color w:val="auto"/>
        </w:rPr>
        <w:t>Under our Incentive Plan, directors may elect to defer payment of all or a portion of their stock awards. Ms. Bertsch and Messrs. Burbach, Jaska, Krieg, Nardelli, Melvin and Richardson each elected to defer 100% of their 2022 stock awards. No other directors made a deferral election with respect to their stock awards in 2022. Amounts reported in the Director Compensation Table include amounts deferred in 2022.</w:t>
      </w:r>
    </w:p>
    <w:p>
      <w:pPr>
        <w:spacing w:after="0" w:line="113" w:lineRule="exact"/>
        <w:rPr>
          <w:sz w:val="20"/>
          <w:szCs w:val="20"/>
          <w:color w:val="auto"/>
        </w:rPr>
      </w:pPr>
    </w:p>
    <w:p>
      <w:pPr>
        <w:ind w:right="220"/>
        <w:spacing w:after="0" w:line="262" w:lineRule="auto"/>
        <w:rPr>
          <w:sz w:val="20"/>
          <w:szCs w:val="20"/>
          <w:color w:val="auto"/>
        </w:rPr>
      </w:pPr>
      <w:r>
        <w:rPr>
          <w:rFonts w:ascii="Arial" w:cs="Arial" w:eastAsia="Arial" w:hAnsi="Arial"/>
          <w:sz w:val="16"/>
          <w:szCs w:val="16"/>
          <w:b w:val="1"/>
          <w:bCs w:val="1"/>
          <w:i w:val="1"/>
          <w:iCs w:val="1"/>
          <w:color w:val="auto"/>
        </w:rPr>
        <w:t>All Other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have a travel and reimbursement policy pursuant to which we reimburse directors for travel and other expenses incurred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with business of the Board. The presence of a director’s spouse may be appropriate or necessary at certain meetings, conferences or other business-related functions. In those cases, pursuant to our policy, we pay the travel, meals and other expenses of the director’s spouse incurred while attending such functions. Pursuant to our reimbursement policy, to the extent the expenses of a spouse are imputed to the director as income, we will also reimburse the director for the taxes resulting from any such imputed income. In 2022, there were no incremental costs to the Company to provide reimbursement for spousal travel, meals, activities and other expenses under our policy.</w:t>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1" w:name="page32"/>
    <w:bookmarkEnd w:id="31"/>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PROPOSAL 2: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NAMED EXECUTIVE PROFILES</w:t>
      </w:r>
    </w:p>
    <w:p>
      <w:pPr>
        <w:spacing w:after="0" w:line="5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color w:val="auto"/>
        </w:rPr>
        <w:t>The following profiles provide summary information regarding the experience of our named executive officers (our “Named Executives”), including our Chief Executive Officer, Chief Financial Officer and three other most highly compensated executive officers who were employed by BWXT as of December 31, 2022. The Named Executive profiles provide professional experience, tenure with the Company and age as of the Annual Meeting.</w:t>
      </w:r>
    </w:p>
    <w:p>
      <w:pPr>
        <w:spacing w:after="0" w:line="93" w:lineRule="exact"/>
        <w:rPr>
          <w:sz w:val="20"/>
          <w:szCs w:val="20"/>
          <w:color w:val="auto"/>
        </w:rPr>
      </w:pPr>
    </w:p>
    <w:tbl>
      <w:tblPr>
        <w:tblLayout w:type="fixed"/>
        <w:tblInd w:w="120" w:type="dxa"/>
        <w:tblCellMar>
          <w:top w:w="0" w:type="dxa"/>
          <w:left w:w="0" w:type="dxa"/>
          <w:bottom w:w="0" w:type="dxa"/>
          <w:right w:w="0" w:type="dxa"/>
        </w:tblCellMar>
      </w:tblPr>
      <w:tr>
        <w:trPr>
          <w:trHeight w:val="256"/>
        </w:trPr>
        <w:tc>
          <w:tcPr>
            <w:tcW w:w="2420" w:type="dxa"/>
            <w:vAlign w:val="bottom"/>
          </w:tcPr>
          <w:p>
            <w:pPr>
              <w:spacing w:after="0"/>
              <w:rPr>
                <w:sz w:val="22"/>
                <w:szCs w:val="22"/>
                <w:color w:val="auto"/>
              </w:rPr>
            </w:pPr>
          </w:p>
        </w:tc>
        <w:tc>
          <w:tcPr>
            <w:tcW w:w="6160" w:type="dxa"/>
            <w:vAlign w:val="bottom"/>
            <w:tcBorders>
              <w:left w:val="single" w:sz="8" w:color="auto"/>
            </w:tcBorders>
            <w:gridSpan w:val="2"/>
            <w:shd w:val="clear" w:color="auto" w:fill="000000"/>
          </w:tcPr>
          <w:p>
            <w:pPr>
              <w:ind w:left="40"/>
              <w:spacing w:after="0"/>
              <w:rPr>
                <w:sz w:val="20"/>
                <w:szCs w:val="20"/>
                <w:color w:val="auto"/>
              </w:rPr>
            </w:pPr>
            <w:r>
              <w:rPr>
                <w:rFonts w:ascii="Arial" w:cs="Arial" w:eastAsia="Arial" w:hAnsi="Arial"/>
                <w:sz w:val="15"/>
                <w:szCs w:val="15"/>
                <w:b w:val="1"/>
                <w:bCs w:val="1"/>
                <w:color w:val="FFFFFF"/>
              </w:rPr>
              <w:t>Professional Experience</w:t>
            </w:r>
          </w:p>
        </w:tc>
        <w:tc>
          <w:tcPr>
            <w:tcW w:w="2480" w:type="dxa"/>
            <w:vAlign w:val="bottom"/>
            <w:shd w:val="clear" w:color="auto" w:fill="000000"/>
          </w:tcPr>
          <w:p>
            <w:pPr>
              <w:ind w:left="800"/>
              <w:spacing w:after="0"/>
              <w:rPr>
                <w:sz w:val="20"/>
                <w:szCs w:val="20"/>
                <w:color w:val="auto"/>
              </w:rPr>
            </w:pPr>
            <w:r>
              <w:rPr>
                <w:rFonts w:ascii="Arial" w:cs="Arial" w:eastAsia="Arial" w:hAnsi="Arial"/>
                <w:sz w:val="13"/>
                <w:szCs w:val="13"/>
                <w:b w:val="1"/>
                <w:bCs w:val="1"/>
                <w:color w:val="FFFFFF"/>
                <w:w w:val="99"/>
              </w:rPr>
              <w:t>Tenure with BWXT: 8 years</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2420" w:type="dxa"/>
            <w:vAlign w:val="bottom"/>
          </w:tcPr>
          <w:p>
            <w:pPr>
              <w:spacing w:after="0"/>
              <w:rPr>
                <w:sz w:val="15"/>
                <w:szCs w:val="15"/>
                <w:color w:val="auto"/>
              </w:rPr>
            </w:pPr>
          </w:p>
        </w:tc>
        <w:tc>
          <w:tcPr>
            <w:tcW w:w="60" w:type="dxa"/>
            <w:vAlign w:val="bottom"/>
            <w:tcBorders>
              <w:left w:val="single" w:sz="8" w:color="auto"/>
            </w:tcBorders>
          </w:tcPr>
          <w:p>
            <w:pPr>
              <w:ind w:left="20"/>
              <w:spacing w:after="0"/>
              <w:rPr>
                <w:sz w:val="20"/>
                <w:szCs w:val="20"/>
                <w:color w:val="auto"/>
              </w:rPr>
            </w:pPr>
            <w:r>
              <w:rPr>
                <w:rFonts w:ascii="Arial" w:cs="Arial" w:eastAsia="Arial" w:hAnsi="Arial"/>
                <w:sz w:val="6"/>
                <w:szCs w:val="6"/>
                <w:color w:val="auto"/>
                <w:w w:val="92"/>
              </w:rPr>
              <w:t>•</w:t>
            </w:r>
          </w:p>
        </w:tc>
        <w:tc>
          <w:tcPr>
            <w:tcW w:w="8620" w:type="dxa"/>
            <w:vAlign w:val="bottom"/>
            <w:gridSpan w:val="3"/>
          </w:tcPr>
          <w:p>
            <w:pPr>
              <w:ind w:left="240"/>
              <w:spacing w:after="0"/>
              <w:rPr>
                <w:sz w:val="20"/>
                <w:szCs w:val="20"/>
                <w:color w:val="auto"/>
              </w:rPr>
            </w:pPr>
            <w:r>
              <w:rPr>
                <w:rFonts w:ascii="Arial" w:cs="Arial" w:eastAsia="Arial" w:hAnsi="Arial"/>
                <w:sz w:val="13"/>
                <w:szCs w:val="13"/>
                <w:color w:val="auto"/>
              </w:rPr>
              <w:t>Mr. Geveden, age 62, has served as President and Chief Executive Officer since January 2017, and served as our Chief Operating Officer from</w:t>
            </w: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6100" w:type="dxa"/>
            <w:vAlign w:val="bottom"/>
          </w:tcPr>
          <w:p>
            <w:pPr>
              <w:ind w:left="260"/>
              <w:spacing w:after="0"/>
              <w:rPr>
                <w:sz w:val="20"/>
                <w:szCs w:val="20"/>
                <w:color w:val="auto"/>
              </w:rPr>
            </w:pPr>
            <w:r>
              <w:rPr>
                <w:rFonts w:ascii="Arial" w:cs="Arial" w:eastAsia="Arial" w:hAnsi="Arial"/>
                <w:sz w:val="13"/>
                <w:szCs w:val="13"/>
                <w:color w:val="auto"/>
              </w:rPr>
              <w:t>October 2015 until December 2016.</w:t>
            </w: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60" w:type="dxa"/>
            <w:vAlign w:val="bottom"/>
            <w:tcBorders>
              <w:left w:val="single" w:sz="8" w:color="auto"/>
            </w:tcBorders>
          </w:tcPr>
          <w:p>
            <w:pPr>
              <w:ind w:left="20"/>
              <w:spacing w:after="0"/>
              <w:rPr>
                <w:sz w:val="20"/>
                <w:szCs w:val="20"/>
                <w:color w:val="auto"/>
              </w:rPr>
            </w:pPr>
            <w:r>
              <w:rPr>
                <w:rFonts w:ascii="Arial" w:cs="Arial" w:eastAsia="Arial" w:hAnsi="Arial"/>
                <w:sz w:val="6"/>
                <w:szCs w:val="6"/>
                <w:color w:val="auto"/>
                <w:w w:val="92"/>
              </w:rPr>
              <w:t>•</w:t>
            </w:r>
          </w:p>
        </w:tc>
        <w:tc>
          <w:tcPr>
            <w:tcW w:w="8620" w:type="dxa"/>
            <w:vAlign w:val="bottom"/>
            <w:gridSpan w:val="3"/>
          </w:tcPr>
          <w:p>
            <w:pPr>
              <w:ind w:left="240"/>
              <w:spacing w:after="0" w:line="134" w:lineRule="exact"/>
              <w:rPr>
                <w:sz w:val="20"/>
                <w:szCs w:val="20"/>
                <w:color w:val="auto"/>
              </w:rPr>
            </w:pPr>
            <w:r>
              <w:rPr>
                <w:rFonts w:ascii="Arial" w:cs="Arial" w:eastAsia="Arial" w:hAnsi="Arial"/>
                <w:sz w:val="13"/>
                <w:szCs w:val="13"/>
                <w:color w:val="auto"/>
              </w:rPr>
              <w:t>Previously, Mr. Geveden was Executive Vice President at Teledyne Technologies Incorporated ("Teledyne"), a provider of electronic subsystems</w:t>
            </w:r>
          </w:p>
        </w:tc>
        <w:tc>
          <w:tcPr>
            <w:tcW w:w="0" w:type="dxa"/>
            <w:vAlign w:val="bottom"/>
          </w:tcPr>
          <w:p>
            <w:pPr>
              <w:spacing w:after="0"/>
              <w:rPr>
                <w:sz w:val="1"/>
                <w:szCs w:val="1"/>
                <w:color w:val="auto"/>
              </w:rPr>
            </w:pPr>
          </w:p>
        </w:tc>
      </w:tr>
      <w:tr>
        <w:trPr>
          <w:trHeight w:val="129"/>
        </w:trPr>
        <w:tc>
          <w:tcPr>
            <w:tcW w:w="2420" w:type="dxa"/>
            <w:vAlign w:val="bottom"/>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8620" w:type="dxa"/>
            <w:vAlign w:val="bottom"/>
            <w:gridSpan w:val="3"/>
          </w:tcPr>
          <w:p>
            <w:pPr>
              <w:ind w:left="260"/>
              <w:spacing w:after="0" w:line="129" w:lineRule="exact"/>
              <w:rPr>
                <w:sz w:val="20"/>
                <w:szCs w:val="20"/>
                <w:color w:val="auto"/>
              </w:rPr>
            </w:pPr>
            <w:r>
              <w:rPr>
                <w:rFonts w:ascii="Arial" w:cs="Arial" w:eastAsia="Arial" w:hAnsi="Arial"/>
                <w:sz w:val="13"/>
                <w:szCs w:val="13"/>
                <w:color w:val="auto"/>
              </w:rPr>
              <w:t>and instrumentation for aerospace, defense and other uses. There he led two of Teledyne's four operating segments since 2013, and</w:t>
            </w:r>
          </w:p>
        </w:tc>
        <w:tc>
          <w:tcPr>
            <w:tcW w:w="0" w:type="dxa"/>
            <w:vAlign w:val="bottom"/>
          </w:tcPr>
          <w:p>
            <w:pPr>
              <w:spacing w:after="0"/>
              <w:rPr>
                <w:sz w:val="1"/>
                <w:szCs w:val="1"/>
                <w:color w:val="auto"/>
              </w:rPr>
            </w:pPr>
          </w:p>
        </w:tc>
      </w:tr>
      <w:tr>
        <w:trPr>
          <w:trHeight w:val="126"/>
        </w:trPr>
        <w:tc>
          <w:tcPr>
            <w:tcW w:w="2420" w:type="dxa"/>
            <w:vAlign w:val="bottom"/>
          </w:tcPr>
          <w:p>
            <w:pPr>
              <w:spacing w:after="0"/>
              <w:rPr>
                <w:sz w:val="10"/>
                <w:szCs w:val="10"/>
                <w:color w:val="auto"/>
              </w:rPr>
            </w:pPr>
          </w:p>
        </w:tc>
        <w:tc>
          <w:tcPr>
            <w:tcW w:w="60" w:type="dxa"/>
            <w:vAlign w:val="bottom"/>
            <w:tcBorders>
              <w:left w:val="single" w:sz="8" w:color="auto"/>
            </w:tcBorders>
          </w:tcPr>
          <w:p>
            <w:pPr>
              <w:spacing w:after="0"/>
              <w:rPr>
                <w:sz w:val="10"/>
                <w:szCs w:val="10"/>
                <w:color w:val="auto"/>
              </w:rPr>
            </w:pPr>
          </w:p>
        </w:tc>
        <w:tc>
          <w:tcPr>
            <w:tcW w:w="8620" w:type="dxa"/>
            <w:vAlign w:val="bottom"/>
            <w:gridSpan w:val="3"/>
          </w:tcPr>
          <w:p>
            <w:pPr>
              <w:ind w:left="260"/>
              <w:spacing w:after="0" w:line="126" w:lineRule="exact"/>
              <w:rPr>
                <w:sz w:val="20"/>
                <w:szCs w:val="20"/>
                <w:color w:val="auto"/>
              </w:rPr>
            </w:pPr>
            <w:r>
              <w:rPr>
                <w:rFonts w:ascii="Arial" w:cs="Arial" w:eastAsia="Arial" w:hAnsi="Arial"/>
                <w:sz w:val="13"/>
                <w:szCs w:val="13"/>
                <w:color w:val="auto"/>
              </w:rPr>
              <w:t>concurrently served as President of Teledyne DALSA, Inc., a Teledyne subsidiary, since 2014. Mr. Geveden also served as President and Chief</w:t>
            </w: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60" w:type="dxa"/>
            <w:vAlign w:val="bottom"/>
            <w:tcBorders>
              <w:left w:val="single" w:sz="8" w:color="auto"/>
            </w:tcBorders>
          </w:tcPr>
          <w:p>
            <w:pPr>
              <w:spacing w:after="0"/>
              <w:rPr>
                <w:sz w:val="11"/>
                <w:szCs w:val="11"/>
                <w:color w:val="auto"/>
              </w:rPr>
            </w:pPr>
          </w:p>
        </w:tc>
        <w:tc>
          <w:tcPr>
            <w:tcW w:w="8620" w:type="dxa"/>
            <w:vAlign w:val="bottom"/>
            <w:gridSpan w:val="3"/>
          </w:tcPr>
          <w:p>
            <w:pPr>
              <w:ind w:left="260"/>
              <w:spacing w:after="0" w:line="134" w:lineRule="exact"/>
              <w:rPr>
                <w:sz w:val="20"/>
                <w:szCs w:val="20"/>
                <w:color w:val="auto"/>
              </w:rPr>
            </w:pPr>
            <w:r>
              <w:rPr>
                <w:rFonts w:ascii="Arial" w:cs="Arial" w:eastAsia="Arial" w:hAnsi="Arial"/>
                <w:sz w:val="13"/>
                <w:szCs w:val="13"/>
                <w:color w:val="auto"/>
              </w:rPr>
              <w:t>Executive Officer of Teledyne Scientific and Imaging, LLC (2011 to 2013) and President of both Teledyne Brown Engineering, Inc. and</w:t>
            </w: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6100" w:type="dxa"/>
            <w:vAlign w:val="bottom"/>
          </w:tcPr>
          <w:p>
            <w:pPr>
              <w:ind w:left="260"/>
              <w:spacing w:after="0"/>
              <w:rPr>
                <w:sz w:val="20"/>
                <w:szCs w:val="20"/>
                <w:color w:val="auto"/>
              </w:rPr>
            </w:pPr>
            <w:r>
              <w:rPr>
                <w:rFonts w:ascii="Arial" w:cs="Arial" w:eastAsia="Arial" w:hAnsi="Arial"/>
                <w:sz w:val="13"/>
                <w:szCs w:val="13"/>
                <w:color w:val="auto"/>
              </w:rPr>
              <w:t>Teledyne's Engineered Systems Segment (2007 to 2011).</w:t>
            </w: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20" w:type="dxa"/>
            <w:vAlign w:val="bottom"/>
          </w:tcPr>
          <w:p>
            <w:pPr>
              <w:spacing w:after="0"/>
              <w:rPr>
                <w:sz w:val="11"/>
                <w:szCs w:val="11"/>
                <w:color w:val="auto"/>
              </w:rPr>
            </w:pPr>
          </w:p>
        </w:tc>
        <w:tc>
          <w:tcPr>
            <w:tcW w:w="60" w:type="dxa"/>
            <w:vAlign w:val="bottom"/>
            <w:tcBorders>
              <w:left w:val="single" w:sz="8" w:color="auto"/>
            </w:tcBorders>
          </w:tcPr>
          <w:p>
            <w:pPr>
              <w:ind w:left="20"/>
              <w:spacing w:after="0"/>
              <w:rPr>
                <w:sz w:val="20"/>
                <w:szCs w:val="20"/>
                <w:color w:val="auto"/>
              </w:rPr>
            </w:pPr>
            <w:r>
              <w:rPr>
                <w:rFonts w:ascii="Arial" w:cs="Arial" w:eastAsia="Arial" w:hAnsi="Arial"/>
                <w:sz w:val="6"/>
                <w:szCs w:val="6"/>
                <w:color w:val="auto"/>
                <w:w w:val="92"/>
              </w:rPr>
              <w:t>•</w:t>
            </w:r>
          </w:p>
        </w:tc>
        <w:tc>
          <w:tcPr>
            <w:tcW w:w="8620" w:type="dxa"/>
            <w:vAlign w:val="bottom"/>
            <w:gridSpan w:val="3"/>
          </w:tcPr>
          <w:p>
            <w:pPr>
              <w:ind w:left="240"/>
              <w:spacing w:after="0" w:line="134" w:lineRule="exact"/>
              <w:rPr>
                <w:sz w:val="20"/>
                <w:szCs w:val="20"/>
                <w:color w:val="auto"/>
              </w:rPr>
            </w:pPr>
            <w:r>
              <w:rPr>
                <w:rFonts w:ascii="Arial" w:cs="Arial" w:eastAsia="Arial" w:hAnsi="Arial"/>
                <w:sz w:val="13"/>
                <w:szCs w:val="13"/>
                <w:color w:val="auto"/>
              </w:rPr>
              <w:t>Mr. Geveden is a former Associate Administrator of NASA, where he was responsible for all technical operations within the agency's $16 billion</w:t>
            </w: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60" w:type="dxa"/>
            <w:vAlign w:val="bottom"/>
            <w:tcBorders>
              <w:left w:val="single" w:sz="8" w:color="auto"/>
            </w:tcBorders>
          </w:tcPr>
          <w:p>
            <w:pPr>
              <w:spacing w:after="0"/>
              <w:rPr>
                <w:sz w:val="13"/>
                <w:szCs w:val="13"/>
                <w:color w:val="auto"/>
              </w:rPr>
            </w:pPr>
          </w:p>
        </w:tc>
        <w:tc>
          <w:tcPr>
            <w:tcW w:w="6100" w:type="dxa"/>
            <w:vAlign w:val="bottom"/>
          </w:tcPr>
          <w:p>
            <w:pPr>
              <w:ind w:left="260"/>
              <w:spacing w:after="0"/>
              <w:rPr>
                <w:sz w:val="20"/>
                <w:szCs w:val="20"/>
                <w:color w:val="auto"/>
              </w:rPr>
            </w:pPr>
            <w:r>
              <w:rPr>
                <w:rFonts w:ascii="Arial" w:cs="Arial" w:eastAsia="Arial" w:hAnsi="Arial"/>
                <w:sz w:val="13"/>
                <w:szCs w:val="13"/>
                <w:color w:val="auto"/>
              </w:rPr>
              <w:t>portfolio and served in various other positions with NASA in a career spanning 17 years.</w:t>
            </w:r>
          </w:p>
        </w:tc>
        <w:tc>
          <w:tcPr>
            <w:tcW w:w="2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420" w:type="dxa"/>
            <w:vAlign w:val="bottom"/>
            <w:vMerge w:val="restart"/>
          </w:tcPr>
          <w:p>
            <w:pPr>
              <w:spacing w:after="0"/>
              <w:rPr>
                <w:sz w:val="20"/>
                <w:szCs w:val="20"/>
                <w:color w:val="auto"/>
              </w:rPr>
            </w:pPr>
            <w:r>
              <w:rPr>
                <w:rFonts w:ascii="Arial" w:cs="Arial" w:eastAsia="Arial" w:hAnsi="Arial"/>
                <w:sz w:val="13"/>
                <w:szCs w:val="13"/>
                <w:b w:val="1"/>
                <w:bCs w:val="1"/>
                <w:color w:val="auto"/>
              </w:rPr>
              <w:t>Rex D. Geveden</w:t>
            </w:r>
          </w:p>
        </w:tc>
        <w:tc>
          <w:tcPr>
            <w:tcW w:w="60" w:type="dxa"/>
            <w:vAlign w:val="bottom"/>
            <w:tcBorders>
              <w:left w:val="single" w:sz="8" w:color="auto"/>
            </w:tcBorders>
          </w:tcPr>
          <w:p>
            <w:pPr>
              <w:ind w:left="20"/>
              <w:spacing w:after="0"/>
              <w:rPr>
                <w:sz w:val="20"/>
                <w:szCs w:val="20"/>
                <w:color w:val="auto"/>
              </w:rPr>
            </w:pPr>
            <w:r>
              <w:rPr>
                <w:rFonts w:ascii="Arial" w:cs="Arial" w:eastAsia="Arial" w:hAnsi="Arial"/>
                <w:sz w:val="6"/>
                <w:szCs w:val="6"/>
                <w:color w:val="auto"/>
                <w:w w:val="92"/>
              </w:rPr>
              <w:t>•</w:t>
            </w:r>
          </w:p>
        </w:tc>
        <w:tc>
          <w:tcPr>
            <w:tcW w:w="6100" w:type="dxa"/>
            <w:vAlign w:val="bottom"/>
          </w:tcPr>
          <w:p>
            <w:pPr>
              <w:ind w:left="240"/>
              <w:spacing w:after="0" w:line="142" w:lineRule="exact"/>
              <w:rPr>
                <w:sz w:val="20"/>
                <w:szCs w:val="20"/>
                <w:color w:val="auto"/>
              </w:rPr>
            </w:pPr>
            <w:r>
              <w:rPr>
                <w:rFonts w:ascii="Arial" w:cs="Arial" w:eastAsia="Arial" w:hAnsi="Arial"/>
                <w:sz w:val="13"/>
                <w:szCs w:val="13"/>
                <w:color w:val="auto"/>
              </w:rPr>
              <w:t>He received his bachelor and masters degrees in physics from Murray State University.</w:t>
            </w:r>
          </w:p>
        </w:tc>
        <w:tc>
          <w:tcPr>
            <w:tcW w:w="2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420" w:type="dxa"/>
            <w:vAlign w:val="bottom"/>
            <w:vMerge w:val="continue"/>
          </w:tcPr>
          <w:p>
            <w:pPr>
              <w:spacing w:after="0"/>
              <w:rPr>
                <w:sz w:val="15"/>
                <w:szCs w:val="15"/>
                <w:color w:val="auto"/>
              </w:rPr>
            </w:pPr>
          </w:p>
        </w:tc>
        <w:tc>
          <w:tcPr>
            <w:tcW w:w="60" w:type="dxa"/>
            <w:vAlign w:val="bottom"/>
          </w:tcPr>
          <w:p>
            <w:pPr>
              <w:ind w:left="20"/>
              <w:spacing w:after="0"/>
              <w:rPr>
                <w:sz w:val="20"/>
                <w:szCs w:val="20"/>
                <w:color w:val="auto"/>
              </w:rPr>
            </w:pPr>
            <w:r>
              <w:rPr>
                <w:rFonts w:ascii="Arial" w:cs="Arial" w:eastAsia="Arial" w:hAnsi="Arial"/>
                <w:sz w:val="6"/>
                <w:szCs w:val="6"/>
                <w:color w:val="auto"/>
                <w:w w:val="92"/>
              </w:rPr>
              <w:t>•</w:t>
            </w:r>
          </w:p>
        </w:tc>
        <w:tc>
          <w:tcPr>
            <w:tcW w:w="6100" w:type="dxa"/>
            <w:vAlign w:val="bottom"/>
          </w:tcPr>
          <w:p>
            <w:pPr>
              <w:ind w:left="240"/>
              <w:spacing w:after="0"/>
              <w:rPr>
                <w:sz w:val="20"/>
                <w:szCs w:val="20"/>
                <w:color w:val="auto"/>
              </w:rPr>
            </w:pPr>
            <w:r>
              <w:rPr>
                <w:rFonts w:ascii="Arial" w:cs="Arial" w:eastAsia="Arial" w:hAnsi="Arial"/>
                <w:sz w:val="13"/>
                <w:szCs w:val="13"/>
                <w:color w:val="auto"/>
              </w:rPr>
              <w:t>Mr. Geveden chairs the board of directors of TTM Technologies, Inc.</w:t>
            </w: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420" w:type="dxa"/>
            <w:vAlign w:val="bottom"/>
          </w:tcPr>
          <w:p>
            <w:pPr>
              <w:spacing w:after="0" w:line="129" w:lineRule="exact"/>
              <w:rPr>
                <w:sz w:val="20"/>
                <w:szCs w:val="20"/>
                <w:color w:val="auto"/>
              </w:rPr>
            </w:pPr>
            <w:r>
              <w:rPr>
                <w:rFonts w:ascii="Arial" w:cs="Arial" w:eastAsia="Arial" w:hAnsi="Arial"/>
                <w:sz w:val="13"/>
                <w:szCs w:val="13"/>
                <w:b w:val="1"/>
                <w:bCs w:val="1"/>
                <w:color w:val="auto"/>
              </w:rPr>
              <w:t>President, Chief Executive Officer and</w:t>
            </w:r>
          </w:p>
        </w:tc>
        <w:tc>
          <w:tcPr>
            <w:tcW w:w="6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7"/>
        </w:trPr>
        <w:tc>
          <w:tcPr>
            <w:tcW w:w="2420" w:type="dxa"/>
            <w:vAlign w:val="bottom"/>
          </w:tcPr>
          <w:p>
            <w:pPr>
              <w:spacing w:after="0"/>
              <w:rPr>
                <w:sz w:val="20"/>
                <w:szCs w:val="20"/>
                <w:color w:val="auto"/>
              </w:rPr>
            </w:pPr>
            <w:r>
              <w:rPr>
                <w:rFonts w:ascii="Arial" w:cs="Arial" w:eastAsia="Arial" w:hAnsi="Arial"/>
                <w:sz w:val="13"/>
                <w:szCs w:val="13"/>
                <w:b w:val="1"/>
                <w:bCs w:val="1"/>
                <w:color w:val="auto"/>
              </w:rPr>
              <w:t>Director</w:t>
            </w:r>
          </w:p>
        </w:tc>
        <w:tc>
          <w:tcPr>
            <w:tcW w:w="6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2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10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Professional Experience</w:t>
            </w:r>
          </w:p>
        </w:tc>
        <w:tc>
          <w:tcPr>
            <w:tcW w:w="2520" w:type="dxa"/>
            <w:vAlign w:val="bottom"/>
            <w:gridSpan w:val="2"/>
            <w:shd w:val="clear" w:color="auto" w:fill="000000"/>
          </w:tcPr>
          <w:p>
            <w:pPr>
              <w:ind w:left="840"/>
              <w:spacing w:after="0"/>
              <w:rPr>
                <w:sz w:val="20"/>
                <w:szCs w:val="20"/>
                <w:color w:val="auto"/>
              </w:rPr>
            </w:pPr>
            <w:r>
              <w:rPr>
                <w:rFonts w:ascii="Arial" w:cs="Arial" w:eastAsia="Arial" w:hAnsi="Arial"/>
                <w:sz w:val="13"/>
                <w:szCs w:val="13"/>
                <w:b w:val="1"/>
                <w:bCs w:val="1"/>
                <w:color w:val="FFFFFF"/>
                <w:w w:val="99"/>
              </w:rPr>
              <w:t>Tenure with BWXT: 3 years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299720</wp:posOffset>
            </wp:positionH>
            <wp:positionV relativeFrom="paragraph">
              <wp:posOffset>-1831975</wp:posOffset>
            </wp:positionV>
            <wp:extent cx="1021080" cy="102108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-161925</wp:posOffset>
            </wp:positionV>
            <wp:extent cx="1330325" cy="108267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30325" cy="1082675"/>
                    </a:xfrm>
                    <a:prstGeom prst="rect">
                      <a:avLst/>
                    </a:prstGeom>
                    <a:noFill/>
                  </pic:spPr>
                </pic:pic>
              </a:graphicData>
            </a:graphic>
          </wp:anchor>
        </w:drawing>
      </w:r>
    </w:p>
    <w:p>
      <w:pPr>
        <w:spacing w:after="0" w:line="21" w:lineRule="exact"/>
        <w:rPr>
          <w:sz w:val="20"/>
          <w:szCs w:val="20"/>
          <w:color w:val="auto"/>
        </w:rPr>
      </w:pPr>
    </w:p>
    <w:p>
      <w:pPr>
        <w:ind w:left="2900" w:right="40" w:hanging="298"/>
        <w:spacing w:after="0" w:line="228" w:lineRule="auto"/>
        <w:tabs>
          <w:tab w:leader="none" w:pos="2897"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LeMasters, age 45, has served as our Senior Vice President and Chief Financial Officer since November 2021. Prior to that, he served as is our Senior Vice President and Chief Strategy Officer since July 2020. Mr. LeMasters served on the Company’s Board of Directors from July 2015 to April 2020.</w:t>
      </w:r>
    </w:p>
    <w:p>
      <w:pPr>
        <w:ind w:left="2900" w:right="80" w:hanging="298"/>
        <w:spacing w:after="0" w:line="218" w:lineRule="auto"/>
        <w:tabs>
          <w:tab w:leader="none" w:pos="2897" w:val="left"/>
        </w:tabs>
        <w:numPr>
          <w:ilvl w:val="0"/>
          <w:numId w:val="51"/>
        </w:numPr>
        <w:rPr>
          <w:rFonts w:ascii="Arial" w:cs="Arial" w:eastAsia="Arial" w:hAnsi="Arial"/>
          <w:sz w:val="13"/>
          <w:szCs w:val="13"/>
          <w:color w:val="auto"/>
        </w:rPr>
      </w:pPr>
      <w:r>
        <w:rPr>
          <w:rFonts w:ascii="Arial" w:cs="Arial" w:eastAsia="Arial" w:hAnsi="Arial"/>
          <w:sz w:val="13"/>
          <w:szCs w:val="13"/>
          <w:color w:val="auto"/>
        </w:rPr>
        <w:t>Prior to joining BWXT, Mr. LeMasters was a Managing Director at Blue Harbour, L.P., a multi-billion dollar investment firm, a position he held since 2011. Prior to joining Blue Harbour Group, he was a Founding Partner of Theleme Partners from 2009 to September 2011. He also served as a Partner at The Children’s Investment Fund (TCI) from 2008 to 2009 and a Vice President in the Relative Value/Event-Driven Group at Highbridge Capital Management from 2005 to 2008. Mr. LeMasters began his career as an analyst at Morgan Stanley &amp; Co. in the Mergers and Acquisitions Group and subsequently joined Forstmann Little &amp; Co. as an analyst.</w:t>
      </w:r>
    </w:p>
    <w:p>
      <w:pPr>
        <w:spacing w:after="0" w:line="3" w:lineRule="exact"/>
        <w:rPr>
          <w:rFonts w:ascii="Arial" w:cs="Arial" w:eastAsia="Arial" w:hAnsi="Arial"/>
          <w:sz w:val="13"/>
          <w:szCs w:val="13"/>
          <w:color w:val="auto"/>
        </w:rPr>
      </w:pPr>
    </w:p>
    <w:p>
      <w:pPr>
        <w:ind w:left="2900" w:right="320" w:hanging="298"/>
        <w:spacing w:after="0" w:line="235" w:lineRule="auto"/>
        <w:tabs>
          <w:tab w:leader="none" w:pos="2897" w:val="left"/>
        </w:tabs>
        <w:numPr>
          <w:ilvl w:val="0"/>
          <w:numId w:val="51"/>
        </w:numPr>
        <w:rPr>
          <w:rFonts w:ascii="Arial" w:cs="Arial" w:eastAsia="Arial" w:hAnsi="Arial"/>
          <w:sz w:val="13"/>
          <w:szCs w:val="13"/>
          <w:color w:val="auto"/>
        </w:rPr>
      </w:pPr>
      <w:r>
        <w:rPr>
          <w:rFonts w:ascii="Arial" w:cs="Arial" w:eastAsia="Arial" w:hAnsi="Arial"/>
          <w:sz w:val="13"/>
          <w:szCs w:val="13"/>
          <w:color w:val="auto"/>
        </w:rPr>
        <w:t>Mr. LeMasters earned a bachelor of science from the University of Pennsylvania and a masters of business administration from the Harvard Business School.</w:t>
      </w:r>
    </w:p>
    <w:p>
      <w:pPr>
        <w:spacing w:after="0" w:line="8"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Robb A. LeMasters</w:t>
      </w:r>
    </w:p>
    <w:p>
      <w:pPr>
        <w:ind w:left="160"/>
        <w:spacing w:after="0" w:line="195" w:lineRule="auto"/>
        <w:rPr>
          <w:sz w:val="20"/>
          <w:szCs w:val="20"/>
          <w:color w:val="auto"/>
        </w:rPr>
      </w:pPr>
      <w:r>
        <w:rPr>
          <w:rFonts w:ascii="Arial" w:cs="Arial" w:eastAsia="Arial" w:hAnsi="Arial"/>
          <w:sz w:val="13"/>
          <w:szCs w:val="13"/>
          <w:b w:val="1"/>
          <w:bCs w:val="1"/>
          <w:color w:val="auto"/>
        </w:rPr>
        <w:t>Senior Vice President and Chief</w:t>
      </w:r>
    </w:p>
    <w:p>
      <w:pPr>
        <w:ind w:left="160"/>
        <w:spacing w:after="0"/>
        <w:rPr>
          <w:sz w:val="20"/>
          <w:szCs w:val="20"/>
          <w:color w:val="auto"/>
        </w:rPr>
      </w:pPr>
      <w:r>
        <w:rPr>
          <w:rFonts w:ascii="Arial" w:cs="Arial" w:eastAsia="Arial" w:hAnsi="Arial"/>
          <w:sz w:val="13"/>
          <w:szCs w:val="13"/>
          <w:b w:val="1"/>
          <w:bCs w:val="1"/>
          <w:color w:val="auto"/>
        </w:rPr>
        <w:t>Financial Officer</w:t>
      </w:r>
    </w:p>
    <w:p>
      <w:pPr>
        <w:spacing w:after="0" w:line="175" w:lineRule="exact"/>
        <w:rPr>
          <w:sz w:val="20"/>
          <w:szCs w:val="20"/>
          <w:color w:val="auto"/>
        </w:rPr>
      </w:pPr>
    </w:p>
    <w:tbl>
      <w:tblPr>
        <w:tblLayout w:type="fixed"/>
        <w:tblInd w:w="160" w:type="dxa"/>
        <w:tblCellMar>
          <w:top w:w="0" w:type="dxa"/>
          <w:left w:w="0" w:type="dxa"/>
          <w:bottom w:w="0" w:type="dxa"/>
          <w:right w:w="0" w:type="dxa"/>
        </w:tblCellMar>
      </w:tblPr>
      <w:tr>
        <w:trPr>
          <w:trHeight w:val="256"/>
        </w:trPr>
        <w:tc>
          <w:tcPr>
            <w:tcW w:w="2440" w:type="dxa"/>
            <w:vAlign w:val="bottom"/>
          </w:tcPr>
          <w:p>
            <w:pPr>
              <w:spacing w:after="0"/>
              <w:rPr>
                <w:sz w:val="22"/>
                <w:szCs w:val="22"/>
                <w:color w:val="auto"/>
              </w:rPr>
            </w:pPr>
          </w:p>
        </w:tc>
        <w:tc>
          <w:tcPr>
            <w:tcW w:w="20" w:type="dxa"/>
            <w:vAlign w:val="bottom"/>
            <w:shd w:val="clear" w:color="auto" w:fill="000000"/>
          </w:tcPr>
          <w:p>
            <w:pPr>
              <w:spacing w:after="0"/>
              <w:rPr>
                <w:sz w:val="22"/>
                <w:szCs w:val="22"/>
                <w:color w:val="auto"/>
              </w:rPr>
            </w:pPr>
          </w:p>
        </w:tc>
        <w:tc>
          <w:tcPr>
            <w:tcW w:w="6480" w:type="dxa"/>
            <w:vAlign w:val="bottom"/>
            <w:gridSpan w:val="2"/>
            <w:shd w:val="clear" w:color="auto" w:fill="000000"/>
          </w:tcPr>
          <w:p>
            <w:pPr>
              <w:spacing w:after="0"/>
              <w:rPr>
                <w:sz w:val="20"/>
                <w:szCs w:val="20"/>
                <w:color w:val="auto"/>
              </w:rPr>
            </w:pPr>
            <w:r>
              <w:rPr>
                <w:rFonts w:ascii="Arial" w:cs="Arial" w:eastAsia="Arial" w:hAnsi="Arial"/>
                <w:sz w:val="15"/>
                <w:szCs w:val="15"/>
                <w:b w:val="1"/>
                <w:bCs w:val="1"/>
                <w:color w:val="FFFFFF"/>
              </w:rPr>
              <w:t>Professional Experience</w:t>
            </w:r>
          </w:p>
        </w:tc>
        <w:tc>
          <w:tcPr>
            <w:tcW w:w="2120" w:type="dxa"/>
            <w:vAlign w:val="bottom"/>
            <w:shd w:val="clear" w:color="auto" w:fill="000000"/>
          </w:tcPr>
          <w:p>
            <w:pPr>
              <w:ind w:left="440"/>
              <w:spacing w:after="0"/>
              <w:rPr>
                <w:sz w:val="20"/>
                <w:szCs w:val="20"/>
                <w:color w:val="auto"/>
              </w:rPr>
            </w:pPr>
            <w:r>
              <w:rPr>
                <w:rFonts w:ascii="Arial" w:cs="Arial" w:eastAsia="Arial" w:hAnsi="Arial"/>
                <w:sz w:val="13"/>
                <w:szCs w:val="13"/>
                <w:b w:val="1"/>
                <w:bCs w:val="1"/>
                <w:color w:val="FFFFFF"/>
                <w:w w:val="99"/>
              </w:rPr>
              <w:t>Tenure with BWXT: 5 years</w:t>
            </w:r>
          </w:p>
        </w:tc>
        <w:tc>
          <w:tcPr>
            <w:tcW w:w="0" w:type="dxa"/>
            <w:vAlign w:val="bottom"/>
          </w:tcPr>
          <w:p>
            <w:pPr>
              <w:spacing w:after="0"/>
              <w:rPr>
                <w:sz w:val="1"/>
                <w:szCs w:val="1"/>
                <w:color w:val="auto"/>
              </w:rPr>
            </w:pPr>
          </w:p>
        </w:tc>
      </w:tr>
      <w:tr>
        <w:trPr>
          <w:trHeight w:val="163"/>
        </w:trPr>
        <w:tc>
          <w:tcPr>
            <w:tcW w:w="2440" w:type="dxa"/>
            <w:vAlign w:val="bottom"/>
          </w:tcPr>
          <w:p>
            <w:pPr>
              <w:spacing w:after="0"/>
              <w:rPr>
                <w:sz w:val="14"/>
                <w:szCs w:val="14"/>
                <w:color w:val="auto"/>
              </w:rPr>
            </w:pPr>
          </w:p>
        </w:tc>
        <w:tc>
          <w:tcPr>
            <w:tcW w:w="20" w:type="dxa"/>
            <w:vAlign w:val="bottom"/>
            <w:shd w:val="clear" w:color="auto" w:fill="000000"/>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8460" w:type="dxa"/>
            <w:vAlign w:val="bottom"/>
            <w:gridSpan w:val="2"/>
          </w:tcPr>
          <w:p>
            <w:pPr>
              <w:ind w:left="140"/>
              <w:spacing w:after="0"/>
              <w:rPr>
                <w:sz w:val="20"/>
                <w:szCs w:val="20"/>
                <w:color w:val="auto"/>
              </w:rPr>
            </w:pPr>
            <w:r>
              <w:rPr>
                <w:rFonts w:ascii="Arial" w:cs="Arial" w:eastAsia="Arial" w:hAnsi="Arial"/>
                <w:sz w:val="13"/>
                <w:szCs w:val="13"/>
                <w:color w:val="auto"/>
              </w:rPr>
              <w:t>Mr. McCabe, age 68, served as our Senior Vice President, General Counsel, Chief Compliance Officer and Secretary from July 2018 through</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tcPr>
          <w:p>
            <w:pPr>
              <w:ind w:left="140"/>
              <w:spacing w:after="0"/>
              <w:rPr>
                <w:sz w:val="20"/>
                <w:szCs w:val="20"/>
                <w:color w:val="auto"/>
              </w:rPr>
            </w:pPr>
            <w:r>
              <w:rPr>
                <w:rFonts w:ascii="Arial" w:cs="Arial" w:eastAsia="Arial" w:hAnsi="Arial"/>
                <w:sz w:val="13"/>
                <w:szCs w:val="13"/>
                <w:color w:val="auto"/>
              </w:rPr>
              <w:t>January 2023, when he transitioned to Special Advisor to the CEO.</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846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Prior to joining BWXT, Mr. McCabe served as Executive Vice President, General Counsel, Chief Compliance Officer and Secretary (or similar</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tcPr>
          <w:p>
            <w:pPr>
              <w:ind w:left="140"/>
              <w:spacing w:after="0"/>
              <w:rPr>
                <w:sz w:val="20"/>
                <w:szCs w:val="20"/>
                <w:color w:val="auto"/>
              </w:rPr>
            </w:pPr>
            <w:r>
              <w:rPr>
                <w:rFonts w:ascii="Arial" w:cs="Arial" w:eastAsia="Arial" w:hAnsi="Arial"/>
                <w:sz w:val="13"/>
                <w:szCs w:val="13"/>
                <w:color w:val="auto"/>
              </w:rPr>
              <w:t>roles) of Orbital ATK, Inc. (and its predecessor, Orbital Sciences Corporation) from 2014 to 2018.</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846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He served as Senior Vice President, General Counsel and Secretary of Alion Science and Technology Corp., an advanced engineering and</w:t>
            </w: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rPr>
                <w:sz w:val="11"/>
                <w:szCs w:val="11"/>
                <w:color w:val="auto"/>
              </w:rPr>
            </w:pPr>
          </w:p>
        </w:tc>
        <w:tc>
          <w:tcPr>
            <w:tcW w:w="846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technology solutions provider, from 2010 to 2014. From 2008 to 2010, he was Executive Vice President and General Counsel, and President of</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tcPr>
          <w:p>
            <w:pPr>
              <w:ind w:left="140"/>
              <w:spacing w:after="0"/>
              <w:rPr>
                <w:sz w:val="20"/>
                <w:szCs w:val="20"/>
                <w:color w:val="auto"/>
              </w:rPr>
            </w:pPr>
            <w:r>
              <w:rPr>
                <w:rFonts w:ascii="Arial" w:cs="Arial" w:eastAsia="Arial" w:hAnsi="Arial"/>
                <w:sz w:val="13"/>
                <w:szCs w:val="13"/>
                <w:color w:val="auto"/>
              </w:rPr>
              <w:t>the federal business, of Braintech, Inc., an automated vision system for industrial and military robots.</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44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140" w:type="dxa"/>
            <w:vAlign w:val="bottom"/>
          </w:tcPr>
          <w:p>
            <w:pPr>
              <w:spacing w:after="0" w:line="134" w:lineRule="exact"/>
              <w:rPr>
                <w:sz w:val="20"/>
                <w:szCs w:val="20"/>
                <w:color w:val="auto"/>
              </w:rPr>
            </w:pPr>
            <w:r>
              <w:rPr>
                <w:rFonts w:ascii="Arial" w:cs="Arial" w:eastAsia="Arial" w:hAnsi="Arial"/>
                <w:sz w:val="13"/>
                <w:szCs w:val="13"/>
                <w:color w:val="auto"/>
              </w:rPr>
              <w:t>•</w:t>
            </w:r>
          </w:p>
        </w:tc>
        <w:tc>
          <w:tcPr>
            <w:tcW w:w="846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Previously, Mr. McCabe held legal roles with XM Satellite Radio, COBIS Corporation and what is now AT&amp;T Public Sector, and was CEO and a</w:t>
            </w:r>
          </w:p>
        </w:tc>
        <w:tc>
          <w:tcPr>
            <w:tcW w:w="0" w:type="dxa"/>
            <w:vAlign w:val="bottom"/>
          </w:tcPr>
          <w:p>
            <w:pPr>
              <w:spacing w:after="0"/>
              <w:rPr>
                <w:sz w:val="1"/>
                <w:szCs w:val="1"/>
                <w:color w:val="auto"/>
              </w:rPr>
            </w:pPr>
          </w:p>
        </w:tc>
      </w:tr>
      <w:tr>
        <w:trPr>
          <w:trHeight w:val="158"/>
        </w:trPr>
        <w:tc>
          <w:tcPr>
            <w:tcW w:w="2440" w:type="dxa"/>
            <w:vAlign w:val="bottom"/>
          </w:tcPr>
          <w:p>
            <w:pPr>
              <w:spacing w:after="0"/>
              <w:rPr>
                <w:sz w:val="13"/>
                <w:szCs w:val="13"/>
                <w:color w:val="auto"/>
              </w:rPr>
            </w:pPr>
          </w:p>
        </w:tc>
        <w:tc>
          <w:tcPr>
            <w:tcW w:w="20" w:type="dxa"/>
            <w:vAlign w:val="bottom"/>
            <w:shd w:val="clear" w:color="auto" w:fill="000000"/>
          </w:tcPr>
          <w:p>
            <w:pPr>
              <w:spacing w:after="0"/>
              <w:rPr>
                <w:sz w:val="13"/>
                <w:szCs w:val="13"/>
                <w:color w:val="auto"/>
              </w:rPr>
            </w:pPr>
          </w:p>
        </w:tc>
        <w:tc>
          <w:tcPr>
            <w:tcW w:w="140" w:type="dxa"/>
            <w:vAlign w:val="bottom"/>
          </w:tcPr>
          <w:p>
            <w:pPr>
              <w:spacing w:after="0"/>
              <w:rPr>
                <w:sz w:val="13"/>
                <w:szCs w:val="13"/>
                <w:color w:val="auto"/>
              </w:rPr>
            </w:pPr>
          </w:p>
        </w:tc>
        <w:tc>
          <w:tcPr>
            <w:tcW w:w="6340" w:type="dxa"/>
            <w:vAlign w:val="bottom"/>
          </w:tcPr>
          <w:p>
            <w:pPr>
              <w:ind w:left="140"/>
              <w:spacing w:after="0"/>
              <w:rPr>
                <w:sz w:val="20"/>
                <w:szCs w:val="20"/>
                <w:color w:val="auto"/>
              </w:rPr>
            </w:pPr>
            <w:r>
              <w:rPr>
                <w:rFonts w:ascii="Arial" w:cs="Arial" w:eastAsia="Arial" w:hAnsi="Arial"/>
                <w:sz w:val="13"/>
                <w:szCs w:val="13"/>
                <w:color w:val="auto"/>
              </w:rPr>
              <w:t>member of the board of directors of COBIS Corporation (and its predecessor, MicroBanx).</w:t>
            </w:r>
          </w:p>
        </w:tc>
        <w:tc>
          <w:tcPr>
            <w:tcW w:w="2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440" w:type="dxa"/>
            <w:vAlign w:val="bottom"/>
            <w:vMerge w:val="restart"/>
          </w:tcPr>
          <w:p>
            <w:pPr>
              <w:spacing w:after="0"/>
              <w:rPr>
                <w:sz w:val="20"/>
                <w:szCs w:val="20"/>
                <w:color w:val="auto"/>
              </w:rPr>
            </w:pPr>
            <w:r>
              <w:rPr>
                <w:rFonts w:ascii="Arial" w:cs="Arial" w:eastAsia="Arial" w:hAnsi="Arial"/>
                <w:sz w:val="13"/>
                <w:szCs w:val="13"/>
                <w:b w:val="1"/>
                <w:bCs w:val="1"/>
                <w:color w:val="auto"/>
              </w:rPr>
              <w:t>Thomas E. McCabe</w:t>
            </w:r>
          </w:p>
        </w:tc>
        <w:tc>
          <w:tcPr>
            <w:tcW w:w="20" w:type="dxa"/>
            <w:vAlign w:val="bottom"/>
            <w:shd w:val="clear" w:color="auto" w:fill="000000"/>
          </w:tcPr>
          <w:p>
            <w:pPr>
              <w:spacing w:after="0"/>
              <w:rPr>
                <w:sz w:val="10"/>
                <w:szCs w:val="10"/>
                <w:color w:val="auto"/>
              </w:rPr>
            </w:pPr>
          </w:p>
        </w:tc>
        <w:tc>
          <w:tcPr>
            <w:tcW w:w="140" w:type="dxa"/>
            <w:vAlign w:val="bottom"/>
            <w:vMerge w:val="restart"/>
          </w:tcPr>
          <w:p>
            <w:pPr>
              <w:spacing w:after="0"/>
              <w:rPr>
                <w:sz w:val="20"/>
                <w:szCs w:val="20"/>
                <w:color w:val="auto"/>
              </w:rPr>
            </w:pPr>
            <w:r>
              <w:rPr>
                <w:rFonts w:ascii="Arial" w:cs="Arial" w:eastAsia="Arial" w:hAnsi="Arial"/>
                <w:sz w:val="13"/>
                <w:szCs w:val="13"/>
                <w:color w:val="auto"/>
              </w:rPr>
              <w:t>•</w:t>
            </w:r>
          </w:p>
        </w:tc>
        <w:tc>
          <w:tcPr>
            <w:tcW w:w="6340" w:type="dxa"/>
            <w:vAlign w:val="bottom"/>
            <w:vMerge w:val="restart"/>
          </w:tcPr>
          <w:p>
            <w:pPr>
              <w:ind w:left="140"/>
              <w:spacing w:after="0"/>
              <w:rPr>
                <w:sz w:val="20"/>
                <w:szCs w:val="20"/>
                <w:color w:val="auto"/>
              </w:rPr>
            </w:pPr>
            <w:r>
              <w:rPr>
                <w:rFonts w:ascii="Arial" w:cs="Arial" w:eastAsia="Arial" w:hAnsi="Arial"/>
                <w:sz w:val="13"/>
                <w:szCs w:val="13"/>
                <w:color w:val="auto"/>
              </w:rPr>
              <w:t>Earlier in his career, Mr. McCabe was an attorney in private practice.</w:t>
            </w: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1"/>
        </w:trPr>
        <w:tc>
          <w:tcPr>
            <w:tcW w:w="24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6340" w:type="dxa"/>
            <w:vAlign w:val="bottom"/>
            <w:vMerge w:val="continue"/>
          </w:tcPr>
          <w:p>
            <w:pPr>
              <w:spacing w:after="0"/>
              <w:rPr>
                <w:sz w:val="3"/>
                <w:szCs w:val="3"/>
                <w:color w:val="auto"/>
              </w:rPr>
            </w:pP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2440" w:type="dxa"/>
            <w:vAlign w:val="bottom"/>
            <w:vMerge w:val="continue"/>
          </w:tcPr>
          <w:p>
            <w:pPr>
              <w:spacing w:after="0"/>
              <w:rPr>
                <w:sz w:val="11"/>
                <w:szCs w:val="11"/>
                <w:color w:val="auto"/>
              </w:rPr>
            </w:pPr>
          </w:p>
        </w:tc>
        <w:tc>
          <w:tcPr>
            <w:tcW w:w="160" w:type="dxa"/>
            <w:vAlign w:val="bottom"/>
            <w:gridSpan w:val="2"/>
          </w:tcPr>
          <w:p>
            <w:pPr>
              <w:spacing w:after="0" w:line="129" w:lineRule="exact"/>
              <w:rPr>
                <w:sz w:val="20"/>
                <w:szCs w:val="20"/>
                <w:color w:val="auto"/>
              </w:rPr>
            </w:pPr>
            <w:r>
              <w:rPr>
                <w:rFonts w:ascii="Arial" w:cs="Arial" w:eastAsia="Arial" w:hAnsi="Arial"/>
                <w:sz w:val="13"/>
                <w:szCs w:val="13"/>
                <w:color w:val="auto"/>
              </w:rPr>
              <w:t>•</w:t>
            </w:r>
          </w:p>
        </w:tc>
        <w:tc>
          <w:tcPr>
            <w:tcW w:w="8460" w:type="dxa"/>
            <w:vAlign w:val="bottom"/>
            <w:gridSpan w:val="2"/>
          </w:tcPr>
          <w:p>
            <w:pPr>
              <w:ind w:left="140"/>
              <w:spacing w:after="0" w:line="129" w:lineRule="exact"/>
              <w:rPr>
                <w:sz w:val="20"/>
                <w:szCs w:val="20"/>
                <w:color w:val="auto"/>
              </w:rPr>
            </w:pPr>
            <w:r>
              <w:rPr>
                <w:rFonts w:ascii="Arial" w:cs="Arial" w:eastAsia="Arial" w:hAnsi="Arial"/>
                <w:sz w:val="13"/>
                <w:szCs w:val="13"/>
                <w:color w:val="auto"/>
              </w:rPr>
              <w:t>Mr. McCabe has a bachelor’s degree from Georgetown University and a juris doctorate and masters of business administration from the</w:t>
            </w:r>
          </w:p>
        </w:tc>
        <w:tc>
          <w:tcPr>
            <w:tcW w:w="0" w:type="dxa"/>
            <w:vAlign w:val="bottom"/>
          </w:tcPr>
          <w:p>
            <w:pPr>
              <w:spacing w:after="0"/>
              <w:rPr>
                <w:sz w:val="1"/>
                <w:szCs w:val="1"/>
                <w:color w:val="auto"/>
              </w:rPr>
            </w:pPr>
          </w:p>
        </w:tc>
      </w:tr>
      <w:tr>
        <w:trPr>
          <w:trHeight w:val="134"/>
        </w:trPr>
        <w:tc>
          <w:tcPr>
            <w:tcW w:w="2440" w:type="dxa"/>
            <w:vAlign w:val="bottom"/>
          </w:tcPr>
          <w:p>
            <w:pPr>
              <w:spacing w:after="0" w:line="134" w:lineRule="exact"/>
              <w:rPr>
                <w:sz w:val="20"/>
                <w:szCs w:val="20"/>
                <w:color w:val="auto"/>
              </w:rPr>
            </w:pPr>
            <w:r>
              <w:rPr>
                <w:rFonts w:ascii="Arial" w:cs="Arial" w:eastAsia="Arial" w:hAnsi="Arial"/>
                <w:sz w:val="13"/>
                <w:szCs w:val="13"/>
                <w:b w:val="1"/>
                <w:bCs w:val="1"/>
                <w:color w:val="auto"/>
              </w:rPr>
              <w:t>Former Senior Vice President, General</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340" w:type="dxa"/>
            <w:vAlign w:val="bottom"/>
          </w:tcPr>
          <w:p>
            <w:pPr>
              <w:ind w:left="140"/>
              <w:spacing w:after="0" w:line="134" w:lineRule="exact"/>
              <w:rPr>
                <w:sz w:val="20"/>
                <w:szCs w:val="20"/>
                <w:color w:val="auto"/>
              </w:rPr>
            </w:pPr>
            <w:r>
              <w:rPr>
                <w:rFonts w:ascii="Arial" w:cs="Arial" w:eastAsia="Arial" w:hAnsi="Arial"/>
                <w:sz w:val="13"/>
                <w:szCs w:val="13"/>
                <w:color w:val="auto"/>
              </w:rPr>
              <w:t>University of Notre Dame.</w:t>
            </w:r>
          </w:p>
        </w:tc>
        <w:tc>
          <w:tcPr>
            <w:tcW w:w="2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440" w:type="dxa"/>
            <w:vAlign w:val="bottom"/>
          </w:tcPr>
          <w:p>
            <w:pPr>
              <w:spacing w:after="0" w:line="122" w:lineRule="exact"/>
              <w:rPr>
                <w:sz w:val="20"/>
                <w:szCs w:val="20"/>
                <w:color w:val="auto"/>
              </w:rPr>
            </w:pPr>
            <w:r>
              <w:rPr>
                <w:rFonts w:ascii="Arial" w:cs="Arial" w:eastAsia="Arial" w:hAnsi="Arial"/>
                <w:sz w:val="13"/>
                <w:szCs w:val="13"/>
                <w:b w:val="1"/>
                <w:bCs w:val="1"/>
                <w:color w:val="auto"/>
              </w:rPr>
              <w:t>Counsel, Chief Compliance Officer and</w:t>
            </w: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340" w:type="dxa"/>
            <w:vAlign w:val="bottom"/>
          </w:tcPr>
          <w:p>
            <w:pPr>
              <w:spacing w:after="0"/>
              <w:rPr>
                <w:sz w:val="10"/>
                <w:szCs w:val="10"/>
                <w:color w:val="auto"/>
              </w:rPr>
            </w:pPr>
          </w:p>
        </w:tc>
        <w:tc>
          <w:tcPr>
            <w:tcW w:w="2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2440" w:type="dxa"/>
            <w:vAlign w:val="bottom"/>
          </w:tcPr>
          <w:p>
            <w:pPr>
              <w:spacing w:after="0"/>
              <w:rPr>
                <w:sz w:val="20"/>
                <w:szCs w:val="20"/>
                <w:color w:val="auto"/>
              </w:rPr>
            </w:pPr>
            <w:r>
              <w:rPr>
                <w:rFonts w:ascii="Arial" w:cs="Arial" w:eastAsia="Arial" w:hAnsi="Arial"/>
                <w:sz w:val="13"/>
                <w:szCs w:val="13"/>
                <w:b w:val="1"/>
                <w:bCs w:val="1"/>
                <w:color w:val="auto"/>
              </w:rPr>
              <w:t>Secretary</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3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wp:posOffset>
            </wp:positionH>
            <wp:positionV relativeFrom="paragraph">
              <wp:posOffset>-1465580</wp:posOffset>
            </wp:positionV>
            <wp:extent cx="1021080" cy="102108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273685</wp:posOffset>
            </wp:positionV>
            <wp:extent cx="1330325" cy="10826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330325" cy="108267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tbl>
      <w:tblPr>
        <w:tblLayout w:type="fixed"/>
        <w:tblInd w:w="2600" w:type="dxa"/>
        <w:tblCellMar>
          <w:top w:w="0" w:type="dxa"/>
          <w:left w:w="0" w:type="dxa"/>
          <w:bottom w:w="0" w:type="dxa"/>
          <w:right w:w="0" w:type="dxa"/>
        </w:tblCellMar>
      </w:tblPr>
      <w:tr>
        <w:trPr>
          <w:trHeight w:val="244"/>
        </w:trPr>
        <w:tc>
          <w:tcPr>
            <w:tcW w:w="437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Professional Experience</w:t>
            </w:r>
          </w:p>
        </w:tc>
        <w:tc>
          <w:tcPr>
            <w:tcW w:w="4250" w:type="dxa"/>
            <w:vAlign w:val="bottom"/>
            <w:shd w:val="clear" w:color="auto" w:fill="000000"/>
          </w:tcPr>
          <w:p>
            <w:pPr>
              <w:ind w:left="2650"/>
              <w:spacing w:after="0"/>
              <w:rPr>
                <w:sz w:val="20"/>
                <w:szCs w:val="20"/>
                <w:color w:val="auto"/>
              </w:rPr>
            </w:pPr>
            <w:r>
              <w:rPr>
                <w:rFonts w:ascii="Arial" w:cs="Arial" w:eastAsia="Arial" w:hAnsi="Arial"/>
                <w:sz w:val="13"/>
                <w:szCs w:val="13"/>
                <w:b w:val="1"/>
                <w:bCs w:val="1"/>
                <w:color w:val="FFFFFF"/>
                <w:w w:val="98"/>
              </w:rPr>
              <w:t>Tenure with BWXT: 1 year</w:t>
            </w:r>
          </w:p>
        </w:tc>
      </w:tr>
    </w:tbl>
    <w:p>
      <w:pPr>
        <w:spacing w:after="0" w:line="41" w:lineRule="exact"/>
        <w:rPr>
          <w:sz w:val="20"/>
          <w:szCs w:val="20"/>
          <w:color w:val="auto"/>
        </w:rPr>
      </w:pPr>
    </w:p>
    <w:p>
      <w:pPr>
        <w:ind w:left="2900" w:hanging="298"/>
        <w:spacing w:after="0"/>
        <w:tabs>
          <w:tab w:leader="none" w:pos="2900" w:val="left"/>
        </w:tabs>
        <w:numPr>
          <w:ilvl w:val="0"/>
          <w:numId w:val="52"/>
        </w:numPr>
        <w:rPr>
          <w:rFonts w:ascii="Arial" w:cs="Arial" w:eastAsia="Arial" w:hAnsi="Arial"/>
          <w:sz w:val="13"/>
          <w:szCs w:val="13"/>
          <w:color w:val="auto"/>
        </w:rPr>
      </w:pPr>
      <w:r>
        <w:rPr>
          <w:rFonts w:ascii="Arial" w:cs="Arial" w:eastAsia="Arial" w:hAnsi="Arial"/>
          <w:sz w:val="13"/>
          <w:szCs w:val="13"/>
          <w:color w:val="auto"/>
        </w:rPr>
        <w:t>Adm. McCoy, age 66, has served as our President, Government Operations since February 2022.</w:t>
      </w:r>
    </w:p>
    <w:p>
      <w:pPr>
        <w:spacing w:after="0" w:line="20" w:lineRule="exact"/>
        <w:rPr>
          <w:rFonts w:ascii="Arial" w:cs="Arial" w:eastAsia="Arial" w:hAnsi="Arial"/>
          <w:sz w:val="13"/>
          <w:szCs w:val="13"/>
          <w:color w:val="auto"/>
        </w:rPr>
      </w:pPr>
    </w:p>
    <w:p>
      <w:pPr>
        <w:ind w:left="2900" w:right="60" w:hanging="298"/>
        <w:spacing w:after="0" w:line="234" w:lineRule="auto"/>
        <w:tabs>
          <w:tab w:leader="none" w:pos="2897"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 has more than 35 years of leadership experience in shipyard operations, nuclear industrial operations and senior engineering positions in the U.S. Navy and private sector.</w:t>
      </w:r>
    </w:p>
    <w:p>
      <w:pPr>
        <w:ind w:left="2900" w:right="120" w:hanging="298"/>
        <w:spacing w:after="0" w:line="234" w:lineRule="auto"/>
        <w:tabs>
          <w:tab w:leader="none" w:pos="2897" w:val="left"/>
        </w:tabs>
        <w:numPr>
          <w:ilvl w:val="0"/>
          <w:numId w:val="52"/>
        </w:numPr>
        <w:rPr>
          <w:rFonts w:ascii="Arial" w:cs="Arial" w:eastAsia="Arial" w:hAnsi="Arial"/>
          <w:sz w:val="13"/>
          <w:szCs w:val="13"/>
          <w:color w:val="auto"/>
        </w:rPr>
      </w:pPr>
      <w:r>
        <w:rPr>
          <w:rFonts w:ascii="Arial" w:cs="Arial" w:eastAsia="Arial" w:hAnsi="Arial"/>
          <w:sz w:val="13"/>
          <w:szCs w:val="13"/>
          <w:color w:val="auto"/>
        </w:rPr>
        <w:t>Prior to joining BWXT, Adm. McCoy served as president of Irving Shipbuilding Inc. in Nova Scotia, Canada from 2013 to 2021, chief engineer of the U.S. Navy from 2005 to 2008 and commander of the Naval Sea Systems Command (NAVSEA) from 2008 to 2013.</w:t>
      </w:r>
    </w:p>
    <w:p>
      <w:pPr>
        <w:ind w:left="2900" w:right="120" w:hanging="298"/>
        <w:spacing w:after="0" w:line="222" w:lineRule="auto"/>
        <w:tabs>
          <w:tab w:leader="none" w:pos="2897" w:val="left"/>
        </w:tabs>
        <w:numPr>
          <w:ilvl w:val="0"/>
          <w:numId w:val="52"/>
        </w:numPr>
        <w:rPr>
          <w:rFonts w:ascii="Arial" w:cs="Arial" w:eastAsia="Arial" w:hAnsi="Arial"/>
          <w:sz w:val="13"/>
          <w:szCs w:val="13"/>
          <w:color w:val="auto"/>
        </w:rPr>
      </w:pPr>
      <w:r>
        <w:rPr>
          <w:rFonts w:ascii="Arial" w:cs="Arial" w:eastAsia="Arial" w:hAnsi="Arial"/>
          <w:sz w:val="13"/>
          <w:szCs w:val="13"/>
          <w:color w:val="auto"/>
        </w:rPr>
        <w:t>He earned a bachelor degree in mechanical engineering from SUNY at Stony Brook, a masters degree in mechanical engineering from the Massachusetts Institute of Technology ("MIT"), an engineer's degree (post masters) in naval architecture and marine engineering from MIT, and a masters in business administration from Emory University.</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Kevin M. McCoy</w:t>
      </w:r>
    </w:p>
    <w:p>
      <w:pPr>
        <w:ind w:left="160"/>
        <w:spacing w:after="0"/>
        <w:rPr>
          <w:sz w:val="20"/>
          <w:szCs w:val="20"/>
          <w:color w:val="auto"/>
        </w:rPr>
      </w:pPr>
      <w:r>
        <w:rPr>
          <w:rFonts w:ascii="Arial" w:cs="Arial" w:eastAsia="Arial" w:hAnsi="Arial"/>
          <w:sz w:val="13"/>
          <w:szCs w:val="13"/>
          <w:b w:val="1"/>
          <w:bCs w:val="1"/>
          <w:color w:val="auto"/>
        </w:rPr>
        <w:t>President, BWXT Government Group</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20 </w:t>
      </w:r>
      <w:r>
        <w:rPr>
          <w:sz w:val="1"/>
          <w:szCs w:val="1"/>
          <w:color w:val="auto"/>
        </w:rPr>
        <w:drawing>
          <wp:inline distT="0" distB="0" distL="0" distR="0">
            <wp:extent cx="401955" cy="16256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32" w:name="page33"/>
    <w:bookmarkEnd w:id="32"/>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NAMED EXECUTIVE PROFILES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323215</wp:posOffset>
            </wp:positionH>
            <wp:positionV relativeFrom="paragraph">
              <wp:posOffset>242570</wp:posOffset>
            </wp:positionV>
            <wp:extent cx="1021080" cy="102108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21080" cy="1021080"/>
                    </a:xfrm>
                    <a:prstGeom prst="rect">
                      <a:avLst/>
                    </a:prstGeom>
                    <a:noFill/>
                  </pic:spPr>
                </pic:pic>
              </a:graphicData>
            </a:graphic>
          </wp:anchor>
        </w:drawing>
      </w:r>
    </w:p>
    <w:p>
      <w:pPr>
        <w:spacing w:after="0" w:line="362" w:lineRule="exact"/>
        <w:rPr>
          <w:sz w:val="20"/>
          <w:szCs w:val="20"/>
          <w:color w:val="auto"/>
        </w:rPr>
      </w:pPr>
    </w:p>
    <w:tbl>
      <w:tblPr>
        <w:tblLayout w:type="fixed"/>
        <w:tblInd w:w="2600" w:type="dxa"/>
        <w:tblCellMar>
          <w:top w:w="0" w:type="dxa"/>
          <w:left w:w="0" w:type="dxa"/>
          <w:bottom w:w="0" w:type="dxa"/>
          <w:right w:w="0" w:type="dxa"/>
        </w:tblCellMar>
      </w:tblPr>
      <w:tr>
        <w:trPr>
          <w:trHeight w:val="244"/>
        </w:trPr>
        <w:tc>
          <w:tcPr>
            <w:tcW w:w="4370" w:type="dxa"/>
            <w:vAlign w:val="bottom"/>
            <w:shd w:val="clear" w:color="auto" w:fill="000000"/>
          </w:tcPr>
          <w:p>
            <w:pPr>
              <w:ind w:left="20"/>
              <w:spacing w:after="0"/>
              <w:rPr>
                <w:sz w:val="20"/>
                <w:szCs w:val="20"/>
                <w:color w:val="auto"/>
              </w:rPr>
            </w:pPr>
            <w:r>
              <w:rPr>
                <w:rFonts w:ascii="Arial" w:cs="Arial" w:eastAsia="Arial" w:hAnsi="Arial"/>
                <w:sz w:val="15"/>
                <w:szCs w:val="15"/>
                <w:b w:val="1"/>
                <w:bCs w:val="1"/>
                <w:color w:val="FFFFFF"/>
              </w:rPr>
              <w:t>Professional Experience</w:t>
            </w:r>
          </w:p>
        </w:tc>
        <w:tc>
          <w:tcPr>
            <w:tcW w:w="4250" w:type="dxa"/>
            <w:vAlign w:val="bottom"/>
            <w:shd w:val="clear" w:color="auto" w:fill="000000"/>
          </w:tcPr>
          <w:p>
            <w:pPr>
              <w:ind w:left="2570"/>
              <w:spacing w:after="0"/>
              <w:rPr>
                <w:sz w:val="20"/>
                <w:szCs w:val="20"/>
                <w:color w:val="auto"/>
              </w:rPr>
            </w:pPr>
            <w:r>
              <w:rPr>
                <w:rFonts w:ascii="Arial" w:cs="Arial" w:eastAsia="Arial" w:hAnsi="Arial"/>
                <w:sz w:val="13"/>
                <w:szCs w:val="13"/>
                <w:b w:val="1"/>
                <w:bCs w:val="1"/>
                <w:color w:val="FFFFFF"/>
                <w:w w:val="98"/>
              </w:rPr>
              <w:t>Tenure with BWXT: &lt;1 year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1645285</wp:posOffset>
            </wp:positionH>
            <wp:positionV relativeFrom="paragraph">
              <wp:posOffset>-154305</wp:posOffset>
            </wp:positionV>
            <wp:extent cx="7620" cy="108267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20" cy="1082675"/>
                    </a:xfrm>
                    <a:prstGeom prst="rect">
                      <a:avLst/>
                    </a:prstGeom>
                    <a:noFill/>
                  </pic:spPr>
                </pic:pic>
              </a:graphicData>
            </a:graphic>
          </wp:anchor>
        </w:drawing>
      </w:r>
    </w:p>
    <w:p>
      <w:pPr>
        <w:spacing w:after="0" w:line="21" w:lineRule="exact"/>
        <w:rPr>
          <w:sz w:val="20"/>
          <w:szCs w:val="20"/>
          <w:color w:val="auto"/>
        </w:rPr>
      </w:pPr>
    </w:p>
    <w:p>
      <w:pPr>
        <w:ind w:left="2900" w:hanging="298"/>
        <w:spacing w:after="0"/>
        <w:tabs>
          <w:tab w:leader="none" w:pos="2900" w:val="left"/>
        </w:tabs>
        <w:numPr>
          <w:ilvl w:val="0"/>
          <w:numId w:val="53"/>
        </w:numPr>
        <w:rPr>
          <w:rFonts w:ascii="Arial" w:cs="Arial" w:eastAsia="Arial" w:hAnsi="Arial"/>
          <w:sz w:val="13"/>
          <w:szCs w:val="13"/>
          <w:color w:val="auto"/>
        </w:rPr>
      </w:pPr>
      <w:r>
        <w:rPr>
          <w:rFonts w:ascii="Arial" w:cs="Arial" w:eastAsia="Arial" w:hAnsi="Arial"/>
          <w:sz w:val="13"/>
          <w:szCs w:val="13"/>
          <w:color w:val="auto"/>
        </w:rPr>
        <w:t>Mr. Duffy, age 55, has served as our Senior Vice President and Chief Administrative Officer since August 2022.</w:t>
      </w:r>
    </w:p>
    <w:p>
      <w:pPr>
        <w:spacing w:after="0" w:line="20" w:lineRule="exact"/>
        <w:rPr>
          <w:rFonts w:ascii="Arial" w:cs="Arial" w:eastAsia="Arial" w:hAnsi="Arial"/>
          <w:sz w:val="13"/>
          <w:szCs w:val="13"/>
          <w:color w:val="auto"/>
        </w:rPr>
      </w:pPr>
    </w:p>
    <w:p>
      <w:pPr>
        <w:ind w:left="2900" w:right="120" w:hanging="298"/>
        <w:spacing w:after="0" w:line="234" w:lineRule="auto"/>
        <w:tabs>
          <w:tab w:leader="none" w:pos="2897"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Prior to joining BWXT, Mr. Duffy had served as senior vice president and chief human resources and administrative officer for Harris Corporation (now known as L3Harris Technologies) from 2012 to 2019.</w:t>
      </w:r>
    </w:p>
    <w:p>
      <w:pPr>
        <w:ind w:left="2900" w:right="380" w:hanging="298"/>
        <w:spacing w:after="0" w:line="222" w:lineRule="auto"/>
        <w:tabs>
          <w:tab w:leader="none" w:pos="2897" w:val="left"/>
        </w:tabs>
        <w:numPr>
          <w:ilvl w:val="0"/>
          <w:numId w:val="53"/>
        </w:numPr>
        <w:rPr>
          <w:rFonts w:ascii="Arial" w:cs="Arial" w:eastAsia="Arial" w:hAnsi="Arial"/>
          <w:sz w:val="13"/>
          <w:szCs w:val="13"/>
          <w:color w:val="auto"/>
        </w:rPr>
      </w:pPr>
      <w:r>
        <w:rPr>
          <w:rFonts w:ascii="Arial" w:cs="Arial" w:eastAsia="Arial" w:hAnsi="Arial"/>
          <w:sz w:val="13"/>
          <w:szCs w:val="13"/>
          <w:color w:val="auto"/>
        </w:rPr>
        <w:t>Prior to that, Mr. Duffy held human resources leadership positions of increasing responsibility for several business units within United Technologies, including Sikorsky Aircraft, UTC Fire &amp; Security, Carrier Corporation, Hamilton Sundstrand and Pratt &amp; Whitney, from 1998 to 2012.</w:t>
      </w:r>
    </w:p>
    <w:p>
      <w:pPr>
        <w:ind w:left="2900" w:right="140" w:hanging="298"/>
        <w:spacing w:after="0" w:line="234" w:lineRule="auto"/>
        <w:tabs>
          <w:tab w:leader="none" w:pos="2897" w:val="left"/>
        </w:tabs>
        <w:numPr>
          <w:ilvl w:val="0"/>
          <w:numId w:val="53"/>
        </w:numPr>
        <w:rPr>
          <w:rFonts w:ascii="Arial" w:cs="Arial" w:eastAsia="Arial" w:hAnsi="Arial"/>
          <w:sz w:val="13"/>
          <w:szCs w:val="13"/>
          <w:color w:val="auto"/>
        </w:rPr>
      </w:pPr>
      <w:r>
        <w:rPr>
          <w:rFonts w:ascii="Arial" w:cs="Arial" w:eastAsia="Arial" w:hAnsi="Arial"/>
          <w:sz w:val="13"/>
          <w:szCs w:val="13"/>
          <w:color w:val="auto"/>
        </w:rPr>
        <w:t>He holds a master’s degree in management and technology from Rensselaer Polytechnic Institute and a bachelor’s degree in human resources management from Muhlenberg College.</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auto"/>
        </w:rPr>
        <w:t>Robert L. Duffy</w:t>
      </w:r>
    </w:p>
    <w:p>
      <w:pPr>
        <w:ind w:left="160"/>
        <w:spacing w:after="0" w:line="195" w:lineRule="auto"/>
        <w:rPr>
          <w:sz w:val="20"/>
          <w:szCs w:val="20"/>
          <w:color w:val="auto"/>
        </w:rPr>
      </w:pPr>
      <w:r>
        <w:rPr>
          <w:rFonts w:ascii="Arial" w:cs="Arial" w:eastAsia="Arial" w:hAnsi="Arial"/>
          <w:sz w:val="13"/>
          <w:szCs w:val="13"/>
          <w:b w:val="1"/>
          <w:bCs w:val="1"/>
          <w:color w:val="auto"/>
        </w:rPr>
        <w:t>Senior Vice President and Chief</w:t>
      </w:r>
    </w:p>
    <w:p>
      <w:pPr>
        <w:ind w:left="160"/>
        <w:spacing w:after="0"/>
        <w:rPr>
          <w:sz w:val="20"/>
          <w:szCs w:val="20"/>
          <w:color w:val="auto"/>
        </w:rPr>
      </w:pPr>
      <w:r>
        <w:rPr>
          <w:rFonts w:ascii="Arial" w:cs="Arial" w:eastAsia="Arial" w:hAnsi="Arial"/>
          <w:sz w:val="13"/>
          <w:szCs w:val="13"/>
          <w:b w:val="1"/>
          <w:bCs w:val="1"/>
          <w:color w:val="auto"/>
        </w:rPr>
        <w:t>Administrative Officer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PROPOSAL 2: ADVISORY VOTE ON EXECUTIVE COMPENSATION</w:t>
      </w:r>
    </w:p>
    <w:p>
      <w:pPr>
        <w:spacing w:after="0" w:line="129" w:lineRule="exact"/>
        <w:rPr>
          <w:sz w:val="20"/>
          <w:szCs w:val="20"/>
          <w:color w:val="auto"/>
        </w:rPr>
      </w:pPr>
    </w:p>
    <w:p>
      <w:pPr>
        <w:jc w:val="both"/>
        <w:ind w:left="20" w:right="60"/>
        <w:spacing w:after="0" w:line="218" w:lineRule="auto"/>
        <w:rPr>
          <w:sz w:val="20"/>
          <w:szCs w:val="20"/>
          <w:color w:val="auto"/>
        </w:rPr>
      </w:pPr>
      <w:r>
        <w:rPr>
          <w:rFonts w:ascii="Arial" w:cs="Arial" w:eastAsia="Arial" w:hAnsi="Arial"/>
          <w:sz w:val="16"/>
          <w:szCs w:val="16"/>
          <w:color w:val="auto"/>
        </w:rPr>
        <w:t>In accordance with Section 14A of the Exchange Act, we are asking stockholders to approve an advisory resolution on our executive compensation as reported in this proxy statement. Our Board has adopted a policy to hold annual advisory votes on executive compensation. It is our belief that our ability to hire, retain and motivate employees is essential to the success of the Company and its stockholders. Therefore, we generally seek to provide reasonable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and competitive compensation for our executives with a substantial portion in the form of performance-based compensation.</w:t>
      </w:r>
    </w:p>
    <w:p>
      <w:pPr>
        <w:spacing w:after="0" w:line="153"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Accordingly, we submit the following resolution to stockholders at the Annual Meeting:</w:t>
      </w:r>
    </w:p>
    <w:p>
      <w:pPr>
        <w:spacing w:after="0" w:line="171" w:lineRule="exact"/>
        <w:rPr>
          <w:sz w:val="20"/>
          <w:szCs w:val="20"/>
          <w:color w:val="auto"/>
        </w:rPr>
      </w:pPr>
    </w:p>
    <w:p>
      <w:pPr>
        <w:jc w:val="both"/>
        <w:ind w:left="20" w:right="60"/>
        <w:spacing w:after="0" w:line="223" w:lineRule="auto"/>
        <w:rPr>
          <w:sz w:val="20"/>
          <w:szCs w:val="20"/>
          <w:color w:val="auto"/>
        </w:rPr>
      </w:pPr>
      <w:r>
        <w:rPr>
          <w:rFonts w:ascii="Arial" w:cs="Arial" w:eastAsia="Arial" w:hAnsi="Arial"/>
          <w:sz w:val="16"/>
          <w:szCs w:val="16"/>
          <w:b w:val="1"/>
          <w:bCs w:val="1"/>
          <w:i w:val="1"/>
          <w:iCs w:val="1"/>
          <w:color w:val="auto"/>
        </w:rPr>
        <w:t>RESOLVED, that the stockholders of BWX Technologies, Inc. approve, on an advisory basis, the compensation of executives, as such compensation is disclosed pursuant to Item 402 of Regulation S-K in this proxy statement under the sections entitled “Compensation</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b w:val="1"/>
          <w:bCs w:val="1"/>
          <w:i w:val="1"/>
          <w:iCs w:val="1"/>
          <w:color w:val="auto"/>
        </w:rPr>
        <w:t>Discussion and Analysis” and “Compensation of Executive Officers.”</w:t>
      </w:r>
    </w:p>
    <w:p>
      <w:pPr>
        <w:spacing w:after="0" w:line="3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EFFECT OF PROPOSAL</w:t>
      </w:r>
    </w:p>
    <w:p>
      <w:pPr>
        <w:spacing w:after="0" w:line="39" w:lineRule="exact"/>
        <w:rPr>
          <w:sz w:val="20"/>
          <w:szCs w:val="20"/>
          <w:color w:val="auto"/>
        </w:rPr>
      </w:pPr>
    </w:p>
    <w:p>
      <w:pPr>
        <w:jc w:val="both"/>
        <w:ind w:left="20" w:right="60"/>
        <w:spacing w:after="0" w:line="211" w:lineRule="auto"/>
        <w:rPr>
          <w:sz w:val="20"/>
          <w:szCs w:val="20"/>
          <w:color w:val="auto"/>
        </w:rPr>
      </w:pPr>
      <w:r>
        <w:rPr>
          <w:rFonts w:ascii="Arial" w:cs="Arial" w:eastAsia="Arial" w:hAnsi="Arial"/>
          <w:sz w:val="16"/>
          <w:szCs w:val="16"/>
          <w:color w:val="auto"/>
        </w:rPr>
        <w:t>Although the resolution to approve our executive compensation is non-binding, it serves as an opportunity for us, our Board and Compensation Committee to gain valuable stockholder feedback on our executive compensation decisions and practices. Even in years when the resolution is approved, the Board and Compensation Committee retain discretion to change executive compensation from time to time if they conclude that such a change would be in the</w:t>
      </w:r>
    </w:p>
    <w:p>
      <w:pPr>
        <w:spacing w:after="0" w:line="2" w:lineRule="exact"/>
        <w:rPr>
          <w:sz w:val="20"/>
          <w:szCs w:val="20"/>
          <w:color w:val="auto"/>
        </w:rPr>
      </w:pPr>
    </w:p>
    <w:p>
      <w:pPr>
        <w:jc w:val="both"/>
        <w:ind w:left="20" w:right="60"/>
        <w:spacing w:after="0" w:line="233" w:lineRule="auto"/>
        <w:rPr>
          <w:sz w:val="20"/>
          <w:szCs w:val="20"/>
          <w:color w:val="auto"/>
        </w:rPr>
      </w:pPr>
      <w:r>
        <w:rPr>
          <w:rFonts w:ascii="Arial" w:cs="Arial" w:eastAsia="Arial" w:hAnsi="Arial"/>
          <w:sz w:val="16"/>
          <w:szCs w:val="16"/>
          <w:color w:val="auto"/>
        </w:rPr>
        <w:t>best interests of the Company and its stockholders. Our Board and Compensation Committee value the opinions of stockholders on important matters such as executive compensation and will carefully consider the results of this advisory vote when evaluating our executive compensation programs.</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BF2115"/>
        </w:rPr>
        <w:t>RECOMMENDATION AND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0415" cy="70358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0415" cy="703580"/>
                    </a:xfrm>
                    <a:prstGeom prst="rect">
                      <a:avLst/>
                    </a:prstGeom>
                    <a:noFill/>
                  </pic:spPr>
                </pic:pic>
              </a:graphicData>
            </a:graphic>
          </wp:anchor>
        </w:drawing>
      </w:r>
    </w:p>
    <w:p>
      <w:pPr>
        <w:spacing w:after="0" w:line="40" w:lineRule="exact"/>
        <w:rPr>
          <w:sz w:val="20"/>
          <w:szCs w:val="20"/>
          <w:color w:val="auto"/>
        </w:rPr>
      </w:pPr>
    </w:p>
    <w:p>
      <w:pPr>
        <w:jc w:val="both"/>
        <w:ind w:left="160" w:right="200"/>
        <w:spacing w:after="0" w:line="218" w:lineRule="auto"/>
        <w:rPr>
          <w:sz w:val="20"/>
          <w:szCs w:val="20"/>
          <w:color w:val="auto"/>
        </w:rPr>
      </w:pPr>
      <w:r>
        <w:rPr>
          <w:rFonts w:ascii="Arial" w:cs="Arial" w:eastAsia="Arial" w:hAnsi="Arial"/>
          <w:sz w:val="16"/>
          <w:szCs w:val="16"/>
          <w:b w:val="1"/>
          <w:bCs w:val="1"/>
          <w:color w:val="auto"/>
        </w:rPr>
        <w:t>Our Board recommends that stockholders vote “FOR” the approval of executive compensation. The proxy holders will vote all proxies received "FOR" approval of this proposal unless instructed otherwise. Approval of this proposal requires the affirmative vote of a majority of our shares of common stock present in person or represented by proxy at the Annual Meeting and entitled to vote on this proposal. Because</w:t>
      </w:r>
    </w:p>
    <w:p>
      <w:pPr>
        <w:spacing w:after="0" w:line="2" w:lineRule="exact"/>
        <w:rPr>
          <w:sz w:val="20"/>
          <w:szCs w:val="20"/>
          <w:color w:val="auto"/>
        </w:rPr>
      </w:pPr>
    </w:p>
    <w:p>
      <w:pPr>
        <w:jc w:val="both"/>
        <w:ind w:left="160" w:right="200"/>
        <w:spacing w:after="0" w:line="238" w:lineRule="auto"/>
        <w:rPr>
          <w:sz w:val="20"/>
          <w:szCs w:val="20"/>
          <w:color w:val="auto"/>
        </w:rPr>
      </w:pPr>
      <w:r>
        <w:rPr>
          <w:rFonts w:ascii="Arial" w:cs="Arial" w:eastAsia="Arial" w:hAnsi="Arial"/>
          <w:sz w:val="16"/>
          <w:szCs w:val="16"/>
          <w:b w:val="1"/>
          <w:bCs w:val="1"/>
          <w:color w:val="auto"/>
        </w:rPr>
        <w:t>abstentions are counted as present for purposes of the vote on this matter but are not votes “FOR” this proposal, they have the same effect as votes “AGAINST” this proposal. Broker non-votes will not have any effect on this proposal.</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3" w:name="page34"/>
    <w:bookmarkEnd w:id="33"/>
    <w:p>
      <w:pPr>
        <w:ind w:left="80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3"/>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655" cy="152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BF2115"/>
        </w:rPr>
        <w:t>COMPENSATION DISCUSSION AND ANALYSIS</w:t>
      </w:r>
    </w:p>
    <w:p>
      <w:pPr>
        <w:spacing w:after="0" w:line="153" w:lineRule="exact"/>
        <w:rPr>
          <w:sz w:val="20"/>
          <w:szCs w:val="20"/>
          <w:color w:val="auto"/>
        </w:rPr>
      </w:pPr>
    </w:p>
    <w:p>
      <w:pPr>
        <w:ind w:left="3" w:right="40"/>
        <w:spacing w:after="0" w:line="294" w:lineRule="auto"/>
        <w:rPr>
          <w:sz w:val="20"/>
          <w:szCs w:val="20"/>
          <w:color w:val="auto"/>
        </w:rPr>
      </w:pPr>
      <w:r>
        <w:rPr>
          <w:rFonts w:ascii="Arial" w:cs="Arial" w:eastAsia="Arial" w:hAnsi="Arial"/>
          <w:sz w:val="16"/>
          <w:szCs w:val="16"/>
          <w:color w:val="auto"/>
        </w:rPr>
        <w:t>This Compensation Discussion and Analysis (the “CD&amp;A”) provides detailed information and analysis regarding the compensation of our Named Executives as reported in the Summary Compensation Table and other tables located in the “Compensation of Executive Officers” section of this proxy statement.</w:t>
      </w:r>
    </w:p>
    <w:p>
      <w:pPr>
        <w:spacing w:after="0" w:line="24" w:lineRule="exact"/>
        <w:rPr>
          <w:sz w:val="20"/>
          <w:szCs w:val="20"/>
          <w:color w:val="auto"/>
        </w:rPr>
      </w:pPr>
    </w:p>
    <w:p>
      <w:pPr>
        <w:ind w:left="3"/>
        <w:spacing w:after="0"/>
        <w:rPr>
          <w:sz w:val="20"/>
          <w:szCs w:val="20"/>
          <w:color w:val="auto"/>
        </w:rPr>
      </w:pPr>
      <w:r>
        <w:rPr>
          <w:rFonts w:ascii="Arial" w:cs="Arial" w:eastAsia="Arial" w:hAnsi="Arial"/>
          <w:sz w:val="16"/>
          <w:szCs w:val="16"/>
          <w:color w:val="auto"/>
        </w:rPr>
        <w:t>This CD&amp;A is divided into four sections:</w:t>
      </w:r>
    </w:p>
    <w:p>
      <w:pPr>
        <w:spacing w:after="0" w:line="96" w:lineRule="exact"/>
        <w:rPr>
          <w:sz w:val="20"/>
          <w:szCs w:val="20"/>
          <w:color w:val="auto"/>
        </w:rPr>
      </w:pPr>
    </w:p>
    <w:p>
      <w:pPr>
        <w:ind w:left="283"/>
        <w:spacing w:after="0"/>
        <w:rPr>
          <w:sz w:val="20"/>
          <w:szCs w:val="20"/>
          <w:color w:val="auto"/>
        </w:rPr>
      </w:pPr>
      <w:r>
        <w:rPr>
          <w:rFonts w:ascii="Arial" w:cs="Arial" w:eastAsia="Arial" w:hAnsi="Arial"/>
          <w:sz w:val="16"/>
          <w:szCs w:val="16"/>
          <w:b w:val="1"/>
          <w:bCs w:val="1"/>
          <w:color w:val="auto"/>
        </w:rPr>
        <w:t xml:space="preserve">Section 1: </w:t>
      </w:r>
      <w:r>
        <w:rPr>
          <w:rFonts w:ascii="Arial" w:cs="Arial" w:eastAsia="Arial" w:hAnsi="Arial"/>
          <w:sz w:val="16"/>
          <w:szCs w:val="16"/>
          <w:b w:val="1"/>
          <w:bCs w:val="1"/>
          <w:i w:val="1"/>
          <w:iCs w:val="1"/>
          <w:color w:val="auto"/>
        </w:rPr>
        <w:t>Executive Summary</w:t>
      </w:r>
      <w:r>
        <w:rPr>
          <w:rFonts w:ascii="Arial" w:cs="Arial" w:eastAsia="Arial" w:hAnsi="Arial"/>
          <w:sz w:val="16"/>
          <w:szCs w:val="16"/>
          <w:color w:val="auto"/>
        </w:rPr>
        <w:t>. In this section, we highlight our company performance, key compensation decisions and outcomes during 2022.</w:t>
      </w:r>
    </w:p>
    <w:p>
      <w:pPr>
        <w:spacing w:after="0" w:line="84" w:lineRule="exact"/>
        <w:rPr>
          <w:sz w:val="20"/>
          <w:szCs w:val="20"/>
          <w:color w:val="auto"/>
        </w:rPr>
      </w:pPr>
    </w:p>
    <w:p>
      <w:pPr>
        <w:ind w:left="283"/>
        <w:spacing w:after="0"/>
        <w:rPr>
          <w:sz w:val="20"/>
          <w:szCs w:val="20"/>
          <w:color w:val="auto"/>
        </w:rPr>
      </w:pPr>
      <w:r>
        <w:rPr>
          <w:rFonts w:ascii="Arial" w:cs="Arial" w:eastAsia="Arial" w:hAnsi="Arial"/>
          <w:sz w:val="16"/>
          <w:szCs w:val="16"/>
          <w:b w:val="1"/>
          <w:bCs w:val="1"/>
          <w:color w:val="auto"/>
        </w:rPr>
        <w:t xml:space="preserve">Section 2: </w:t>
      </w:r>
      <w:r>
        <w:rPr>
          <w:rFonts w:ascii="Arial" w:cs="Arial" w:eastAsia="Arial" w:hAnsi="Arial"/>
          <w:sz w:val="16"/>
          <w:szCs w:val="16"/>
          <w:b w:val="1"/>
          <w:bCs w:val="1"/>
          <w:i w:val="1"/>
          <w:iCs w:val="1"/>
          <w:color w:val="auto"/>
        </w:rPr>
        <w:t>Compensation Structure</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section, we review our 2022 compensation philosophy, elements and processes.</w:t>
      </w:r>
    </w:p>
    <w:p>
      <w:pPr>
        <w:spacing w:after="0" w:line="96" w:lineRule="exact"/>
        <w:rPr>
          <w:sz w:val="20"/>
          <w:szCs w:val="20"/>
          <w:color w:val="auto"/>
        </w:rPr>
      </w:pPr>
    </w:p>
    <w:p>
      <w:pPr>
        <w:ind w:left="283" w:right="120"/>
        <w:spacing w:after="0" w:line="294" w:lineRule="auto"/>
        <w:rPr>
          <w:sz w:val="20"/>
          <w:szCs w:val="20"/>
          <w:color w:val="auto"/>
        </w:rPr>
      </w:pPr>
      <w:r>
        <w:rPr>
          <w:rFonts w:ascii="Arial" w:cs="Arial" w:eastAsia="Arial" w:hAnsi="Arial"/>
          <w:sz w:val="16"/>
          <w:szCs w:val="16"/>
          <w:b w:val="1"/>
          <w:bCs w:val="1"/>
          <w:color w:val="auto"/>
        </w:rPr>
        <w:t xml:space="preserve">Section 3: </w:t>
      </w:r>
      <w:r>
        <w:rPr>
          <w:rFonts w:ascii="Arial" w:cs="Arial" w:eastAsia="Arial" w:hAnsi="Arial"/>
          <w:sz w:val="16"/>
          <w:szCs w:val="16"/>
          <w:b w:val="1"/>
          <w:bCs w:val="1"/>
          <w:i w:val="1"/>
          <w:iCs w:val="1"/>
          <w:color w:val="auto"/>
        </w:rPr>
        <w:t>Compensation Analysis and Outcomes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section, we review the elements of 2022 total direct compensation, including annual base</w:t>
      </w:r>
      <w:r>
        <w:rPr>
          <w:rFonts w:ascii="Arial" w:cs="Arial" w:eastAsia="Arial" w:hAnsi="Arial"/>
          <w:sz w:val="16"/>
          <w:szCs w:val="16"/>
          <w:b w:val="1"/>
          <w:bCs w:val="1"/>
          <w:color w:val="auto"/>
        </w:rPr>
        <w:t xml:space="preserve"> </w:t>
      </w:r>
      <w:r>
        <w:rPr>
          <w:rFonts w:ascii="Arial" w:cs="Arial" w:eastAsia="Arial" w:hAnsi="Arial"/>
          <w:sz w:val="16"/>
          <w:szCs w:val="16"/>
          <w:color w:val="auto"/>
        </w:rPr>
        <w:t>salary, annual incentive compensation and long-term incentive compensation.</w:t>
      </w:r>
    </w:p>
    <w:p>
      <w:pPr>
        <w:spacing w:after="0" w:line="24" w:lineRule="exact"/>
        <w:rPr>
          <w:sz w:val="20"/>
          <w:szCs w:val="20"/>
          <w:color w:val="auto"/>
        </w:rPr>
      </w:pPr>
    </w:p>
    <w:p>
      <w:pPr>
        <w:ind w:left="283" w:right="420"/>
        <w:spacing w:after="0" w:line="294" w:lineRule="auto"/>
        <w:rPr>
          <w:sz w:val="20"/>
          <w:szCs w:val="20"/>
          <w:color w:val="auto"/>
        </w:rPr>
      </w:pPr>
      <w:r>
        <w:rPr>
          <w:rFonts w:ascii="Arial" w:cs="Arial" w:eastAsia="Arial" w:hAnsi="Arial"/>
          <w:sz w:val="16"/>
          <w:szCs w:val="16"/>
          <w:b w:val="1"/>
          <w:bCs w:val="1"/>
          <w:color w:val="auto"/>
        </w:rPr>
        <w:t xml:space="preserve">Section 4: </w:t>
      </w:r>
      <w:r>
        <w:rPr>
          <w:rFonts w:ascii="Arial" w:cs="Arial" w:eastAsia="Arial" w:hAnsi="Arial"/>
          <w:sz w:val="16"/>
          <w:szCs w:val="16"/>
          <w:b w:val="1"/>
          <w:bCs w:val="1"/>
          <w:i w:val="1"/>
          <w:iCs w:val="1"/>
          <w:color w:val="auto"/>
        </w:rPr>
        <w:t>Other Benefits and Practices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In this section, we review perquisites, post-employment arrangements and other compensation-related</w:t>
      </w:r>
      <w:r>
        <w:rPr>
          <w:rFonts w:ascii="Arial" w:cs="Arial" w:eastAsia="Arial" w:hAnsi="Arial"/>
          <w:sz w:val="16"/>
          <w:szCs w:val="16"/>
          <w:b w:val="1"/>
          <w:bCs w:val="1"/>
          <w:color w:val="auto"/>
        </w:rPr>
        <w:t xml:space="preserve"> </w:t>
      </w:r>
      <w:r>
        <w:rPr>
          <w:rFonts w:ascii="Arial" w:cs="Arial" w:eastAsia="Arial" w:hAnsi="Arial"/>
          <w:sz w:val="16"/>
          <w:szCs w:val="16"/>
          <w:color w:val="auto"/>
        </w:rPr>
        <w:t>practices.</w:t>
      </w:r>
    </w:p>
    <w:p>
      <w:pPr>
        <w:spacing w:after="0" w:line="88"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SECTION 1: EXECUTIVE SUMMARY</w:t>
      </w:r>
    </w:p>
    <w:p>
      <w:pPr>
        <w:spacing w:after="0" w:line="15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2022 PERFORMANCE HIGHLIGHTS*</w:t>
      </w:r>
    </w:p>
    <w:p>
      <w:pPr>
        <w:spacing w:after="0" w:line="96" w:lineRule="exact"/>
        <w:rPr>
          <w:sz w:val="20"/>
          <w:szCs w:val="20"/>
          <w:color w:val="auto"/>
        </w:rPr>
      </w:pPr>
    </w:p>
    <w:p>
      <w:pPr>
        <w:ind w:left="143" w:hanging="143"/>
        <w:spacing w:after="0"/>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Consolidated revenue was over $2.2 billion, a 5% increase over the prior year.</w:t>
      </w:r>
    </w:p>
    <w:p>
      <w:pPr>
        <w:spacing w:after="0" w:line="83" w:lineRule="exact"/>
        <w:rPr>
          <w:rFonts w:ascii="Arial" w:cs="Arial" w:eastAsia="Arial" w:hAnsi="Arial"/>
          <w:sz w:val="16"/>
          <w:szCs w:val="16"/>
          <w:color w:val="auto"/>
        </w:rPr>
      </w:pPr>
    </w:p>
    <w:p>
      <w:pPr>
        <w:ind w:left="143" w:hanging="143"/>
        <w:spacing w:after="0"/>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Net income and adjusted EBITDA were $238.6 million and $439.4 million, respectively.</w:t>
      </w:r>
    </w:p>
    <w:p>
      <w:pPr>
        <w:spacing w:after="0" w:line="96" w:lineRule="exact"/>
        <w:rPr>
          <w:rFonts w:ascii="Arial" w:cs="Arial" w:eastAsia="Arial" w:hAnsi="Arial"/>
          <w:sz w:val="16"/>
          <w:szCs w:val="16"/>
          <w:color w:val="auto"/>
        </w:rPr>
      </w:pPr>
    </w:p>
    <w:p>
      <w:pPr>
        <w:ind w:left="143" w:hanging="143"/>
        <w:spacing w:after="0"/>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GAAP and non-GAAP earnings per share were $2.60 and $3.13, respectively.</w:t>
      </w:r>
    </w:p>
    <w:p>
      <w:pPr>
        <w:spacing w:after="0" w:line="83" w:lineRule="exact"/>
        <w:rPr>
          <w:rFonts w:ascii="Arial" w:cs="Arial" w:eastAsia="Arial" w:hAnsi="Arial"/>
          <w:sz w:val="16"/>
          <w:szCs w:val="16"/>
          <w:color w:val="auto"/>
        </w:rPr>
      </w:pPr>
    </w:p>
    <w:p>
      <w:pPr>
        <w:ind w:left="143" w:hanging="143"/>
        <w:spacing w:after="0"/>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2022, we returned $81.1 million to stockholders in the form of dividends.</w:t>
      </w:r>
    </w:p>
    <w:p>
      <w:pPr>
        <w:spacing w:after="0" w:line="96" w:lineRule="exact"/>
        <w:rPr>
          <w:rFonts w:ascii="Arial" w:cs="Arial" w:eastAsia="Arial" w:hAnsi="Arial"/>
          <w:sz w:val="16"/>
          <w:szCs w:val="16"/>
          <w:color w:val="auto"/>
        </w:rPr>
      </w:pPr>
    </w:p>
    <w:p>
      <w:pPr>
        <w:ind w:left="143" w:hanging="143"/>
        <w:spacing w:after="0"/>
        <w:tabs>
          <w:tab w:leader="none" w:pos="143" w:val="left"/>
        </w:tabs>
        <w:numPr>
          <w:ilvl w:val="0"/>
          <w:numId w:val="54"/>
        </w:numPr>
        <w:rPr>
          <w:rFonts w:ascii="Arial" w:cs="Arial" w:eastAsia="Arial" w:hAnsi="Arial"/>
          <w:sz w:val="16"/>
          <w:szCs w:val="16"/>
          <w:color w:val="auto"/>
        </w:rPr>
      </w:pPr>
      <w:r>
        <w:rPr>
          <w:rFonts w:ascii="Arial" w:cs="Arial" w:eastAsia="Arial" w:hAnsi="Arial"/>
          <w:sz w:val="16"/>
          <w:szCs w:val="16"/>
          <w:color w:val="auto"/>
        </w:rPr>
        <w:t>As of December 31, 2022, our backlog was $4.1 billion.</w:t>
      </w:r>
    </w:p>
    <w:p>
      <w:pPr>
        <w:spacing w:after="0" w:line="202" w:lineRule="exact"/>
        <w:rPr>
          <w:rFonts w:ascii="Arial" w:cs="Arial" w:eastAsia="Arial" w:hAnsi="Arial"/>
          <w:sz w:val="16"/>
          <w:szCs w:val="16"/>
          <w:color w:val="auto"/>
        </w:rPr>
      </w:pPr>
    </w:p>
    <w:p>
      <w:pPr>
        <w:ind w:left="303" w:right="100"/>
        <w:spacing w:after="0" w:line="235" w:lineRule="auto"/>
        <w:rPr>
          <w:rFonts w:ascii="Arial" w:cs="Arial" w:eastAsia="Arial" w:hAnsi="Arial"/>
          <w:sz w:val="16"/>
          <w:szCs w:val="16"/>
          <w:color w:val="auto"/>
        </w:rPr>
      </w:pPr>
      <w:r>
        <w:rPr>
          <w:rFonts w:ascii="Arial" w:cs="Arial" w:eastAsia="Arial" w:hAnsi="Arial"/>
          <w:sz w:val="13"/>
          <w:szCs w:val="13"/>
          <w:i w:val="1"/>
          <w:iCs w:val="1"/>
          <w:color w:val="auto"/>
        </w:rPr>
        <w:t>* Please refer to Appendix A, "Reconciliation of Reported (GAAP) to Adjusted (Non-GAAP) Results," for a reconciliation of adjusted results, including adjusted EBITDA and non-GAAP earnings per share, to reported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177800</wp:posOffset>
            </wp:positionH>
            <wp:positionV relativeFrom="paragraph">
              <wp:posOffset>-226695</wp:posOffset>
            </wp:positionV>
            <wp:extent cx="6890385" cy="2705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90385" cy="270510"/>
                    </a:xfrm>
                    <a:prstGeom prst="rect">
                      <a:avLst/>
                    </a:prstGeom>
                    <a:noFill/>
                  </pic:spPr>
                </pic:pic>
              </a:graphicData>
            </a:graphic>
          </wp:anchor>
        </w:drawing>
      </w:r>
    </w:p>
    <w:p>
      <w:pPr>
        <w:spacing w:after="0" w:line="336"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auto"/>
        </w:rPr>
        <w:t>TOTAL STOCKHOLDER RETURN</w:t>
      </w:r>
    </w:p>
    <w:p>
      <w:pPr>
        <w:spacing w:after="0" w:line="96" w:lineRule="exact"/>
        <w:rPr>
          <w:sz w:val="20"/>
          <w:szCs w:val="20"/>
          <w:color w:val="auto"/>
        </w:rPr>
      </w:pPr>
    </w:p>
    <w:p>
      <w:pPr>
        <w:jc w:val="both"/>
        <w:ind w:left="3"/>
        <w:spacing w:after="0" w:line="274" w:lineRule="auto"/>
        <w:rPr>
          <w:sz w:val="20"/>
          <w:szCs w:val="20"/>
          <w:color w:val="auto"/>
        </w:rPr>
      </w:pPr>
      <w:r>
        <w:rPr>
          <w:rFonts w:ascii="Arial" w:cs="Arial" w:eastAsia="Arial" w:hAnsi="Arial"/>
          <w:sz w:val="16"/>
          <w:szCs w:val="16"/>
          <w:color w:val="auto"/>
        </w:rPr>
        <w:t>The following graph depicts the cumulative total stockholder return of BWXT for the one, three and five years ended December 31, 2022 relative to those of the S&amp;P 500 Index ("S&amp;P 500"), the S&amp;P Aerospace and Defense Select Index ("S&amp;P A&amp;D Select") and our custom compensation peer group for 2022 (see below).</w:t>
      </w:r>
    </w:p>
    <w:p>
      <w:pPr>
        <w:spacing w:after="0" w:line="146" w:lineRule="exact"/>
        <w:rPr>
          <w:sz w:val="20"/>
          <w:szCs w:val="20"/>
          <w:color w:val="auto"/>
        </w:rPr>
      </w:pPr>
    </w:p>
    <w:p>
      <w:pPr>
        <w:jc w:val="center"/>
        <w:ind w:right="-62"/>
        <w:spacing w:after="0"/>
        <w:rPr>
          <w:sz w:val="20"/>
          <w:szCs w:val="20"/>
          <w:color w:val="auto"/>
        </w:rPr>
      </w:pPr>
      <w:r>
        <w:rPr>
          <w:rFonts w:ascii="Arial" w:cs="Arial" w:eastAsia="Arial" w:hAnsi="Arial"/>
          <w:sz w:val="16"/>
          <w:szCs w:val="16"/>
          <w:b w:val="1"/>
          <w:bCs w:val="1"/>
          <w:color w:val="auto"/>
        </w:rPr>
        <w:t>One-Year, Three-Year and Five-Year Total Stockholder Return as of December 31, 2022</w:t>
      </w:r>
      <w:r>
        <w:rPr>
          <w:rFonts w:ascii="Arial" w:cs="Arial" w:eastAsia="Arial" w:hAnsi="Arial"/>
          <w:sz w:val="21"/>
          <w:szCs w:val="21"/>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2026285</wp:posOffset>
            </wp:positionH>
            <wp:positionV relativeFrom="paragraph">
              <wp:posOffset>13970</wp:posOffset>
            </wp:positionV>
            <wp:extent cx="3093085" cy="20104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93085" cy="2010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63" w:right="160" w:hanging="528"/>
        <w:spacing w:after="0" w:line="250" w:lineRule="auto"/>
        <w:tabs>
          <w:tab w:leader="none" w:pos="563" w:val="left"/>
        </w:tabs>
        <w:numPr>
          <w:ilvl w:val="0"/>
          <w:numId w:val="55"/>
        </w:numPr>
        <w:rPr>
          <w:rFonts w:ascii="Arial" w:cs="Arial" w:eastAsia="Arial" w:hAnsi="Arial"/>
          <w:sz w:val="13"/>
          <w:szCs w:val="13"/>
          <w:i w:val="1"/>
          <w:iCs w:val="1"/>
          <w:color w:val="auto"/>
        </w:rPr>
      </w:pPr>
      <w:r>
        <w:rPr>
          <w:rFonts w:ascii="Arial" w:cs="Arial" w:eastAsia="Arial" w:hAnsi="Arial"/>
          <w:sz w:val="13"/>
          <w:szCs w:val="13"/>
          <w:i w:val="1"/>
          <w:iCs w:val="1"/>
          <w:color w:val="auto"/>
        </w:rPr>
        <w:t>Measured by dividing (i) the sum of the cumulative amount of dividends for the measurement period, assuming dividend reinvestment, and the difference between the applicable share price at the end and the beginning of the measurement period by (ii) the share price at the beginning of the measurement period.</w:t>
      </w:r>
    </w:p>
    <w:p>
      <w:pPr>
        <w:spacing w:after="0" w:line="200" w:lineRule="exact"/>
        <w:rPr>
          <w:sz w:val="20"/>
          <w:szCs w:val="20"/>
          <w:color w:val="auto"/>
        </w:rPr>
      </w:pPr>
    </w:p>
    <w:p>
      <w:pPr>
        <w:spacing w:after="0" w:line="264"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2C2C2C"/>
        </w:rPr>
        <w:t xml:space="preserve">22 </w:t>
      </w:r>
      <w:r>
        <w:rPr>
          <w:sz w:val="1"/>
          <w:szCs w:val="1"/>
          <w:color w:val="auto"/>
        </w:rPr>
        <w:drawing>
          <wp:inline distT="0" distB="0" distL="0" distR="0">
            <wp:extent cx="401955" cy="16256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171055"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3"/>
          </w:cols>
          <w:pgMar w:left="317" w:top="123" w:right="379" w:bottom="1440" w:gutter="0" w:footer="0" w:header="0"/>
        </w:sectPr>
      </w:pPr>
    </w:p>
    <w:bookmarkStart w:id="34" w:name="page35"/>
    <w:bookmarkEnd w:id="34"/>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STOCKHOLDER ENGAGEMENT</w:t>
      </w:r>
    </w:p>
    <w:p>
      <w:pPr>
        <w:spacing w:after="0" w:line="96"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color w:val="auto"/>
        </w:rPr>
        <w:t>Our executive compensation plan for 2022 is consistent with our historical pay-for-performance approach that incorporates feedback from our stockholder outreach efforts and metrics designed to drive the performance of BWXT. We engage directly with our stockholders on executive compensation, governance, environmental, social and other topics. See "Stockholder Engagement" above for more information on our engagement process.</w:t>
      </w:r>
    </w:p>
    <w:p>
      <w:pPr>
        <w:spacing w:after="0" w:line="28" w:lineRule="exact"/>
        <w:rPr>
          <w:sz w:val="20"/>
          <w:szCs w:val="20"/>
          <w:color w:val="auto"/>
        </w:rPr>
      </w:pPr>
    </w:p>
    <w:p>
      <w:pPr>
        <w:ind w:right="60"/>
        <w:spacing w:after="0" w:line="262" w:lineRule="auto"/>
        <w:rPr>
          <w:sz w:val="20"/>
          <w:szCs w:val="20"/>
          <w:color w:val="auto"/>
        </w:rPr>
      </w:pPr>
      <w:r>
        <w:rPr>
          <w:rFonts w:ascii="Arial" w:cs="Arial" w:eastAsia="Arial" w:hAnsi="Arial"/>
          <w:sz w:val="16"/>
          <w:szCs w:val="16"/>
          <w:color w:val="auto"/>
        </w:rPr>
        <w:t>Based on feedback from our stockholders, our Compensation Committee continued with a market-based, pay-for-performance structure for our executive compensation program and also enhanced the performance-based components of the program. In addition, the Compensation Committee incorporated a double-trigger vesting requirement for equity awards in the event of a change in control in our 2020 Omnibus Incentive Plan ("2020 Plan"), approved by stockholders at our 2020 Annual Meeting. We have received feedback from stockholders regarding the use of ESG metrics in our incentive plans. The Compensation Committee has included safety metrics in our annual incentive plan each year since our spin-off in 2015 and will evaluate other possible ESG metrics.</w:t>
      </w:r>
    </w:p>
    <w:p>
      <w:pPr>
        <w:spacing w:after="0" w:line="49" w:lineRule="exact"/>
        <w:rPr>
          <w:sz w:val="20"/>
          <w:szCs w:val="20"/>
          <w:color w:val="auto"/>
        </w:rPr>
      </w:pPr>
    </w:p>
    <w:p>
      <w:pPr>
        <w:ind w:right="280"/>
        <w:spacing w:after="0" w:line="274" w:lineRule="auto"/>
        <w:rPr>
          <w:sz w:val="20"/>
          <w:szCs w:val="20"/>
          <w:color w:val="auto"/>
        </w:rPr>
      </w:pPr>
      <w:r>
        <w:rPr>
          <w:rFonts w:ascii="Arial" w:cs="Arial" w:eastAsia="Arial" w:hAnsi="Arial"/>
          <w:sz w:val="16"/>
          <w:szCs w:val="16"/>
          <w:color w:val="auto"/>
        </w:rPr>
        <w:t>As a result of discussions with stockholders as part of the Company's annual outreach program, in February 2022 the Compensation Committee included total shareholder return as a performance metric in the 2022 performance restricted stock unit grants to participants, including the Named Executives, in order to align Named Executive and stockholder interests.</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STRONG COMPENSATION GOVERNANCE PRACTICES</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practices we follow to incentivize performance and foster strong corporate governance on our compensation program:</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0"/>
        </w:trPr>
        <w:tc>
          <w:tcPr>
            <w:tcW w:w="5620" w:type="dxa"/>
            <w:vAlign w:val="bottom"/>
            <w:tcBorders>
              <w:left w:val="single" w:sz="8" w:color="auto"/>
              <w:right w:val="single" w:sz="8" w:color="auto"/>
            </w:tcBorders>
            <w:vMerge w:val="restart"/>
            <w:shd w:val="clear" w:color="auto" w:fill="000000"/>
          </w:tcPr>
          <w:p>
            <w:pPr>
              <w:ind w:left="140"/>
              <w:spacing w:after="0"/>
              <w:rPr>
                <w:sz w:val="20"/>
                <w:szCs w:val="20"/>
                <w:color w:val="auto"/>
              </w:rPr>
            </w:pPr>
            <w:r>
              <w:rPr>
                <w:rFonts w:ascii="Arial" w:cs="Arial" w:eastAsia="Arial" w:hAnsi="Arial"/>
                <w:sz w:val="16"/>
                <w:szCs w:val="16"/>
                <w:b w:val="1"/>
                <w:bCs w:val="1"/>
                <w:color w:val="FFFFFF"/>
              </w:rPr>
              <w:t>WHAT WE DO:</w:t>
            </w:r>
          </w:p>
        </w:tc>
        <w:tc>
          <w:tcPr>
            <w:tcW w:w="5620" w:type="dxa"/>
            <w:vAlign w:val="bottom"/>
            <w:tcBorders>
              <w:right w:val="single" w:sz="8" w:color="auto"/>
            </w:tcBorders>
            <w:vMerge w:val="restart"/>
            <w:shd w:val="clear" w:color="auto" w:fill="000000"/>
          </w:tcPr>
          <w:p>
            <w:pPr>
              <w:ind w:left="120"/>
              <w:spacing w:after="0"/>
              <w:rPr>
                <w:sz w:val="20"/>
                <w:szCs w:val="20"/>
                <w:color w:val="auto"/>
              </w:rPr>
            </w:pPr>
            <w:r>
              <w:rPr>
                <w:rFonts w:ascii="Arial" w:cs="Arial" w:eastAsia="Arial" w:hAnsi="Arial"/>
                <w:sz w:val="16"/>
                <w:szCs w:val="16"/>
                <w:b w:val="1"/>
                <w:bCs w:val="1"/>
                <w:color w:val="FFFFFF"/>
              </w:rPr>
              <w:t>WHAT WE DON’T DO:</w:t>
            </w: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620" w:type="dxa"/>
            <w:vAlign w:val="bottom"/>
            <w:tcBorders>
              <w:left w:val="single" w:sz="8" w:color="auto"/>
              <w:bottom w:val="single" w:sz="8" w:color="auto"/>
              <w:right w:val="single" w:sz="8" w:color="auto"/>
            </w:tcBorders>
            <w:vMerge w:val="continue"/>
            <w:shd w:val="clear" w:color="auto" w:fill="000000"/>
          </w:tcPr>
          <w:p>
            <w:pPr>
              <w:spacing w:after="0"/>
              <w:rPr>
                <w:sz w:val="17"/>
                <w:szCs w:val="17"/>
                <w:color w:val="auto"/>
              </w:rPr>
            </w:pPr>
          </w:p>
        </w:tc>
        <w:tc>
          <w:tcPr>
            <w:tcW w:w="5620" w:type="dxa"/>
            <w:vAlign w:val="bottom"/>
            <w:tcBorders>
              <w:bottom w:val="single" w:sz="8" w:color="auto"/>
              <w:right w:val="single" w:sz="8" w:color="auto"/>
            </w:tcBorders>
            <w:vMerge w:val="continue"/>
            <w:shd w:val="clear" w:color="auto" w:fill="000000"/>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0"/>
        </w:trPr>
        <w:tc>
          <w:tcPr>
            <w:tcW w:w="5620" w:type="dxa"/>
            <w:vAlign w:val="bottom"/>
            <w:tcBorders>
              <w:left w:val="single" w:sz="8" w:color="auto"/>
              <w:right w:val="single" w:sz="8" w:color="auto"/>
            </w:tcBorders>
          </w:tcPr>
          <w:p>
            <w:pPr>
              <w:ind w:left="200"/>
              <w:spacing w:after="0" w:line="280"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Pay for Performance. </w:t>
            </w:r>
            <w:r>
              <w:rPr>
                <w:rFonts w:ascii="Arial" w:cs="Arial" w:eastAsia="Arial" w:hAnsi="Arial"/>
                <w:sz w:val="16"/>
                <w:szCs w:val="16"/>
                <w:color w:val="auto"/>
              </w:rPr>
              <w:t>Significant emphasis on incentive- and</w:t>
            </w:r>
          </w:p>
        </w:tc>
        <w:tc>
          <w:tcPr>
            <w:tcW w:w="5620" w:type="dxa"/>
            <w:vAlign w:val="bottom"/>
            <w:tcBorders>
              <w:right w:val="single" w:sz="8" w:color="auto"/>
            </w:tcBorders>
          </w:tcPr>
          <w:p>
            <w:pPr>
              <w:ind w:left="180"/>
              <w:spacing w:after="0"/>
              <w:rPr>
                <w:sz w:val="20"/>
                <w:szCs w:val="20"/>
                <w:color w:val="auto"/>
              </w:rPr>
            </w:pPr>
            <w:r>
              <w:rPr>
                <w:rFonts w:ascii="Arial" w:cs="Arial" w:eastAsia="Arial" w:hAnsi="Arial"/>
                <w:sz w:val="19"/>
                <w:szCs w:val="19"/>
                <w:b w:val="1"/>
                <w:bCs w:val="1"/>
                <w:i w:val="1"/>
                <w:iCs w:val="1"/>
                <w:color w:val="EE2724"/>
              </w:rPr>
              <w:t xml:space="preserve">X </w:t>
            </w:r>
            <w:r>
              <w:rPr>
                <w:rFonts w:ascii="Arial" w:cs="Arial" w:eastAsia="Arial" w:hAnsi="Arial"/>
                <w:sz w:val="16"/>
                <w:szCs w:val="16"/>
                <w:b w:val="1"/>
                <w:bCs w:val="1"/>
                <w:color w:val="000000"/>
              </w:rPr>
              <w:t>No Hedging or Pledging.</w:t>
            </w:r>
            <w:r>
              <w:rPr>
                <w:rFonts w:ascii="Arial" w:cs="Arial" w:eastAsia="Arial" w:hAnsi="Arial"/>
                <w:sz w:val="19"/>
                <w:szCs w:val="19"/>
                <w:b w:val="1"/>
                <w:bCs w:val="1"/>
                <w:i w:val="1"/>
                <w:iCs w:val="1"/>
                <w:color w:val="EE2724"/>
              </w:rPr>
              <w:t xml:space="preserve"> </w:t>
            </w:r>
            <w:r>
              <w:rPr>
                <w:rFonts w:ascii="Arial" w:cs="Arial" w:eastAsia="Arial" w:hAnsi="Arial"/>
                <w:sz w:val="16"/>
                <w:szCs w:val="16"/>
                <w:color w:val="000000"/>
              </w:rPr>
              <w:t>We do not permit hedging or pledging of our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5620" w:type="dxa"/>
            <w:vAlign w:val="bottom"/>
            <w:tcBorders>
              <w:left w:val="single" w:sz="8" w:color="auto"/>
              <w:right w:val="single" w:sz="8" w:color="auto"/>
            </w:tcBorders>
          </w:tcPr>
          <w:p>
            <w:pPr>
              <w:ind w:left="620"/>
              <w:spacing w:after="0" w:line="171" w:lineRule="exact"/>
              <w:rPr>
                <w:sz w:val="20"/>
                <w:szCs w:val="20"/>
                <w:color w:val="auto"/>
              </w:rPr>
            </w:pPr>
            <w:r>
              <w:rPr>
                <w:rFonts w:ascii="Arial" w:cs="Arial" w:eastAsia="Arial" w:hAnsi="Arial"/>
                <w:sz w:val="16"/>
                <w:szCs w:val="16"/>
                <w:color w:val="auto"/>
              </w:rPr>
              <w:t>performance-based compensation, with 60% of annual long-term</w:t>
            </w:r>
          </w:p>
        </w:tc>
        <w:tc>
          <w:tcPr>
            <w:tcW w:w="5620" w:type="dxa"/>
            <w:vAlign w:val="bottom"/>
            <w:tcBorders>
              <w:right w:val="single" w:sz="8" w:color="auto"/>
            </w:tcBorders>
          </w:tcPr>
          <w:p>
            <w:pPr>
              <w:ind w:left="600"/>
              <w:spacing w:after="0" w:line="171" w:lineRule="exact"/>
              <w:rPr>
                <w:sz w:val="20"/>
                <w:szCs w:val="20"/>
                <w:color w:val="auto"/>
              </w:rPr>
            </w:pPr>
            <w:r>
              <w:rPr>
                <w:rFonts w:ascii="Arial" w:cs="Arial" w:eastAsia="Arial" w:hAnsi="Arial"/>
                <w:sz w:val="16"/>
                <w:szCs w:val="16"/>
                <w:color w:val="auto"/>
              </w:rPr>
              <w:t>securities by our executive officers and directors.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incentive awards comprised of performance RSUs.</w:t>
            </w:r>
          </w:p>
        </w:tc>
        <w:tc>
          <w:tcPr>
            <w:tcW w:w="56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9"/>
                <w:szCs w:val="19"/>
                <w:b w:val="1"/>
                <w:bCs w:val="1"/>
                <w:i w:val="1"/>
                <w:iCs w:val="1"/>
                <w:color w:val="EE2724"/>
              </w:rPr>
              <w:t xml:space="preserve">X </w:t>
            </w:r>
            <w:r>
              <w:rPr>
                <w:rFonts w:ascii="Arial" w:cs="Arial" w:eastAsia="Arial" w:hAnsi="Arial"/>
                <w:sz w:val="16"/>
                <w:szCs w:val="16"/>
                <w:b w:val="1"/>
                <w:bCs w:val="1"/>
                <w:color w:val="000000"/>
              </w:rPr>
              <w:t>No Excise Tax Gross-ups.</w:t>
            </w:r>
            <w:r>
              <w:rPr>
                <w:rFonts w:ascii="Arial" w:cs="Arial" w:eastAsia="Arial" w:hAnsi="Arial"/>
                <w:sz w:val="19"/>
                <w:szCs w:val="19"/>
                <w:b w:val="1"/>
                <w:bCs w:val="1"/>
                <w:i w:val="1"/>
                <w:iCs w:val="1"/>
                <w:color w:val="EE2724"/>
              </w:rPr>
              <w:t xml:space="preserve"> </w:t>
            </w:r>
            <w:r>
              <w:rPr>
                <w:rFonts w:ascii="Arial" w:cs="Arial" w:eastAsia="Arial" w:hAnsi="Arial"/>
                <w:sz w:val="16"/>
                <w:szCs w:val="16"/>
                <w:color w:val="000000"/>
              </w:rPr>
              <w:t>There are no tax gross-ups on change-in-</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Borders>
              <w:left w:val="single" w:sz="8" w:color="auto"/>
              <w:right w:val="single" w:sz="8" w:color="auto"/>
            </w:tcBorders>
            <w:vMerge w:val="restart"/>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Compensation Program Responsive to Stockholder Feedback.</w:t>
            </w:r>
          </w:p>
        </w:tc>
        <w:tc>
          <w:tcPr>
            <w:tcW w:w="5620" w:type="dxa"/>
            <w:vAlign w:val="bottom"/>
            <w:tcBorders>
              <w:right w:val="single" w:sz="8" w:color="auto"/>
            </w:tcBorders>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7"/>
        </w:trPr>
        <w:tc>
          <w:tcPr>
            <w:tcW w:w="5620" w:type="dxa"/>
            <w:vAlign w:val="bottom"/>
            <w:tcBorders>
              <w:left w:val="single" w:sz="8" w:color="auto"/>
              <w:right w:val="single" w:sz="8" w:color="auto"/>
            </w:tcBorders>
            <w:vMerge w:val="continue"/>
          </w:tcPr>
          <w:p>
            <w:pPr>
              <w:spacing w:after="0"/>
              <w:rPr>
                <w:sz w:val="18"/>
                <w:szCs w:val="18"/>
                <w:color w:val="auto"/>
              </w:rPr>
            </w:pPr>
          </w:p>
        </w:tc>
        <w:tc>
          <w:tcPr>
            <w:tcW w:w="5620" w:type="dxa"/>
            <w:vAlign w:val="bottom"/>
            <w:tcBorders>
              <w:right w:val="single" w:sz="8" w:color="auto"/>
            </w:tcBorders>
          </w:tcPr>
          <w:p>
            <w:pPr>
              <w:ind w:left="600"/>
              <w:spacing w:after="0"/>
              <w:rPr>
                <w:sz w:val="20"/>
                <w:szCs w:val="20"/>
                <w:color w:val="auto"/>
              </w:rPr>
            </w:pPr>
            <w:r>
              <w:rPr>
                <w:rFonts w:ascii="Arial" w:cs="Arial" w:eastAsia="Arial" w:hAnsi="Arial"/>
                <w:sz w:val="16"/>
                <w:szCs w:val="16"/>
                <w:color w:val="auto"/>
              </w:rPr>
              <w:t>control benefits.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5620" w:type="dxa"/>
            <w:vAlign w:val="bottom"/>
            <w:tcBorders>
              <w:left w:val="single" w:sz="8" w:color="auto"/>
              <w:right w:val="single" w:sz="8" w:color="auto"/>
            </w:tcBorders>
          </w:tcPr>
          <w:p>
            <w:pPr>
              <w:ind w:left="620"/>
              <w:spacing w:after="0" w:line="163" w:lineRule="exact"/>
              <w:rPr>
                <w:sz w:val="20"/>
                <w:szCs w:val="20"/>
                <w:color w:val="auto"/>
              </w:rPr>
            </w:pPr>
            <w:r>
              <w:rPr>
                <w:rFonts w:ascii="Arial" w:cs="Arial" w:eastAsia="Arial" w:hAnsi="Arial"/>
                <w:sz w:val="16"/>
                <w:szCs w:val="16"/>
                <w:color w:val="auto"/>
              </w:rPr>
              <w:t>We seek stockholder input and perspective on our compensation</w:t>
            </w:r>
          </w:p>
        </w:tc>
        <w:tc>
          <w:tcPr>
            <w:tcW w:w="5620" w:type="dxa"/>
            <w:vAlign w:val="bottom"/>
            <w:tcBorders>
              <w:right w:val="single" w:sz="8" w:color="auto"/>
            </w:tcBorders>
            <w:vMerge w:val="restart"/>
          </w:tcPr>
          <w:p>
            <w:pPr>
              <w:ind w:left="160"/>
              <w:spacing w:after="0"/>
              <w:rPr>
                <w:sz w:val="20"/>
                <w:szCs w:val="20"/>
                <w:color w:val="auto"/>
              </w:rPr>
            </w:pPr>
            <w:r>
              <w:rPr>
                <w:rFonts w:ascii="Arial" w:cs="Arial" w:eastAsia="Arial" w:hAnsi="Arial"/>
                <w:sz w:val="19"/>
                <w:szCs w:val="19"/>
                <w:b w:val="1"/>
                <w:bCs w:val="1"/>
                <w:i w:val="1"/>
                <w:iCs w:val="1"/>
                <w:color w:val="EE2724"/>
              </w:rPr>
              <w:t xml:space="preserve">X </w:t>
            </w:r>
            <w:r>
              <w:rPr>
                <w:rFonts w:ascii="Arial" w:cs="Arial" w:eastAsia="Arial" w:hAnsi="Arial"/>
                <w:sz w:val="16"/>
                <w:szCs w:val="16"/>
                <w:b w:val="1"/>
                <w:bCs w:val="1"/>
                <w:color w:val="000000"/>
              </w:rPr>
              <w:t>No Employment Agreements for our Executive Officers.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56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program.</w:t>
            </w:r>
          </w:p>
        </w:tc>
        <w:tc>
          <w:tcPr>
            <w:tcW w:w="5620" w:type="dxa"/>
            <w:vAlign w:val="bottom"/>
            <w:tcBorders>
              <w:right w:val="single" w:sz="8" w:color="auto"/>
            </w:tcBorders>
            <w:vMerge w:val="continue"/>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4"/>
        </w:trPr>
        <w:tc>
          <w:tcPr>
            <w:tcW w:w="5620" w:type="dxa"/>
            <w:vAlign w:val="bottom"/>
            <w:tcBorders>
              <w:left w:val="single" w:sz="8" w:color="auto"/>
              <w:right w:val="single" w:sz="8" w:color="auto"/>
            </w:tcBorders>
            <w:vMerge w:val="restart"/>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Benchmarking to Similarly Sized Companies. </w:t>
            </w:r>
            <w:r>
              <w:rPr>
                <w:rFonts w:ascii="Arial" w:cs="Arial" w:eastAsia="Arial" w:hAnsi="Arial"/>
                <w:sz w:val="16"/>
                <w:szCs w:val="16"/>
                <w:color w:val="auto"/>
              </w:rPr>
              <w:t>We avoid</w:t>
            </w:r>
          </w:p>
        </w:tc>
        <w:tc>
          <w:tcPr>
            <w:tcW w:w="5620" w:type="dxa"/>
            <w:vAlign w:val="bottom"/>
            <w:tcBorders>
              <w:right w:val="single" w:sz="8" w:color="auto"/>
            </w:tcBorders>
          </w:tcPr>
          <w:p>
            <w:pPr>
              <w:ind w:left="160"/>
              <w:spacing w:after="0"/>
              <w:rPr>
                <w:sz w:val="20"/>
                <w:szCs w:val="20"/>
                <w:color w:val="auto"/>
              </w:rPr>
            </w:pPr>
            <w:r>
              <w:rPr>
                <w:rFonts w:ascii="Arial" w:cs="Arial" w:eastAsia="Arial" w:hAnsi="Arial"/>
                <w:sz w:val="19"/>
                <w:szCs w:val="19"/>
                <w:b w:val="1"/>
                <w:bCs w:val="1"/>
                <w:i w:val="1"/>
                <w:iCs w:val="1"/>
                <w:color w:val="EE2724"/>
              </w:rPr>
              <w:t xml:space="preserve">X </w:t>
            </w:r>
            <w:r>
              <w:rPr>
                <w:rFonts w:ascii="Arial" w:cs="Arial" w:eastAsia="Arial" w:hAnsi="Arial"/>
                <w:sz w:val="16"/>
                <w:szCs w:val="16"/>
                <w:b w:val="1"/>
                <w:bCs w:val="1"/>
                <w:color w:val="000000"/>
              </w:rPr>
              <w:t>No Excessive Risk-Taking in Incentive Compensation.</w:t>
            </w:r>
            <w:r>
              <w:rPr>
                <w:rFonts w:ascii="Arial" w:cs="Arial" w:eastAsia="Arial" w:hAnsi="Arial"/>
                <w:sz w:val="19"/>
                <w:szCs w:val="19"/>
                <w:b w:val="1"/>
                <w:bCs w:val="1"/>
                <w:i w:val="1"/>
                <w:iCs w:val="1"/>
                <w:color w:val="EE2724"/>
              </w:rPr>
              <w:t xml:space="preserve"> </w:t>
            </w:r>
            <w:r>
              <w:rPr>
                <w:rFonts w:ascii="Arial" w:cs="Arial" w:eastAsia="Arial" w:hAnsi="Arial"/>
                <w:sz w:val="16"/>
                <w:szCs w:val="16"/>
                <w:color w:val="000000"/>
              </w:rPr>
              <w:t>Our annual</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3"/>
        </w:trPr>
        <w:tc>
          <w:tcPr>
            <w:tcW w:w="5620" w:type="dxa"/>
            <w:vAlign w:val="bottom"/>
            <w:tcBorders>
              <w:left w:val="single" w:sz="8" w:color="auto"/>
              <w:right w:val="single" w:sz="8" w:color="auto"/>
            </w:tcBorders>
            <w:vMerge w:val="continue"/>
          </w:tcPr>
          <w:p>
            <w:pPr>
              <w:spacing w:after="0"/>
              <w:rPr>
                <w:sz w:val="14"/>
                <w:szCs w:val="14"/>
                <w:color w:val="auto"/>
              </w:rPr>
            </w:pPr>
          </w:p>
        </w:tc>
        <w:tc>
          <w:tcPr>
            <w:tcW w:w="5620" w:type="dxa"/>
            <w:vAlign w:val="bottom"/>
            <w:tcBorders>
              <w:right w:val="single" w:sz="8" w:color="auto"/>
            </w:tcBorders>
          </w:tcPr>
          <w:p>
            <w:pPr>
              <w:ind w:left="600"/>
              <w:spacing w:after="0" w:line="163" w:lineRule="exact"/>
              <w:rPr>
                <w:sz w:val="20"/>
                <w:szCs w:val="20"/>
                <w:color w:val="auto"/>
              </w:rPr>
            </w:pPr>
            <w:r>
              <w:rPr>
                <w:rFonts w:ascii="Arial" w:cs="Arial" w:eastAsia="Arial" w:hAnsi="Arial"/>
                <w:sz w:val="16"/>
                <w:szCs w:val="16"/>
                <w:color w:val="auto"/>
              </w:rPr>
              <w:t>and long-term incentive programs use multiple performance metrics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5"/>
        </w:trPr>
        <w:tc>
          <w:tcPr>
            <w:tcW w:w="5620" w:type="dxa"/>
            <w:vAlign w:val="bottom"/>
            <w:tcBorders>
              <w:left w:val="single" w:sz="8" w:color="auto"/>
              <w:right w:val="single" w:sz="8" w:color="auto"/>
            </w:tcBorders>
          </w:tcPr>
          <w:p>
            <w:pPr>
              <w:ind w:left="620"/>
              <w:spacing w:after="0" w:line="85" w:lineRule="exact"/>
              <w:rPr>
                <w:sz w:val="20"/>
                <w:szCs w:val="20"/>
                <w:color w:val="auto"/>
              </w:rPr>
            </w:pPr>
            <w:r>
              <w:rPr>
                <w:rFonts w:ascii="Arial" w:cs="Arial" w:eastAsia="Arial" w:hAnsi="Arial"/>
                <w:sz w:val="9"/>
                <w:szCs w:val="9"/>
                <w:color w:val="auto"/>
              </w:rPr>
              <w:t>benchmarking executive pay to oversized peers by ensuring that the</w:t>
            </w:r>
          </w:p>
        </w:tc>
        <w:tc>
          <w:tcPr>
            <w:tcW w:w="5620" w:type="dxa"/>
            <w:vAlign w:val="bottom"/>
            <w:tcBorders>
              <w:right w:val="single" w:sz="8" w:color="auto"/>
            </w:tcBorders>
            <w:vMerge w:val="restart"/>
          </w:tcPr>
          <w:p>
            <w:pPr>
              <w:ind w:left="600"/>
              <w:spacing w:after="0" w:line="166" w:lineRule="exact"/>
              <w:rPr>
                <w:sz w:val="20"/>
                <w:szCs w:val="20"/>
                <w:color w:val="auto"/>
              </w:rPr>
            </w:pPr>
            <w:r>
              <w:rPr>
                <w:rFonts w:ascii="Arial" w:cs="Arial" w:eastAsia="Arial" w:hAnsi="Arial"/>
                <w:sz w:val="16"/>
                <w:szCs w:val="16"/>
                <w:color w:val="auto"/>
              </w:rPr>
              <w:t>and capped pay-outs and other features intended to minimize the</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5620" w:type="dxa"/>
            <w:vAlign w:val="bottom"/>
            <w:tcBorders>
              <w:left w:val="single" w:sz="8" w:color="auto"/>
              <w:right w:val="single" w:sz="8" w:color="auto"/>
            </w:tcBorders>
            <w:vMerge w:val="restart"/>
          </w:tcPr>
          <w:p>
            <w:pPr>
              <w:ind w:left="620"/>
              <w:spacing w:after="0"/>
              <w:rPr>
                <w:sz w:val="20"/>
                <w:szCs w:val="20"/>
                <w:color w:val="auto"/>
              </w:rPr>
            </w:pPr>
            <w:r>
              <w:rPr>
                <w:rFonts w:ascii="Arial" w:cs="Arial" w:eastAsia="Arial" w:hAnsi="Arial"/>
                <w:sz w:val="16"/>
                <w:szCs w:val="16"/>
                <w:color w:val="auto"/>
              </w:rPr>
              <w:t>market data reflects companies of similar revenue size.</w:t>
            </w:r>
          </w:p>
        </w:tc>
        <w:tc>
          <w:tcPr>
            <w:tcW w:w="5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5620" w:type="dxa"/>
            <w:vAlign w:val="bottom"/>
            <w:tcBorders>
              <w:left w:val="single" w:sz="8" w:color="auto"/>
              <w:right w:val="single" w:sz="8" w:color="auto"/>
            </w:tcBorders>
            <w:vMerge w:val="continue"/>
          </w:tcPr>
          <w:p>
            <w:pPr>
              <w:spacing w:after="0"/>
              <w:rPr>
                <w:sz w:val="11"/>
                <w:szCs w:val="11"/>
                <w:color w:val="auto"/>
              </w:rPr>
            </w:pPr>
          </w:p>
        </w:tc>
        <w:tc>
          <w:tcPr>
            <w:tcW w:w="5620" w:type="dxa"/>
            <w:vAlign w:val="bottom"/>
            <w:tcBorders>
              <w:right w:val="single" w:sz="8" w:color="auto"/>
            </w:tcBorders>
            <w:vMerge w:val="restart"/>
          </w:tcPr>
          <w:p>
            <w:pPr>
              <w:ind w:left="600"/>
              <w:spacing w:after="0"/>
              <w:rPr>
                <w:sz w:val="20"/>
                <w:szCs w:val="20"/>
                <w:color w:val="auto"/>
              </w:rPr>
            </w:pPr>
            <w:r>
              <w:rPr>
                <w:rFonts w:ascii="Arial" w:cs="Arial" w:eastAsia="Arial" w:hAnsi="Arial"/>
                <w:sz w:val="16"/>
                <w:szCs w:val="16"/>
                <w:color w:val="auto"/>
              </w:rPr>
              <w:t>incentive to take overly risky actions.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5620" w:type="dxa"/>
            <w:vAlign w:val="bottom"/>
            <w:tcBorders>
              <w:left w:val="single" w:sz="8" w:color="auto"/>
              <w:right w:val="single" w:sz="8" w:color="auto"/>
            </w:tcBorders>
            <w:vMerge w:val="restart"/>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Clawbacks. </w:t>
            </w:r>
            <w:r>
              <w:rPr>
                <w:rFonts w:ascii="Arial" w:cs="Arial" w:eastAsia="Arial" w:hAnsi="Arial"/>
                <w:sz w:val="16"/>
                <w:szCs w:val="16"/>
                <w:color w:val="auto"/>
              </w:rPr>
              <w:t>We can recover compensation under our annual and</w:t>
            </w:r>
          </w:p>
        </w:tc>
        <w:tc>
          <w:tcPr>
            <w:tcW w:w="5620" w:type="dxa"/>
            <w:vAlign w:val="bottom"/>
            <w:tcBorders>
              <w:right w:val="single" w:sz="8" w:color="auto"/>
            </w:tcBorders>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7"/>
        </w:trPr>
        <w:tc>
          <w:tcPr>
            <w:tcW w:w="5620" w:type="dxa"/>
            <w:vAlign w:val="bottom"/>
            <w:tcBorders>
              <w:left w:val="single" w:sz="8" w:color="auto"/>
              <w:right w:val="single" w:sz="8" w:color="auto"/>
            </w:tcBorders>
            <w:vMerge w:val="continue"/>
          </w:tcPr>
          <w:p>
            <w:pPr>
              <w:spacing w:after="0"/>
              <w:rPr>
                <w:sz w:val="24"/>
                <w:szCs w:val="24"/>
                <w:color w:val="auto"/>
              </w:rPr>
            </w:pPr>
          </w:p>
        </w:tc>
        <w:tc>
          <w:tcPr>
            <w:tcW w:w="5620" w:type="dxa"/>
            <w:vAlign w:val="bottom"/>
            <w:tcBorders>
              <w:right w:val="single" w:sz="8" w:color="auto"/>
            </w:tcBorders>
          </w:tcPr>
          <w:p>
            <w:pPr>
              <w:ind w:left="160"/>
              <w:spacing w:after="0"/>
              <w:rPr>
                <w:sz w:val="20"/>
                <w:szCs w:val="20"/>
                <w:color w:val="auto"/>
              </w:rPr>
            </w:pPr>
            <w:r>
              <w:rPr>
                <w:rFonts w:ascii="Arial" w:cs="Arial" w:eastAsia="Arial" w:hAnsi="Arial"/>
                <w:sz w:val="19"/>
                <w:szCs w:val="19"/>
                <w:b w:val="1"/>
                <w:bCs w:val="1"/>
                <w:i w:val="1"/>
                <w:iCs w:val="1"/>
                <w:color w:val="EE2724"/>
              </w:rPr>
              <w:t xml:space="preserve">X </w:t>
            </w:r>
            <w:r>
              <w:rPr>
                <w:rFonts w:ascii="Arial" w:cs="Arial" w:eastAsia="Arial" w:hAnsi="Arial"/>
                <w:sz w:val="16"/>
                <w:szCs w:val="16"/>
                <w:b w:val="1"/>
                <w:bCs w:val="1"/>
                <w:color w:val="000000"/>
              </w:rPr>
              <w:t>No Guaranteed Minimum Pay-out for our Annual or Long-term</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5620" w:type="dxa"/>
            <w:vAlign w:val="bottom"/>
            <w:tcBorders>
              <w:left w:val="single" w:sz="8" w:color="auto"/>
              <w:right w:val="single" w:sz="8" w:color="auto"/>
            </w:tcBorders>
          </w:tcPr>
          <w:p>
            <w:pPr>
              <w:ind w:left="620"/>
              <w:spacing w:after="0" w:line="172" w:lineRule="exact"/>
              <w:rPr>
                <w:sz w:val="20"/>
                <w:szCs w:val="20"/>
                <w:color w:val="auto"/>
              </w:rPr>
            </w:pPr>
            <w:r>
              <w:rPr>
                <w:rFonts w:ascii="Arial" w:cs="Arial" w:eastAsia="Arial" w:hAnsi="Arial"/>
                <w:sz w:val="16"/>
                <w:szCs w:val="16"/>
                <w:color w:val="auto"/>
              </w:rPr>
              <w:t>long-term incentive plans in appropriate circumstances.</w:t>
            </w:r>
          </w:p>
        </w:tc>
        <w:tc>
          <w:tcPr>
            <w:tcW w:w="5620" w:type="dxa"/>
            <w:vAlign w:val="bottom"/>
            <w:tcBorders>
              <w:right w:val="single" w:sz="8" w:color="auto"/>
            </w:tcBorders>
          </w:tcPr>
          <w:p>
            <w:pPr>
              <w:ind w:left="600"/>
              <w:spacing w:after="0" w:line="172" w:lineRule="exact"/>
              <w:rPr>
                <w:sz w:val="20"/>
                <w:szCs w:val="20"/>
                <w:color w:val="auto"/>
              </w:rPr>
            </w:pPr>
            <w:r>
              <w:rPr>
                <w:rFonts w:ascii="Arial" w:cs="Arial" w:eastAsia="Arial" w:hAnsi="Arial"/>
                <w:sz w:val="16"/>
                <w:szCs w:val="16"/>
                <w:b w:val="1"/>
                <w:bCs w:val="1"/>
                <w:color w:val="auto"/>
              </w:rPr>
              <w:t>Performance-based Awards.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0"/>
        </w:trPr>
        <w:tc>
          <w:tcPr>
            <w:tcW w:w="5620" w:type="dxa"/>
            <w:vAlign w:val="bottom"/>
            <w:tcBorders>
              <w:left w:val="single" w:sz="8" w:color="auto"/>
              <w:right w:val="single" w:sz="8" w:color="auto"/>
            </w:tcBorders>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“Double Trigger” Vesting in a Change in Control.</w:t>
            </w:r>
          </w:p>
        </w:tc>
        <w:tc>
          <w:tcPr>
            <w:tcW w:w="56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5620" w:type="dxa"/>
            <w:vAlign w:val="bottom"/>
            <w:tcBorders>
              <w:left w:val="single" w:sz="8" w:color="auto"/>
              <w:right w:val="single" w:sz="8" w:color="auto"/>
            </w:tcBorders>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Limited Perquisites and Tax Reimbursements.</w:t>
            </w:r>
          </w:p>
        </w:tc>
        <w:tc>
          <w:tcPr>
            <w:tcW w:w="56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5620" w:type="dxa"/>
            <w:vAlign w:val="bottom"/>
            <w:tcBorders>
              <w:left w:val="single" w:sz="8" w:color="auto"/>
              <w:right w:val="single" w:sz="8" w:color="auto"/>
            </w:tcBorders>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Stock Ownership Requirements. </w:t>
            </w:r>
            <w:r>
              <w:rPr>
                <w:rFonts w:ascii="Arial" w:cs="Arial" w:eastAsia="Arial" w:hAnsi="Arial"/>
                <w:sz w:val="16"/>
                <w:szCs w:val="16"/>
                <w:color w:val="auto"/>
              </w:rPr>
              <w:t>We maintain robust requirements</w:t>
            </w:r>
          </w:p>
        </w:tc>
        <w:tc>
          <w:tcPr>
            <w:tcW w:w="56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620" w:type="dxa"/>
            <w:vAlign w:val="bottom"/>
            <w:tcBorders>
              <w:left w:val="single" w:sz="8" w:color="auto"/>
              <w:right w:val="single" w:sz="8" w:color="auto"/>
            </w:tcBorders>
          </w:tcPr>
          <w:p>
            <w:pPr>
              <w:ind w:left="620"/>
              <w:spacing w:after="0"/>
              <w:rPr>
                <w:sz w:val="20"/>
                <w:szCs w:val="20"/>
                <w:color w:val="auto"/>
              </w:rPr>
            </w:pPr>
            <w:r>
              <w:rPr>
                <w:rFonts w:ascii="Arial" w:cs="Arial" w:eastAsia="Arial" w:hAnsi="Arial"/>
                <w:sz w:val="16"/>
                <w:szCs w:val="16"/>
                <w:color w:val="auto"/>
              </w:rPr>
              <w:t>for our executive officers and directors.</w:t>
            </w:r>
          </w:p>
        </w:tc>
        <w:tc>
          <w:tcPr>
            <w:tcW w:w="56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5620" w:type="dxa"/>
            <w:vAlign w:val="bottom"/>
            <w:tcBorders>
              <w:left w:val="single" w:sz="8" w:color="auto"/>
              <w:right w:val="single" w:sz="8" w:color="auto"/>
            </w:tcBorders>
          </w:tcPr>
          <w:p>
            <w:pPr>
              <w:ind w:left="180"/>
              <w:spacing w:after="0" w:line="334" w:lineRule="exact"/>
              <w:rPr>
                <w:sz w:val="20"/>
                <w:szCs w:val="20"/>
                <w:color w:val="auto"/>
              </w:rPr>
            </w:pPr>
            <w:r>
              <w:rPr>
                <w:rFonts w:ascii="MS PGothic" w:cs="MS PGothic" w:eastAsia="MS PGothic" w:hAnsi="MS PGothic"/>
                <w:sz w:val="29"/>
                <w:szCs w:val="29"/>
                <w:color w:val="5B9A04"/>
              </w:rPr>
              <w:t>✔</w:t>
            </w:r>
            <w:r>
              <w:rPr>
                <w:rFonts w:ascii="Arial" w:cs="Arial" w:eastAsia="Arial" w:hAnsi="Arial"/>
                <w:sz w:val="16"/>
                <w:szCs w:val="16"/>
                <w:b w:val="1"/>
                <w:bCs w:val="1"/>
                <w:color w:val="auto"/>
              </w:rPr>
              <w:t xml:space="preserve"> Independent Compensation Consultant.</w:t>
            </w:r>
          </w:p>
        </w:tc>
        <w:tc>
          <w:tcPr>
            <w:tcW w:w="56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5620" w:type="dxa"/>
            <w:vAlign w:val="bottom"/>
            <w:tcBorders>
              <w:left w:val="single" w:sz="8" w:color="auto"/>
              <w:bottom w:val="single" w:sz="8" w:color="auto"/>
              <w:right w:val="single" w:sz="8" w:color="auto"/>
            </w:tcBorders>
          </w:tcPr>
          <w:p>
            <w:pPr>
              <w:spacing w:after="0"/>
              <w:rPr>
                <w:sz w:val="4"/>
                <w:szCs w:val="4"/>
                <w:color w:val="auto"/>
              </w:rPr>
            </w:pPr>
          </w:p>
        </w:tc>
        <w:tc>
          <w:tcPr>
            <w:tcW w:w="56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80"/>
        </w:trPr>
        <w:tc>
          <w:tcPr>
            <w:tcW w:w="5620" w:type="dxa"/>
            <w:vAlign w:val="bottom"/>
          </w:tcPr>
          <w:p>
            <w:pPr>
              <w:spacing w:after="0"/>
              <w:rPr>
                <w:sz w:val="24"/>
                <w:szCs w:val="24"/>
                <w:color w:val="auto"/>
              </w:rPr>
            </w:pPr>
          </w:p>
        </w:tc>
        <w:tc>
          <w:tcPr>
            <w:tcW w:w="5640" w:type="dxa"/>
            <w:vAlign w:val="bottom"/>
            <w:gridSpan w:val="2"/>
          </w:tcPr>
          <w:p>
            <w:pPr>
              <w:ind w:left="3420"/>
              <w:spacing w:after="0"/>
              <w:rPr>
                <w:sz w:val="20"/>
                <w:szCs w:val="20"/>
                <w:color w:val="auto"/>
              </w:rPr>
            </w:pPr>
            <w:r>
              <w:rPr>
                <w:rFonts w:ascii="Arial" w:cs="Arial" w:eastAsia="Arial" w:hAnsi="Arial"/>
                <w:sz w:val="16"/>
                <w:szCs w:val="16"/>
                <w:color w:val="auto"/>
              </w:rPr>
              <w:t xml:space="preserve">2023 PROXY STATEMENT </w:t>
            </w:r>
            <w:r>
              <w:rPr>
                <w:rFonts w:ascii="Arial" w:cs="Arial" w:eastAsia="Arial" w:hAnsi="Arial"/>
                <w:sz w:val="16"/>
                <w:szCs w:val="16"/>
                <w:b w:val="1"/>
                <w:bCs w:val="1"/>
                <w:color w:val="2C2C2C"/>
              </w:rPr>
              <w:t>23</w:t>
            </w:r>
          </w:p>
        </w:tc>
        <w:tc>
          <w:tcPr>
            <w:tcW w:w="0" w:type="dxa"/>
            <w:vAlign w:val="bottom"/>
          </w:tcPr>
          <w:p>
            <w:pPr>
              <w:spacing w:after="0"/>
              <w:rPr>
                <w:sz w:val="1"/>
                <w:szCs w:val="1"/>
                <w:color w:val="auto"/>
              </w:rPr>
            </w:pPr>
          </w:p>
        </w:tc>
      </w:tr>
      <w:tr>
        <w:trPr>
          <w:trHeight w:val="91"/>
        </w:trPr>
        <w:tc>
          <w:tcPr>
            <w:tcW w:w="5620" w:type="dxa"/>
            <w:vAlign w:val="bottom"/>
            <w:tcBorders>
              <w:bottom w:val="single" w:sz="8" w:color="9A9A9A"/>
            </w:tcBorders>
          </w:tcPr>
          <w:p>
            <w:pPr>
              <w:spacing w:after="0"/>
              <w:rPr>
                <w:sz w:val="7"/>
                <w:szCs w:val="7"/>
                <w:color w:val="auto"/>
              </w:rPr>
            </w:pPr>
          </w:p>
        </w:tc>
        <w:tc>
          <w:tcPr>
            <w:tcW w:w="56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-324485</wp:posOffset>
            </wp:positionV>
            <wp:extent cx="440690" cy="1854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40690" cy="1854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5" w:name="page36"/>
    <w:bookmarkEnd w:id="35"/>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EXECUTIVE COMPENSATION PLAN DESIGN</w:t>
      </w:r>
    </w:p>
    <w:p>
      <w:pPr>
        <w:spacing w:after="0" w:line="96"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Following a comprehensive review of our executive compensation program with Exequity, our executive compensation consultant, we made the following design changes to the 2022 executive compensation program: (i) adding total shareholder return ("TSR") as a metric for our long-term incentive plan, and (ii) replacing adjusted earnings per share with adjusted earnings before interest, tax, depreciation and amortization ("EBITDA") as a metric in our long-term incentive plan. The following are some of the key design attributes and components of BWXT's 2022 incentive program.</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20" w:type="dxa"/>
            <w:vAlign w:val="bottom"/>
            <w:shd w:val="clear" w:color="auto" w:fill="000000"/>
          </w:tcPr>
          <w:p>
            <w:pPr>
              <w:spacing w:after="0"/>
              <w:rPr>
                <w:sz w:val="18"/>
                <w:szCs w:val="18"/>
                <w:color w:val="auto"/>
              </w:rPr>
            </w:pPr>
          </w:p>
        </w:tc>
        <w:tc>
          <w:tcPr>
            <w:tcW w:w="8300" w:type="dxa"/>
            <w:vAlign w:val="bottom"/>
            <w:shd w:val="clear" w:color="auto" w:fill="000000"/>
          </w:tcPr>
          <w:p>
            <w:pPr>
              <w:ind w:left="640"/>
              <w:spacing w:after="0"/>
              <w:rPr>
                <w:sz w:val="20"/>
                <w:szCs w:val="20"/>
                <w:color w:val="auto"/>
              </w:rPr>
            </w:pPr>
            <w:r>
              <w:rPr>
                <w:rFonts w:ascii="Arial" w:cs="Arial" w:eastAsia="Arial" w:hAnsi="Arial"/>
                <w:sz w:val="16"/>
                <w:szCs w:val="16"/>
                <w:b w:val="1"/>
                <w:bCs w:val="1"/>
                <w:color w:val="FFFFFF"/>
              </w:rPr>
              <w:t>2022 Executive Compensation Plan Design Overview</w:t>
            </w:r>
          </w:p>
        </w:tc>
      </w:tr>
      <w:tr>
        <w:trPr>
          <w:trHeight w:val="166"/>
        </w:trPr>
        <w:tc>
          <w:tcPr>
            <w:tcW w:w="2920" w:type="dxa"/>
            <w:vAlign w:val="bottom"/>
          </w:tcPr>
          <w:p>
            <w:pPr>
              <w:ind w:left="120"/>
              <w:spacing w:after="0" w:line="166" w:lineRule="exact"/>
              <w:rPr>
                <w:sz w:val="20"/>
                <w:szCs w:val="20"/>
                <w:color w:val="auto"/>
              </w:rPr>
            </w:pPr>
            <w:r>
              <w:rPr>
                <w:rFonts w:ascii="Arial" w:cs="Arial" w:eastAsia="Arial" w:hAnsi="Arial"/>
                <w:sz w:val="16"/>
                <w:szCs w:val="16"/>
                <w:color w:val="auto"/>
              </w:rPr>
              <w:t>Pay Philosophy</w:t>
            </w:r>
          </w:p>
        </w:tc>
        <w:tc>
          <w:tcPr>
            <w:tcW w:w="8300" w:type="dxa"/>
            <w:vAlign w:val="bottom"/>
          </w:tcPr>
          <w:p>
            <w:pPr>
              <w:ind w:left="3100"/>
              <w:spacing w:after="0" w:line="166" w:lineRule="exact"/>
              <w:rPr>
                <w:sz w:val="20"/>
                <w:szCs w:val="20"/>
                <w:color w:val="auto"/>
              </w:rPr>
            </w:pPr>
            <w:r>
              <w:rPr>
                <w:rFonts w:ascii="Arial" w:cs="Arial" w:eastAsia="Arial" w:hAnsi="Arial"/>
                <w:sz w:val="16"/>
                <w:szCs w:val="16"/>
                <w:color w:val="auto"/>
              </w:rPr>
              <w:t>Base salary, annual incentive and long-term incentive compensation</w:t>
            </w:r>
          </w:p>
        </w:tc>
      </w:tr>
      <w:tr>
        <w:trPr>
          <w:trHeight w:val="163"/>
        </w:trPr>
        <w:tc>
          <w:tcPr>
            <w:tcW w:w="2920" w:type="dxa"/>
            <w:vAlign w:val="bottom"/>
          </w:tcPr>
          <w:p>
            <w:pPr>
              <w:spacing w:after="0"/>
              <w:rPr>
                <w:sz w:val="14"/>
                <w:szCs w:val="14"/>
                <w:color w:val="auto"/>
              </w:rPr>
            </w:pPr>
          </w:p>
        </w:tc>
        <w:tc>
          <w:tcPr>
            <w:tcW w:w="8300" w:type="dxa"/>
            <w:vAlign w:val="bottom"/>
          </w:tcPr>
          <w:p>
            <w:pPr>
              <w:ind w:left="3100"/>
              <w:spacing w:after="0" w:line="163" w:lineRule="exact"/>
              <w:rPr>
                <w:sz w:val="20"/>
                <w:szCs w:val="20"/>
                <w:color w:val="auto"/>
              </w:rPr>
            </w:pPr>
            <w:r>
              <w:rPr>
                <w:rFonts w:ascii="Arial" w:cs="Arial" w:eastAsia="Arial" w:hAnsi="Arial"/>
                <w:sz w:val="16"/>
                <w:szCs w:val="16"/>
                <w:color w:val="auto"/>
              </w:rPr>
              <w:t>designed to attract and retain leadership talent and incent a strong</w:t>
            </w:r>
          </w:p>
        </w:tc>
      </w:tr>
      <w:tr>
        <w:trPr>
          <w:trHeight w:val="207"/>
        </w:trPr>
        <w:tc>
          <w:tcPr>
            <w:tcW w:w="2920" w:type="dxa"/>
            <w:vAlign w:val="bottom"/>
            <w:tcBorders>
              <w:bottom w:val="single" w:sz="8" w:color="auto"/>
            </w:tcBorders>
          </w:tcPr>
          <w:p>
            <w:pPr>
              <w:spacing w:after="0"/>
              <w:rPr>
                <w:sz w:val="18"/>
                <w:szCs w:val="18"/>
                <w:color w:val="auto"/>
              </w:rPr>
            </w:pPr>
          </w:p>
        </w:tc>
        <w:tc>
          <w:tcPr>
            <w:tcW w:w="8300" w:type="dxa"/>
            <w:vAlign w:val="bottom"/>
            <w:tcBorders>
              <w:bottom w:val="single" w:sz="8" w:color="auto"/>
            </w:tcBorders>
          </w:tcPr>
          <w:p>
            <w:pPr>
              <w:ind w:left="3100"/>
              <w:spacing w:after="0"/>
              <w:rPr>
                <w:sz w:val="20"/>
                <w:szCs w:val="20"/>
                <w:color w:val="auto"/>
              </w:rPr>
            </w:pPr>
            <w:r>
              <w:rPr>
                <w:rFonts w:ascii="Arial" w:cs="Arial" w:eastAsia="Arial" w:hAnsi="Arial"/>
                <w:sz w:val="16"/>
                <w:szCs w:val="16"/>
                <w:color w:val="auto"/>
              </w:rPr>
              <w:t>focus on operating results and alignment with stockholder interests</w:t>
            </w:r>
          </w:p>
        </w:tc>
      </w:tr>
      <w:tr>
        <w:trPr>
          <w:trHeight w:val="158"/>
        </w:trPr>
        <w:tc>
          <w:tcPr>
            <w:tcW w:w="2920" w:type="dxa"/>
            <w:vAlign w:val="bottom"/>
            <w:shd w:val="clear" w:color="auto" w:fill="DBDBDB"/>
          </w:tcPr>
          <w:p>
            <w:pPr>
              <w:ind w:left="120"/>
              <w:spacing w:after="0" w:line="158" w:lineRule="exact"/>
              <w:rPr>
                <w:sz w:val="20"/>
                <w:szCs w:val="20"/>
                <w:color w:val="auto"/>
              </w:rPr>
            </w:pPr>
            <w:r>
              <w:rPr>
                <w:rFonts w:ascii="Arial" w:cs="Arial" w:eastAsia="Arial" w:hAnsi="Arial"/>
                <w:sz w:val="16"/>
                <w:szCs w:val="16"/>
                <w:color w:val="auto"/>
              </w:rPr>
              <w:t>Annual Incentive Program</w:t>
            </w:r>
          </w:p>
        </w:tc>
        <w:tc>
          <w:tcPr>
            <w:tcW w:w="8300" w:type="dxa"/>
            <w:vAlign w:val="bottom"/>
            <w:shd w:val="clear" w:color="auto" w:fill="DBDBDB"/>
          </w:tcPr>
          <w:p>
            <w:pPr>
              <w:ind w:left="3100"/>
              <w:spacing w:after="0" w:line="158" w:lineRule="exact"/>
              <w:rPr>
                <w:sz w:val="20"/>
                <w:szCs w:val="20"/>
                <w:color w:val="auto"/>
              </w:rPr>
            </w:pPr>
            <w:r>
              <w:rPr>
                <w:rFonts w:ascii="Arial" w:cs="Arial" w:eastAsia="Arial" w:hAnsi="Arial"/>
                <w:sz w:val="16"/>
                <w:szCs w:val="16"/>
                <w:color w:val="auto"/>
              </w:rPr>
              <w:t>90% financial performance (75% operating income and 15% operating</w:t>
            </w:r>
          </w:p>
        </w:tc>
      </w:tr>
      <w:tr>
        <w:trPr>
          <w:trHeight w:val="163"/>
        </w:trPr>
        <w:tc>
          <w:tcPr>
            <w:tcW w:w="2920" w:type="dxa"/>
            <w:vAlign w:val="bottom"/>
            <w:shd w:val="clear" w:color="auto" w:fill="DBDBDB"/>
          </w:tcPr>
          <w:p>
            <w:pPr>
              <w:spacing w:after="0"/>
              <w:rPr>
                <w:sz w:val="14"/>
                <w:szCs w:val="14"/>
                <w:color w:val="auto"/>
              </w:rPr>
            </w:pPr>
          </w:p>
        </w:tc>
        <w:tc>
          <w:tcPr>
            <w:tcW w:w="8300" w:type="dxa"/>
            <w:vAlign w:val="bottom"/>
            <w:shd w:val="clear" w:color="auto" w:fill="DBDBDB"/>
          </w:tcPr>
          <w:p>
            <w:pPr>
              <w:ind w:left="3100"/>
              <w:spacing w:after="0" w:line="163" w:lineRule="exact"/>
              <w:rPr>
                <w:sz w:val="20"/>
                <w:szCs w:val="20"/>
                <w:color w:val="auto"/>
              </w:rPr>
            </w:pPr>
            <w:r>
              <w:rPr>
                <w:rFonts w:ascii="Arial" w:cs="Arial" w:eastAsia="Arial" w:hAnsi="Arial"/>
                <w:sz w:val="16"/>
                <w:szCs w:val="16"/>
                <w:color w:val="auto"/>
              </w:rPr>
              <w:t>cash flow) and 10% individual performance (including 3% for safety)</w:t>
            </w:r>
          </w:p>
        </w:tc>
      </w:tr>
      <w:tr>
        <w:trPr>
          <w:trHeight w:val="207"/>
        </w:trPr>
        <w:tc>
          <w:tcPr>
            <w:tcW w:w="2920" w:type="dxa"/>
            <w:vAlign w:val="bottom"/>
            <w:tcBorders>
              <w:bottom w:val="single" w:sz="8" w:color="auto"/>
            </w:tcBorders>
            <w:shd w:val="clear" w:color="auto" w:fill="DBDBDB"/>
          </w:tcPr>
          <w:p>
            <w:pPr>
              <w:spacing w:after="0"/>
              <w:rPr>
                <w:sz w:val="18"/>
                <w:szCs w:val="18"/>
                <w:color w:val="auto"/>
              </w:rPr>
            </w:pPr>
          </w:p>
        </w:tc>
        <w:tc>
          <w:tcPr>
            <w:tcW w:w="8300" w:type="dxa"/>
            <w:vAlign w:val="bottom"/>
            <w:tcBorders>
              <w:bottom w:val="single" w:sz="8" w:color="auto"/>
            </w:tcBorders>
            <w:shd w:val="clear" w:color="auto" w:fill="DBDBDB"/>
          </w:tcPr>
          <w:p>
            <w:pPr>
              <w:ind w:left="3100"/>
              <w:spacing w:after="0"/>
              <w:rPr>
                <w:sz w:val="20"/>
                <w:szCs w:val="20"/>
                <w:color w:val="auto"/>
              </w:rPr>
            </w:pPr>
            <w:r>
              <w:rPr>
                <w:rFonts w:ascii="Arial" w:cs="Arial" w:eastAsia="Arial" w:hAnsi="Arial"/>
                <w:sz w:val="16"/>
                <w:szCs w:val="16"/>
                <w:color w:val="auto"/>
              </w:rPr>
              <w:t>weighting of the total award opportunity</w:t>
            </w:r>
          </w:p>
        </w:tc>
      </w:tr>
      <w:tr>
        <w:trPr>
          <w:trHeight w:val="158"/>
        </w:trPr>
        <w:tc>
          <w:tcPr>
            <w:tcW w:w="2920" w:type="dxa"/>
            <w:vAlign w:val="bottom"/>
          </w:tcPr>
          <w:p>
            <w:pPr>
              <w:ind w:left="120"/>
              <w:spacing w:after="0" w:line="158" w:lineRule="exact"/>
              <w:rPr>
                <w:sz w:val="20"/>
                <w:szCs w:val="20"/>
                <w:color w:val="auto"/>
              </w:rPr>
            </w:pPr>
            <w:r>
              <w:rPr>
                <w:rFonts w:ascii="Arial" w:cs="Arial" w:eastAsia="Arial" w:hAnsi="Arial"/>
                <w:sz w:val="16"/>
                <w:szCs w:val="16"/>
                <w:color w:val="auto"/>
              </w:rPr>
              <w:t>Long-Term Incentive Program</w:t>
            </w:r>
          </w:p>
        </w:tc>
        <w:tc>
          <w:tcPr>
            <w:tcW w:w="8300" w:type="dxa"/>
            <w:vAlign w:val="bottom"/>
          </w:tcPr>
          <w:p>
            <w:pPr>
              <w:ind w:left="3100"/>
              <w:spacing w:after="0" w:line="158" w:lineRule="exact"/>
              <w:rPr>
                <w:sz w:val="20"/>
                <w:szCs w:val="20"/>
                <w:color w:val="auto"/>
              </w:rPr>
            </w:pPr>
            <w:r>
              <w:rPr>
                <w:rFonts w:ascii="Arial" w:cs="Arial" w:eastAsia="Arial" w:hAnsi="Arial"/>
                <w:sz w:val="16"/>
                <w:szCs w:val="16"/>
                <w:color w:val="auto"/>
              </w:rPr>
              <w:t>40% time-based restricted stock units and 60% performance RSUs with</w:t>
            </w:r>
          </w:p>
        </w:tc>
      </w:tr>
      <w:tr>
        <w:trPr>
          <w:trHeight w:val="163"/>
        </w:trPr>
        <w:tc>
          <w:tcPr>
            <w:tcW w:w="2920" w:type="dxa"/>
            <w:vAlign w:val="bottom"/>
          </w:tcPr>
          <w:p>
            <w:pPr>
              <w:spacing w:after="0"/>
              <w:rPr>
                <w:sz w:val="14"/>
                <w:szCs w:val="14"/>
                <w:color w:val="auto"/>
              </w:rPr>
            </w:pPr>
          </w:p>
        </w:tc>
        <w:tc>
          <w:tcPr>
            <w:tcW w:w="8300" w:type="dxa"/>
            <w:vAlign w:val="bottom"/>
          </w:tcPr>
          <w:p>
            <w:pPr>
              <w:ind w:left="3100"/>
              <w:spacing w:after="0" w:line="163" w:lineRule="exact"/>
              <w:rPr>
                <w:sz w:val="20"/>
                <w:szCs w:val="20"/>
                <w:color w:val="auto"/>
              </w:rPr>
            </w:pPr>
            <w:r>
              <w:rPr>
                <w:rFonts w:ascii="Arial" w:cs="Arial" w:eastAsia="Arial" w:hAnsi="Arial"/>
                <w:sz w:val="16"/>
                <w:szCs w:val="16"/>
                <w:color w:val="auto"/>
              </w:rPr>
              <w:t>performance based on 40% adjusted EBITDA, 40% return on invested</w:t>
            </w:r>
          </w:p>
        </w:tc>
      </w:tr>
      <w:tr>
        <w:trPr>
          <w:trHeight w:val="158"/>
        </w:trPr>
        <w:tc>
          <w:tcPr>
            <w:tcW w:w="2920" w:type="dxa"/>
            <w:vAlign w:val="bottom"/>
          </w:tcPr>
          <w:p>
            <w:pPr>
              <w:spacing w:after="0"/>
              <w:rPr>
                <w:sz w:val="13"/>
                <w:szCs w:val="13"/>
                <w:color w:val="auto"/>
              </w:rPr>
            </w:pPr>
          </w:p>
        </w:tc>
        <w:tc>
          <w:tcPr>
            <w:tcW w:w="8300" w:type="dxa"/>
            <w:vAlign w:val="bottom"/>
          </w:tcPr>
          <w:p>
            <w:pPr>
              <w:ind w:left="3100"/>
              <w:spacing w:after="0" w:line="158" w:lineRule="exact"/>
              <w:rPr>
                <w:sz w:val="20"/>
                <w:szCs w:val="20"/>
                <w:color w:val="auto"/>
              </w:rPr>
            </w:pPr>
            <w:r>
              <w:rPr>
                <w:rFonts w:ascii="Arial" w:cs="Arial" w:eastAsia="Arial" w:hAnsi="Arial"/>
                <w:sz w:val="16"/>
                <w:szCs w:val="16"/>
                <w:color w:val="auto"/>
              </w:rPr>
              <w:t>capital and 20% relative TSR performance metrics to align incentives</w:t>
            </w:r>
          </w:p>
        </w:tc>
      </w:tr>
      <w:tr>
        <w:trPr>
          <w:trHeight w:val="166"/>
        </w:trPr>
        <w:tc>
          <w:tcPr>
            <w:tcW w:w="2920" w:type="dxa"/>
            <w:vAlign w:val="bottom"/>
          </w:tcPr>
          <w:p>
            <w:pPr>
              <w:spacing w:after="0"/>
              <w:rPr>
                <w:sz w:val="14"/>
                <w:szCs w:val="14"/>
                <w:color w:val="auto"/>
              </w:rPr>
            </w:pPr>
          </w:p>
        </w:tc>
        <w:tc>
          <w:tcPr>
            <w:tcW w:w="8300" w:type="dxa"/>
            <w:vAlign w:val="bottom"/>
          </w:tcPr>
          <w:p>
            <w:pPr>
              <w:ind w:left="3100"/>
              <w:spacing w:after="0" w:line="166" w:lineRule="exact"/>
              <w:rPr>
                <w:sz w:val="20"/>
                <w:szCs w:val="20"/>
                <w:color w:val="auto"/>
              </w:rPr>
            </w:pPr>
            <w:r>
              <w:rPr>
                <w:rFonts w:ascii="Arial" w:cs="Arial" w:eastAsia="Arial" w:hAnsi="Arial"/>
                <w:sz w:val="16"/>
                <w:szCs w:val="16"/>
                <w:color w:val="auto"/>
              </w:rPr>
              <w:t>with strategic initiatives to drive growth, promote efficient capital</w:t>
            </w:r>
          </w:p>
        </w:tc>
      </w:tr>
      <w:tr>
        <w:trPr>
          <w:trHeight w:val="215"/>
        </w:trPr>
        <w:tc>
          <w:tcPr>
            <w:tcW w:w="2920" w:type="dxa"/>
            <w:vAlign w:val="bottom"/>
          </w:tcPr>
          <w:p>
            <w:pPr>
              <w:spacing w:after="0"/>
              <w:rPr>
                <w:sz w:val="18"/>
                <w:szCs w:val="18"/>
                <w:color w:val="auto"/>
              </w:rPr>
            </w:pPr>
          </w:p>
        </w:tc>
        <w:tc>
          <w:tcPr>
            <w:tcW w:w="8300" w:type="dxa"/>
            <w:vAlign w:val="bottom"/>
          </w:tcPr>
          <w:p>
            <w:pPr>
              <w:ind w:left="3100"/>
              <w:spacing w:after="0"/>
              <w:rPr>
                <w:sz w:val="20"/>
                <w:szCs w:val="20"/>
                <w:color w:val="auto"/>
              </w:rPr>
            </w:pPr>
            <w:r>
              <w:rPr>
                <w:rFonts w:ascii="Arial" w:cs="Arial" w:eastAsia="Arial" w:hAnsi="Arial"/>
                <w:sz w:val="16"/>
                <w:szCs w:val="16"/>
                <w:color w:val="auto"/>
              </w:rPr>
              <w:t>management and align with shareholder returns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1057910</wp:posOffset>
            </wp:positionH>
            <wp:positionV relativeFrom="paragraph">
              <wp:posOffset>191135</wp:posOffset>
            </wp:positionV>
            <wp:extent cx="5026660" cy="1786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026660" cy="1786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60" w:type="dxa"/>
            <w:vAlign w:val="bottom"/>
            <w:tcBorders>
              <w:right w:val="single" w:sz="8" w:color="525252"/>
            </w:tcBorders>
          </w:tcPr>
          <w:p>
            <w:pPr>
              <w:spacing w:after="0"/>
              <w:rPr>
                <w:sz w:val="18"/>
                <w:szCs w:val="18"/>
                <w:color w:val="auto"/>
              </w:rPr>
            </w:pPr>
          </w:p>
        </w:tc>
        <w:tc>
          <w:tcPr>
            <w:tcW w:w="3200" w:type="dxa"/>
            <w:vAlign w:val="bottom"/>
            <w:tcBorders>
              <w:right w:val="single" w:sz="8" w:color="525252"/>
            </w:tcBorders>
            <w:shd w:val="clear" w:color="auto" w:fill="000000"/>
          </w:tcPr>
          <w:p>
            <w:pPr>
              <w:jc w:val="center"/>
              <w:spacing w:after="0"/>
              <w:rPr>
                <w:sz w:val="20"/>
                <w:szCs w:val="20"/>
                <w:color w:val="auto"/>
              </w:rPr>
            </w:pPr>
            <w:r>
              <w:rPr>
                <w:rFonts w:ascii="Arial" w:cs="Arial" w:eastAsia="Arial" w:hAnsi="Arial"/>
                <w:sz w:val="16"/>
                <w:szCs w:val="16"/>
                <w:b w:val="1"/>
                <w:bCs w:val="1"/>
                <w:color w:val="FFFFFF"/>
              </w:rPr>
              <w:t>Financial Performance Metrics</w:t>
            </w:r>
          </w:p>
        </w:tc>
        <w:tc>
          <w:tcPr>
            <w:tcW w:w="1000" w:type="dxa"/>
            <w:vAlign w:val="bottom"/>
            <w:tcBorders>
              <w:right w:val="single" w:sz="8" w:color="525252"/>
            </w:tcBorders>
          </w:tcPr>
          <w:p>
            <w:pPr>
              <w:spacing w:after="0"/>
              <w:rPr>
                <w:sz w:val="18"/>
                <w:szCs w:val="18"/>
                <w:color w:val="auto"/>
              </w:rPr>
            </w:pPr>
          </w:p>
        </w:tc>
        <w:tc>
          <w:tcPr>
            <w:tcW w:w="3120" w:type="dxa"/>
            <w:vAlign w:val="bottom"/>
            <w:tcBorders>
              <w:right w:val="single" w:sz="8" w:color="525252"/>
            </w:tcBorders>
            <w:shd w:val="clear" w:color="auto" w:fill="000000"/>
          </w:tcPr>
          <w:p>
            <w:pPr>
              <w:jc w:val="center"/>
              <w:spacing w:after="0"/>
              <w:rPr>
                <w:sz w:val="20"/>
                <w:szCs w:val="20"/>
                <w:color w:val="auto"/>
              </w:rPr>
            </w:pPr>
            <w:r>
              <w:rPr>
                <w:rFonts w:ascii="Arial" w:cs="Arial" w:eastAsia="Arial" w:hAnsi="Arial"/>
                <w:sz w:val="16"/>
                <w:szCs w:val="16"/>
                <w:b w:val="1"/>
                <w:bCs w:val="1"/>
                <w:color w:val="FFFFFF"/>
              </w:rPr>
              <w:t>Financial Performance Metrics</w:t>
            </w:r>
          </w:p>
        </w:tc>
        <w:tc>
          <w:tcPr>
            <w:tcW w:w="3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560" w:type="dxa"/>
            <w:vAlign w:val="bottom"/>
            <w:tcBorders>
              <w:right w:val="single" w:sz="8" w:color="525252"/>
            </w:tcBorders>
          </w:tcPr>
          <w:p>
            <w:pPr>
              <w:spacing w:after="0"/>
              <w:rPr>
                <w:sz w:val="20"/>
                <w:szCs w:val="20"/>
                <w:color w:val="auto"/>
              </w:rPr>
            </w:pPr>
          </w:p>
        </w:tc>
        <w:tc>
          <w:tcPr>
            <w:tcW w:w="3200" w:type="dxa"/>
            <w:vAlign w:val="bottom"/>
            <w:tcBorders>
              <w:bottom w:val="single" w:sz="8" w:color="auto"/>
              <w:right w:val="single" w:sz="8" w:color="525252"/>
            </w:tcBorders>
            <w:shd w:val="clear" w:color="auto" w:fill="000000"/>
          </w:tcPr>
          <w:p>
            <w:pPr>
              <w:jc w:val="center"/>
              <w:spacing w:after="0"/>
              <w:rPr>
                <w:sz w:val="20"/>
                <w:szCs w:val="20"/>
                <w:color w:val="auto"/>
              </w:rPr>
            </w:pPr>
            <w:r>
              <w:rPr>
                <w:rFonts w:ascii="Arial" w:cs="Arial" w:eastAsia="Arial" w:hAnsi="Arial"/>
                <w:sz w:val="16"/>
                <w:szCs w:val="16"/>
                <w:b w:val="1"/>
                <w:bCs w:val="1"/>
                <w:color w:val="FFFFFF"/>
              </w:rPr>
              <w:t>for Performance-Based RSUs</w:t>
            </w:r>
          </w:p>
        </w:tc>
        <w:tc>
          <w:tcPr>
            <w:tcW w:w="1000" w:type="dxa"/>
            <w:vAlign w:val="bottom"/>
            <w:tcBorders>
              <w:right w:val="single" w:sz="8" w:color="525252"/>
            </w:tcBorders>
          </w:tcPr>
          <w:p>
            <w:pPr>
              <w:spacing w:after="0"/>
              <w:rPr>
                <w:sz w:val="20"/>
                <w:szCs w:val="20"/>
                <w:color w:val="auto"/>
              </w:rPr>
            </w:pPr>
          </w:p>
        </w:tc>
        <w:tc>
          <w:tcPr>
            <w:tcW w:w="3120" w:type="dxa"/>
            <w:vAlign w:val="bottom"/>
            <w:tcBorders>
              <w:bottom w:val="single" w:sz="8" w:color="auto"/>
              <w:right w:val="single" w:sz="8" w:color="525252"/>
            </w:tcBorders>
            <w:shd w:val="clear" w:color="auto" w:fill="000000"/>
          </w:tcPr>
          <w:p>
            <w:pPr>
              <w:jc w:val="center"/>
              <w:spacing w:after="0"/>
              <w:rPr>
                <w:sz w:val="20"/>
                <w:szCs w:val="20"/>
                <w:color w:val="auto"/>
              </w:rPr>
            </w:pPr>
            <w:r>
              <w:rPr>
                <w:rFonts w:ascii="Arial" w:cs="Arial" w:eastAsia="Arial" w:hAnsi="Arial"/>
                <w:sz w:val="16"/>
                <w:szCs w:val="16"/>
                <w:b w:val="1"/>
                <w:bCs w:val="1"/>
                <w:color w:val="FFFFFF"/>
              </w:rPr>
              <w:t>for Annual Incentive Awards</w:t>
            </w:r>
          </w:p>
        </w:tc>
        <w:tc>
          <w:tcPr>
            <w:tcW w:w="3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560" w:type="dxa"/>
            <w:vAlign w:val="bottom"/>
            <w:tcBorders>
              <w:right w:val="single" w:sz="8" w:color="525252"/>
            </w:tcBorders>
          </w:tcPr>
          <w:p>
            <w:pPr>
              <w:spacing w:after="0"/>
              <w:rPr>
                <w:sz w:val="19"/>
                <w:szCs w:val="19"/>
                <w:color w:val="auto"/>
              </w:rPr>
            </w:pPr>
          </w:p>
        </w:tc>
        <w:tc>
          <w:tcPr>
            <w:tcW w:w="3200" w:type="dxa"/>
            <w:vAlign w:val="bottom"/>
            <w:tcBorders>
              <w:right w:val="single" w:sz="8" w:color="525252"/>
            </w:tcBorders>
          </w:tcPr>
          <w:p>
            <w:pPr>
              <w:jc w:val="center"/>
              <w:spacing w:after="0"/>
              <w:rPr>
                <w:sz w:val="20"/>
                <w:szCs w:val="20"/>
                <w:color w:val="auto"/>
              </w:rPr>
            </w:pPr>
            <w:r>
              <w:rPr>
                <w:rFonts w:ascii="Arial" w:cs="Arial" w:eastAsia="Arial" w:hAnsi="Arial"/>
                <w:sz w:val="16"/>
                <w:szCs w:val="16"/>
                <w:color w:val="auto"/>
              </w:rPr>
              <w:t>40% Adjusted EBITDA</w:t>
            </w:r>
          </w:p>
        </w:tc>
        <w:tc>
          <w:tcPr>
            <w:tcW w:w="1000" w:type="dxa"/>
            <w:vAlign w:val="bottom"/>
            <w:tcBorders>
              <w:right w:val="single" w:sz="8" w:color="525252"/>
            </w:tcBorders>
          </w:tcPr>
          <w:p>
            <w:pPr>
              <w:spacing w:after="0"/>
              <w:rPr>
                <w:sz w:val="19"/>
                <w:szCs w:val="19"/>
                <w:color w:val="auto"/>
              </w:rPr>
            </w:pPr>
          </w:p>
        </w:tc>
        <w:tc>
          <w:tcPr>
            <w:tcW w:w="3120" w:type="dxa"/>
            <w:vAlign w:val="bottom"/>
            <w:tcBorders>
              <w:right w:val="single" w:sz="8" w:color="525252"/>
            </w:tcBorders>
            <w:vMerge w:val="restart"/>
          </w:tcPr>
          <w:p>
            <w:pPr>
              <w:jc w:val="center"/>
              <w:spacing w:after="0"/>
              <w:rPr>
                <w:sz w:val="20"/>
                <w:szCs w:val="20"/>
                <w:color w:val="auto"/>
              </w:rPr>
            </w:pPr>
            <w:r>
              <w:rPr>
                <w:rFonts w:ascii="Arial" w:cs="Arial" w:eastAsia="Arial" w:hAnsi="Arial"/>
                <w:sz w:val="16"/>
                <w:szCs w:val="16"/>
                <w:color w:val="auto"/>
              </w:rPr>
              <w:t>75% Operating Income</w:t>
            </w:r>
          </w:p>
        </w:tc>
        <w:tc>
          <w:tcPr>
            <w:tcW w:w="3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5"/>
        </w:trPr>
        <w:tc>
          <w:tcPr>
            <w:tcW w:w="560" w:type="dxa"/>
            <w:vAlign w:val="bottom"/>
            <w:tcBorders>
              <w:right w:val="single" w:sz="8" w:color="525252"/>
            </w:tcBorders>
          </w:tcPr>
          <w:p>
            <w:pPr>
              <w:spacing w:after="0"/>
              <w:rPr>
                <w:sz w:val="7"/>
                <w:szCs w:val="7"/>
                <w:color w:val="auto"/>
              </w:rPr>
            </w:pPr>
          </w:p>
        </w:tc>
        <w:tc>
          <w:tcPr>
            <w:tcW w:w="3200" w:type="dxa"/>
            <w:vAlign w:val="bottom"/>
            <w:tcBorders>
              <w:right w:val="single" w:sz="8" w:color="525252"/>
            </w:tcBorders>
            <w:vMerge w:val="restart"/>
          </w:tcPr>
          <w:p>
            <w:pPr>
              <w:jc w:val="center"/>
              <w:spacing w:after="0" w:line="163" w:lineRule="exact"/>
              <w:rPr>
                <w:sz w:val="20"/>
                <w:szCs w:val="20"/>
                <w:color w:val="auto"/>
              </w:rPr>
            </w:pPr>
            <w:r>
              <w:rPr>
                <w:rFonts w:ascii="Arial" w:cs="Arial" w:eastAsia="Arial" w:hAnsi="Arial"/>
                <w:sz w:val="16"/>
                <w:szCs w:val="16"/>
                <w:color w:val="auto"/>
              </w:rPr>
              <w:t>40% Return on Invested Capital</w:t>
            </w:r>
          </w:p>
        </w:tc>
        <w:tc>
          <w:tcPr>
            <w:tcW w:w="1000" w:type="dxa"/>
            <w:vAlign w:val="bottom"/>
            <w:tcBorders>
              <w:right w:val="single" w:sz="8" w:color="525252"/>
            </w:tcBorders>
          </w:tcPr>
          <w:p>
            <w:pPr>
              <w:spacing w:after="0"/>
              <w:rPr>
                <w:sz w:val="7"/>
                <w:szCs w:val="7"/>
                <w:color w:val="auto"/>
              </w:rPr>
            </w:pPr>
          </w:p>
        </w:tc>
        <w:tc>
          <w:tcPr>
            <w:tcW w:w="3120" w:type="dxa"/>
            <w:vAlign w:val="bottom"/>
            <w:tcBorders>
              <w:right w:val="single" w:sz="8" w:color="525252"/>
            </w:tcBorders>
            <w:vMerge w:val="continue"/>
          </w:tcPr>
          <w:p>
            <w:pPr>
              <w:spacing w:after="0"/>
              <w:rPr>
                <w:sz w:val="7"/>
                <w:szCs w:val="7"/>
                <w:color w:val="auto"/>
              </w:rPr>
            </w:pPr>
          </w:p>
        </w:tc>
        <w:tc>
          <w:tcPr>
            <w:tcW w:w="3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560" w:type="dxa"/>
            <w:vAlign w:val="bottom"/>
            <w:tcBorders>
              <w:right w:val="single" w:sz="8" w:color="525252"/>
            </w:tcBorders>
          </w:tcPr>
          <w:p>
            <w:pPr>
              <w:spacing w:after="0"/>
              <w:rPr>
                <w:sz w:val="6"/>
                <w:szCs w:val="6"/>
                <w:color w:val="auto"/>
              </w:rPr>
            </w:pPr>
          </w:p>
        </w:tc>
        <w:tc>
          <w:tcPr>
            <w:tcW w:w="3200" w:type="dxa"/>
            <w:vAlign w:val="bottom"/>
            <w:tcBorders>
              <w:right w:val="single" w:sz="8" w:color="525252"/>
            </w:tcBorders>
            <w:vMerge w:val="continue"/>
          </w:tcPr>
          <w:p>
            <w:pPr>
              <w:spacing w:after="0"/>
              <w:rPr>
                <w:sz w:val="6"/>
                <w:szCs w:val="6"/>
                <w:color w:val="auto"/>
              </w:rPr>
            </w:pPr>
          </w:p>
        </w:tc>
        <w:tc>
          <w:tcPr>
            <w:tcW w:w="1000" w:type="dxa"/>
            <w:vAlign w:val="bottom"/>
            <w:tcBorders>
              <w:right w:val="single" w:sz="8" w:color="525252"/>
            </w:tcBorders>
          </w:tcPr>
          <w:p>
            <w:pPr>
              <w:spacing w:after="0"/>
              <w:rPr>
                <w:sz w:val="6"/>
                <w:szCs w:val="6"/>
                <w:color w:val="auto"/>
              </w:rPr>
            </w:pPr>
          </w:p>
        </w:tc>
        <w:tc>
          <w:tcPr>
            <w:tcW w:w="3120" w:type="dxa"/>
            <w:vAlign w:val="bottom"/>
            <w:tcBorders>
              <w:right w:val="single" w:sz="8" w:color="525252"/>
            </w:tcBorders>
            <w:vMerge w:val="restart"/>
          </w:tcPr>
          <w:p>
            <w:pPr>
              <w:jc w:val="center"/>
              <w:spacing w:after="0"/>
              <w:rPr>
                <w:sz w:val="20"/>
                <w:szCs w:val="20"/>
                <w:color w:val="auto"/>
              </w:rPr>
            </w:pPr>
            <w:r>
              <w:rPr>
                <w:rFonts w:ascii="Arial" w:cs="Arial" w:eastAsia="Arial" w:hAnsi="Arial"/>
                <w:sz w:val="16"/>
                <w:szCs w:val="16"/>
                <w:color w:val="auto"/>
              </w:rPr>
              <w:t>15% Operating Cash Flow</w:t>
            </w: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7"/>
        </w:trPr>
        <w:tc>
          <w:tcPr>
            <w:tcW w:w="560" w:type="dxa"/>
            <w:vAlign w:val="bottom"/>
            <w:tcBorders>
              <w:right w:val="single" w:sz="8" w:color="525252"/>
            </w:tcBorders>
          </w:tcPr>
          <w:p>
            <w:pPr>
              <w:spacing w:after="0"/>
              <w:rPr>
                <w:sz w:val="11"/>
                <w:szCs w:val="11"/>
                <w:color w:val="auto"/>
              </w:rPr>
            </w:pPr>
          </w:p>
        </w:tc>
        <w:tc>
          <w:tcPr>
            <w:tcW w:w="3200" w:type="dxa"/>
            <w:vAlign w:val="bottom"/>
            <w:tcBorders>
              <w:right w:val="single" w:sz="8" w:color="525252"/>
            </w:tcBorders>
            <w:vMerge w:val="restart"/>
          </w:tcPr>
          <w:p>
            <w:pPr>
              <w:jc w:val="center"/>
              <w:spacing w:after="0"/>
              <w:rPr>
                <w:sz w:val="20"/>
                <w:szCs w:val="20"/>
                <w:color w:val="auto"/>
              </w:rPr>
            </w:pPr>
            <w:r>
              <w:rPr>
                <w:rFonts w:ascii="Arial" w:cs="Arial" w:eastAsia="Arial" w:hAnsi="Arial"/>
                <w:sz w:val="16"/>
                <w:szCs w:val="16"/>
                <w:color w:val="auto"/>
              </w:rPr>
              <w:t>20% Relative Total Shareholder Return</w:t>
            </w:r>
          </w:p>
        </w:tc>
        <w:tc>
          <w:tcPr>
            <w:tcW w:w="1000" w:type="dxa"/>
            <w:vAlign w:val="bottom"/>
            <w:tcBorders>
              <w:right w:val="single" w:sz="8" w:color="525252"/>
            </w:tcBorders>
          </w:tcPr>
          <w:p>
            <w:pPr>
              <w:spacing w:after="0"/>
              <w:rPr>
                <w:sz w:val="11"/>
                <w:szCs w:val="11"/>
                <w:color w:val="auto"/>
              </w:rPr>
            </w:pPr>
          </w:p>
        </w:tc>
        <w:tc>
          <w:tcPr>
            <w:tcW w:w="3120" w:type="dxa"/>
            <w:vAlign w:val="bottom"/>
            <w:tcBorders>
              <w:right w:val="single" w:sz="8" w:color="525252"/>
            </w:tcBorders>
            <w:vMerge w:val="continue"/>
          </w:tcPr>
          <w:p>
            <w:pPr>
              <w:spacing w:after="0"/>
              <w:rPr>
                <w:sz w:val="11"/>
                <w:szCs w:val="11"/>
                <w:color w:val="auto"/>
              </w:rPr>
            </w:pPr>
          </w:p>
        </w:tc>
        <w:tc>
          <w:tcPr>
            <w:tcW w:w="3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560" w:type="dxa"/>
            <w:vAlign w:val="bottom"/>
            <w:tcBorders>
              <w:right w:val="single" w:sz="8" w:color="525252"/>
            </w:tcBorders>
          </w:tcPr>
          <w:p>
            <w:pPr>
              <w:spacing w:after="0"/>
              <w:rPr>
                <w:sz w:val="6"/>
                <w:szCs w:val="6"/>
                <w:color w:val="auto"/>
              </w:rPr>
            </w:pPr>
          </w:p>
        </w:tc>
        <w:tc>
          <w:tcPr>
            <w:tcW w:w="3200" w:type="dxa"/>
            <w:vAlign w:val="bottom"/>
            <w:tcBorders>
              <w:right w:val="single" w:sz="8" w:color="525252"/>
            </w:tcBorders>
            <w:vMerge w:val="continue"/>
          </w:tcPr>
          <w:p>
            <w:pPr>
              <w:spacing w:after="0"/>
              <w:rPr>
                <w:sz w:val="6"/>
                <w:szCs w:val="6"/>
                <w:color w:val="auto"/>
              </w:rPr>
            </w:pPr>
          </w:p>
        </w:tc>
        <w:tc>
          <w:tcPr>
            <w:tcW w:w="1000" w:type="dxa"/>
            <w:vAlign w:val="bottom"/>
            <w:tcBorders>
              <w:right w:val="single" w:sz="8" w:color="525252"/>
            </w:tcBorders>
          </w:tcPr>
          <w:p>
            <w:pPr>
              <w:spacing w:after="0"/>
              <w:rPr>
                <w:sz w:val="6"/>
                <w:szCs w:val="6"/>
                <w:color w:val="auto"/>
              </w:rPr>
            </w:pPr>
          </w:p>
        </w:tc>
        <w:tc>
          <w:tcPr>
            <w:tcW w:w="3120" w:type="dxa"/>
            <w:vAlign w:val="bottom"/>
            <w:tcBorders>
              <w:right w:val="single" w:sz="8" w:color="525252"/>
            </w:tcBorders>
          </w:tcPr>
          <w:p>
            <w:pPr>
              <w:spacing w:after="0"/>
              <w:rPr>
                <w:sz w:val="6"/>
                <w:szCs w:val="6"/>
                <w:color w:val="auto"/>
              </w:rPr>
            </w:pPr>
          </w:p>
        </w:tc>
        <w:tc>
          <w:tcPr>
            <w:tcW w:w="3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560" w:type="dxa"/>
            <w:vAlign w:val="bottom"/>
            <w:tcBorders>
              <w:right w:val="single" w:sz="8" w:color="525252"/>
            </w:tcBorders>
          </w:tcPr>
          <w:p>
            <w:pPr>
              <w:spacing w:after="0"/>
              <w:rPr>
                <w:sz w:val="5"/>
                <w:szCs w:val="5"/>
                <w:color w:val="auto"/>
              </w:rPr>
            </w:pPr>
          </w:p>
        </w:tc>
        <w:tc>
          <w:tcPr>
            <w:tcW w:w="3200" w:type="dxa"/>
            <w:vAlign w:val="bottom"/>
            <w:tcBorders>
              <w:bottom w:val="single" w:sz="8" w:color="525252"/>
              <w:right w:val="single" w:sz="8" w:color="525252"/>
            </w:tcBorders>
          </w:tcPr>
          <w:p>
            <w:pPr>
              <w:spacing w:after="0"/>
              <w:rPr>
                <w:sz w:val="5"/>
                <w:szCs w:val="5"/>
                <w:color w:val="auto"/>
              </w:rPr>
            </w:pPr>
          </w:p>
        </w:tc>
        <w:tc>
          <w:tcPr>
            <w:tcW w:w="1000" w:type="dxa"/>
            <w:vAlign w:val="bottom"/>
            <w:tcBorders>
              <w:right w:val="single" w:sz="8" w:color="525252"/>
            </w:tcBorders>
          </w:tcPr>
          <w:p>
            <w:pPr>
              <w:spacing w:after="0"/>
              <w:rPr>
                <w:sz w:val="5"/>
                <w:szCs w:val="5"/>
                <w:color w:val="auto"/>
              </w:rPr>
            </w:pPr>
          </w:p>
        </w:tc>
        <w:tc>
          <w:tcPr>
            <w:tcW w:w="3120" w:type="dxa"/>
            <w:vAlign w:val="bottom"/>
            <w:tcBorders>
              <w:bottom w:val="single" w:sz="8" w:color="525252"/>
              <w:right w:val="single" w:sz="8" w:color="525252"/>
            </w:tcBorders>
          </w:tcPr>
          <w:p>
            <w:pPr>
              <w:spacing w:after="0"/>
              <w:rPr>
                <w:sz w:val="5"/>
                <w:szCs w:val="5"/>
                <w:color w:val="auto"/>
              </w:rPr>
            </w:pPr>
          </w:p>
        </w:tc>
        <w:tc>
          <w:tcPr>
            <w:tcW w:w="3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78"/>
        </w:trPr>
        <w:tc>
          <w:tcPr>
            <w:tcW w:w="560" w:type="dxa"/>
            <w:vAlign w:val="bottom"/>
          </w:tcPr>
          <w:p>
            <w:pPr>
              <w:jc w:val="right"/>
              <w:ind w:right="299"/>
              <w:spacing w:after="0"/>
              <w:rPr>
                <w:sz w:val="20"/>
                <w:szCs w:val="20"/>
                <w:color w:val="auto"/>
              </w:rPr>
            </w:pPr>
            <w:r>
              <w:rPr>
                <w:rFonts w:ascii="Arial" w:cs="Arial" w:eastAsia="Arial" w:hAnsi="Arial"/>
                <w:sz w:val="16"/>
                <w:szCs w:val="16"/>
                <w:b w:val="1"/>
                <w:bCs w:val="1"/>
                <w:color w:val="2C2C2C"/>
                <w:w w:val="89"/>
              </w:rPr>
              <w:t>24</w:t>
            </w:r>
          </w:p>
        </w:tc>
        <w:tc>
          <w:tcPr>
            <w:tcW w:w="3200" w:type="dxa"/>
            <w:vAlign w:val="bottom"/>
          </w:tcPr>
          <w:p>
            <w:pPr>
              <w:ind w:left="340"/>
              <w:spacing w:after="0"/>
              <w:rPr>
                <w:sz w:val="20"/>
                <w:szCs w:val="20"/>
                <w:color w:val="auto"/>
              </w:rPr>
            </w:pPr>
            <w:r>
              <w:rPr>
                <w:rFonts w:ascii="Arial" w:cs="Arial" w:eastAsia="Arial" w:hAnsi="Arial"/>
                <w:sz w:val="16"/>
                <w:szCs w:val="16"/>
                <w:color w:val="auto"/>
              </w:rPr>
              <w:t>2023 PROXY STATEMENT</w:t>
            </w:r>
          </w:p>
        </w:tc>
        <w:tc>
          <w:tcPr>
            <w:tcW w:w="10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560" w:type="dxa"/>
            <w:vAlign w:val="bottom"/>
            <w:tcBorders>
              <w:bottom w:val="single" w:sz="8" w:color="9A9A9A"/>
            </w:tcBorders>
          </w:tcPr>
          <w:p>
            <w:pPr>
              <w:spacing w:after="0"/>
              <w:rPr>
                <w:sz w:val="7"/>
                <w:szCs w:val="7"/>
                <w:color w:val="auto"/>
              </w:rPr>
            </w:pPr>
          </w:p>
        </w:tc>
        <w:tc>
          <w:tcPr>
            <w:tcW w:w="3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33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-300990</wp:posOffset>
            </wp:positionV>
            <wp:extent cx="401955" cy="162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01955" cy="16256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6" w:name="page37"/>
    <w:bookmarkEnd w:id="36"/>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2: COMPENSATION STRUCTURE</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PHILOSOPHY AND OBJECTIVES OF EXECUTIVE COMPENSATION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We seek to provide reasonable and competitive compensation to executives through programs structured to:</w:t>
      </w:r>
    </w:p>
    <w:p>
      <w:pPr>
        <w:spacing w:after="0" w:line="108" w:lineRule="exact"/>
        <w:rPr>
          <w:sz w:val="20"/>
          <w:szCs w:val="20"/>
          <w:color w:val="auto"/>
        </w:rPr>
      </w:pPr>
    </w:p>
    <w:p>
      <w:pPr>
        <w:ind w:left="580" w:hanging="290"/>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attract and retain well-qualified executives;</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incent and reward short- and long-term company performance, as well as individual contributions; and</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align the interests of our executives with those of our stockholders.</w:t>
      </w:r>
    </w:p>
    <w:p>
      <w:pPr>
        <w:spacing w:after="0" w:line="96" w:lineRule="exact"/>
        <w:rPr>
          <w:sz w:val="20"/>
          <w:szCs w:val="20"/>
          <w:color w:val="auto"/>
        </w:rPr>
      </w:pPr>
    </w:p>
    <w:p>
      <w:pPr>
        <w:ind w:right="80"/>
        <w:spacing w:after="0" w:line="264" w:lineRule="auto"/>
        <w:rPr>
          <w:sz w:val="20"/>
          <w:szCs w:val="20"/>
          <w:color w:val="auto"/>
        </w:rPr>
      </w:pPr>
      <w:r>
        <w:rPr>
          <w:rFonts w:ascii="Arial" w:cs="Arial" w:eastAsia="Arial" w:hAnsi="Arial"/>
          <w:sz w:val="16"/>
          <w:szCs w:val="16"/>
          <w:color w:val="auto"/>
        </w:rPr>
        <w:t>We also subscribe to a “pay-for-performance” philosophy when designing executive compensation. This means a substantial portion of an executive’s target compensation should be “at risk” and performance-based, where the value of one or more elements of compensation is tied to the achievement of pre-determined financial and/or other measures we consider important drivers in the creation of stockholder value. Our compensation philosophy requires that a substantial portion of total compensation be designed to appropriately balance short- and long-term performance incentives to align our Named Executives’ interests with those of our stockholders.</w:t>
      </w:r>
    </w:p>
    <w:p>
      <w:pPr>
        <w:spacing w:after="0" w:line="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ELEMENTS OF EXECUTIVE COMPENSATION</w:t>
      </w:r>
    </w:p>
    <w:p>
      <w:pPr>
        <w:spacing w:after="0" w:line="84"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To support our compensation philosophy and objectives, our executive compensation program consists of base salary, annual incentives and long-term incentives, which we refer to as Total Direct Compensation. In addition to the elements of Total Direct Compensation, we also offer other benefits and practices consistent with the market. See “Section 3: Other Benefits and Practices” on the following pages of this CD&amp;A for additional information on these benefits and practices.</w:t>
      </w:r>
    </w:p>
    <w:p>
      <w:pPr>
        <w:spacing w:after="0" w:line="46" w:lineRule="exact"/>
        <w:rPr>
          <w:sz w:val="20"/>
          <w:szCs w:val="20"/>
          <w:color w:val="auto"/>
        </w:rPr>
      </w:pPr>
    </w:p>
    <w:p>
      <w:pPr>
        <w:jc w:val="both"/>
        <w:ind w:right="480"/>
        <w:spacing w:after="0" w:line="274" w:lineRule="auto"/>
        <w:rPr>
          <w:sz w:val="20"/>
          <w:szCs w:val="20"/>
          <w:color w:val="auto"/>
        </w:rPr>
      </w:pPr>
      <w:r>
        <w:rPr>
          <w:rFonts w:ascii="Arial" w:cs="Arial" w:eastAsia="Arial" w:hAnsi="Arial"/>
          <w:sz w:val="16"/>
          <w:szCs w:val="16"/>
          <w:color w:val="auto"/>
        </w:rPr>
        <w:t>The Compensation Committee does not set a specific target allocation among the elements of total direct compensation; however, long-term incentive compensation typically represents the largest single element of target total direct compensation, and performance-based compensation constitutes the substantial majority of a Named Executive’s target total direct compensation.</w:t>
      </w:r>
    </w:p>
    <w:p>
      <w:pPr>
        <w:spacing w:after="0" w:line="28"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following table and chart reflect the key elements and proportion of each Named Executive’s target total direct compensation for 2022, the rationale for each element, and the financial performance metrics selected for our 2022 annual incentive awards.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TOTAL DIRECT COMPENSATION ELEMENTS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620" w:type="dxa"/>
            <w:vAlign w:val="bottom"/>
            <w:shd w:val="clear" w:color="auto" w:fill="000000"/>
          </w:tcPr>
          <w:p>
            <w:pPr>
              <w:ind w:left="500"/>
              <w:spacing w:after="0"/>
              <w:rPr>
                <w:sz w:val="20"/>
                <w:szCs w:val="20"/>
                <w:color w:val="auto"/>
              </w:rPr>
            </w:pPr>
            <w:r>
              <w:rPr>
                <w:rFonts w:ascii="Arial" w:cs="Arial" w:eastAsia="Arial" w:hAnsi="Arial"/>
                <w:sz w:val="16"/>
                <w:szCs w:val="16"/>
                <w:b w:val="1"/>
                <w:bCs w:val="1"/>
                <w:color w:val="FFFFFF"/>
              </w:rPr>
              <w:t>Element</w:t>
            </w:r>
          </w:p>
        </w:tc>
        <w:tc>
          <w:tcPr>
            <w:tcW w:w="260" w:type="dxa"/>
            <w:vAlign w:val="bottom"/>
            <w:shd w:val="clear" w:color="auto" w:fill="000000"/>
          </w:tcPr>
          <w:p>
            <w:pPr>
              <w:spacing w:after="0"/>
              <w:rPr>
                <w:sz w:val="20"/>
                <w:szCs w:val="20"/>
                <w:color w:val="auto"/>
              </w:rPr>
            </w:pPr>
          </w:p>
        </w:tc>
        <w:tc>
          <w:tcPr>
            <w:tcW w:w="140" w:type="dxa"/>
            <w:vAlign w:val="bottom"/>
            <w:shd w:val="clear" w:color="auto" w:fill="000000"/>
          </w:tcPr>
          <w:p>
            <w:pPr>
              <w:spacing w:after="0"/>
              <w:rPr>
                <w:sz w:val="20"/>
                <w:szCs w:val="20"/>
                <w:color w:val="auto"/>
              </w:rPr>
            </w:pPr>
          </w:p>
        </w:tc>
        <w:tc>
          <w:tcPr>
            <w:tcW w:w="4330" w:type="dxa"/>
            <w:vAlign w:val="bottom"/>
            <w:shd w:val="clear" w:color="auto" w:fill="000000"/>
          </w:tcPr>
          <w:p>
            <w:pPr>
              <w:ind w:left="1520"/>
              <w:spacing w:after="0"/>
              <w:rPr>
                <w:sz w:val="20"/>
                <w:szCs w:val="20"/>
                <w:color w:val="auto"/>
              </w:rPr>
            </w:pPr>
            <w:r>
              <w:rPr>
                <w:rFonts w:ascii="Arial" w:cs="Arial" w:eastAsia="Arial" w:hAnsi="Arial"/>
                <w:sz w:val="16"/>
                <w:szCs w:val="16"/>
                <w:b w:val="1"/>
                <w:bCs w:val="1"/>
                <w:color w:val="FFFFFF"/>
              </w:rPr>
              <w:t>Description</w:t>
            </w:r>
          </w:p>
        </w:tc>
        <w:tc>
          <w:tcPr>
            <w:tcW w:w="250" w:type="dxa"/>
            <w:vAlign w:val="bottom"/>
            <w:shd w:val="clear" w:color="auto" w:fill="000000"/>
          </w:tcPr>
          <w:p>
            <w:pPr>
              <w:spacing w:after="0"/>
              <w:rPr>
                <w:sz w:val="20"/>
                <w:szCs w:val="20"/>
                <w:color w:val="auto"/>
              </w:rPr>
            </w:pPr>
          </w:p>
        </w:tc>
        <w:tc>
          <w:tcPr>
            <w:tcW w:w="4660" w:type="dxa"/>
            <w:vAlign w:val="bottom"/>
            <w:shd w:val="clear" w:color="auto" w:fill="000000"/>
          </w:tcPr>
          <w:p>
            <w:pPr>
              <w:ind w:left="1180"/>
              <w:spacing w:after="0"/>
              <w:rPr>
                <w:sz w:val="20"/>
                <w:szCs w:val="20"/>
                <w:color w:val="auto"/>
              </w:rPr>
            </w:pPr>
            <w:r>
              <w:rPr>
                <w:rFonts w:ascii="Arial" w:cs="Arial" w:eastAsia="Arial" w:hAnsi="Arial"/>
                <w:sz w:val="16"/>
                <w:szCs w:val="16"/>
                <w:b w:val="1"/>
                <w:bCs w:val="1"/>
                <w:color w:val="FFFFFF"/>
              </w:rPr>
              <w:t>Primary Design Objectives</w:t>
            </w:r>
          </w:p>
        </w:tc>
        <w:tc>
          <w:tcPr>
            <w:tcW w:w="0" w:type="dxa"/>
            <w:vAlign w:val="bottom"/>
          </w:tcPr>
          <w:p>
            <w:pPr>
              <w:spacing w:after="0"/>
              <w:rPr>
                <w:sz w:val="1"/>
                <w:szCs w:val="1"/>
                <w:color w:val="auto"/>
              </w:rPr>
            </w:pPr>
          </w:p>
        </w:tc>
      </w:tr>
      <w:tr>
        <w:trPr>
          <w:trHeight w:val="202"/>
        </w:trPr>
        <w:tc>
          <w:tcPr>
            <w:tcW w:w="1620" w:type="dxa"/>
            <w:vAlign w:val="bottom"/>
          </w:tcPr>
          <w:p>
            <w:pPr>
              <w:ind w:left="80"/>
              <w:spacing w:after="0"/>
              <w:rPr>
                <w:sz w:val="20"/>
                <w:szCs w:val="20"/>
                <w:color w:val="auto"/>
              </w:rPr>
            </w:pPr>
            <w:r>
              <w:rPr>
                <w:rFonts w:ascii="Arial" w:cs="Arial" w:eastAsia="Arial" w:hAnsi="Arial"/>
                <w:sz w:val="16"/>
                <w:szCs w:val="16"/>
                <w:b w:val="1"/>
                <w:bCs w:val="1"/>
                <w:color w:val="auto"/>
              </w:rPr>
              <w:t>Base Salary</w:t>
            </w:r>
          </w:p>
        </w:tc>
        <w:tc>
          <w:tcPr>
            <w:tcW w:w="260" w:type="dxa"/>
            <w:vAlign w:val="bottom"/>
          </w:tcPr>
          <w:p>
            <w:pPr>
              <w:ind w:left="160"/>
              <w:spacing w:after="0"/>
              <w:rPr>
                <w:sz w:val="20"/>
                <w:szCs w:val="20"/>
                <w:color w:val="auto"/>
              </w:rPr>
            </w:pPr>
            <w:r>
              <w:rPr>
                <w:rFonts w:ascii="Arial" w:cs="Arial" w:eastAsia="Arial" w:hAnsi="Arial"/>
                <w:sz w:val="16"/>
                <w:szCs w:val="16"/>
                <w:color w:val="auto"/>
              </w:rPr>
              <w:t>•</w:t>
            </w:r>
          </w:p>
        </w:tc>
        <w:tc>
          <w:tcPr>
            <w:tcW w:w="4470" w:type="dxa"/>
            <w:vAlign w:val="bottom"/>
            <w:gridSpan w:val="2"/>
          </w:tcPr>
          <w:p>
            <w:pPr>
              <w:ind w:left="40"/>
              <w:spacing w:after="0"/>
              <w:rPr>
                <w:sz w:val="20"/>
                <w:szCs w:val="20"/>
                <w:color w:val="auto"/>
              </w:rPr>
            </w:pPr>
            <w:r>
              <w:rPr>
                <w:rFonts w:ascii="Arial" w:cs="Arial" w:eastAsia="Arial" w:hAnsi="Arial"/>
                <w:sz w:val="16"/>
                <w:szCs w:val="16"/>
                <w:color w:val="auto"/>
              </w:rPr>
              <w:t>Annual fixed cash compensation</w:t>
            </w:r>
          </w:p>
        </w:tc>
        <w:tc>
          <w:tcPr>
            <w:tcW w:w="250" w:type="dxa"/>
            <w:vAlign w:val="bottom"/>
          </w:tcPr>
          <w:p>
            <w:pPr>
              <w:ind w:left="150"/>
              <w:spacing w:after="0"/>
              <w:rPr>
                <w:sz w:val="20"/>
                <w:szCs w:val="20"/>
                <w:color w:val="auto"/>
              </w:rPr>
            </w:pPr>
            <w:r>
              <w:rPr>
                <w:rFonts w:ascii="Arial" w:cs="Arial" w:eastAsia="Arial" w:hAnsi="Arial"/>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Attract and retain leadership talent</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330" w:type="dxa"/>
            <w:vAlign w:val="bottom"/>
            <w:tcBorders>
              <w:bottom w:val="single" w:sz="8" w:color="auto"/>
            </w:tcBorders>
          </w:tcPr>
          <w:p>
            <w:pPr>
              <w:spacing w:after="0"/>
              <w:rPr>
                <w:sz w:val="19"/>
                <w:szCs w:val="19"/>
                <w:color w:val="auto"/>
              </w:rPr>
            </w:pPr>
          </w:p>
        </w:tc>
        <w:tc>
          <w:tcPr>
            <w:tcW w:w="250" w:type="dxa"/>
            <w:vAlign w:val="bottom"/>
            <w:tcBorders>
              <w:bottom w:val="single" w:sz="8" w:color="auto"/>
            </w:tcBorders>
          </w:tcPr>
          <w:p>
            <w:pPr>
              <w:ind w:left="150"/>
              <w:spacing w:after="0"/>
              <w:rPr>
                <w:sz w:val="20"/>
                <w:szCs w:val="20"/>
                <w:color w:val="auto"/>
              </w:rPr>
            </w:pPr>
            <w:r>
              <w:rPr>
                <w:rFonts w:ascii="Arial" w:cs="Arial" w:eastAsia="Arial" w:hAnsi="Arial"/>
                <w:sz w:val="16"/>
                <w:szCs w:val="16"/>
                <w:color w:val="auto"/>
              </w:rPr>
              <w:t>•</w:t>
            </w:r>
          </w:p>
        </w:tc>
        <w:tc>
          <w:tcPr>
            <w:tcW w:w="46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Compensate for role and responsibilities</w:t>
            </w:r>
          </w:p>
        </w:tc>
        <w:tc>
          <w:tcPr>
            <w:tcW w:w="0" w:type="dxa"/>
            <w:vAlign w:val="bottom"/>
          </w:tcPr>
          <w:p>
            <w:pPr>
              <w:spacing w:after="0"/>
              <w:rPr>
                <w:sz w:val="1"/>
                <w:szCs w:val="1"/>
                <w:color w:val="auto"/>
              </w:rPr>
            </w:pPr>
          </w:p>
        </w:tc>
      </w:tr>
      <w:tr>
        <w:trPr>
          <w:trHeight w:val="204"/>
        </w:trPr>
        <w:tc>
          <w:tcPr>
            <w:tcW w:w="1620" w:type="dxa"/>
            <w:vAlign w:val="bottom"/>
          </w:tcPr>
          <w:p>
            <w:pPr>
              <w:ind w:left="80"/>
              <w:spacing w:after="0"/>
              <w:rPr>
                <w:sz w:val="20"/>
                <w:szCs w:val="20"/>
                <w:color w:val="auto"/>
              </w:rPr>
            </w:pPr>
            <w:r>
              <w:rPr>
                <w:rFonts w:ascii="Arial" w:cs="Arial" w:eastAsia="Arial" w:hAnsi="Arial"/>
                <w:sz w:val="16"/>
                <w:szCs w:val="16"/>
                <w:b w:val="1"/>
                <w:bCs w:val="1"/>
                <w:color w:val="auto"/>
              </w:rPr>
              <w:t>Annual</w:t>
            </w:r>
          </w:p>
        </w:tc>
        <w:tc>
          <w:tcPr>
            <w:tcW w:w="4730" w:type="dxa"/>
            <w:vAlign w:val="bottom"/>
            <w:gridSpan w:val="3"/>
          </w:tcPr>
          <w:p>
            <w:pPr>
              <w:ind w:left="160"/>
              <w:spacing w:after="0"/>
              <w:rPr>
                <w:sz w:val="20"/>
                <w:szCs w:val="20"/>
                <w:color w:val="auto"/>
              </w:rPr>
            </w:pPr>
            <w:r>
              <w:rPr>
                <w:rFonts w:ascii="Arial" w:cs="Arial" w:eastAsia="Arial" w:hAnsi="Arial"/>
                <w:sz w:val="16"/>
                <w:szCs w:val="16"/>
                <w:color w:val="auto"/>
              </w:rPr>
              <w:t>• Annual incentive award based on 90% financial performance</w:t>
            </w:r>
          </w:p>
        </w:tc>
        <w:tc>
          <w:tcPr>
            <w:tcW w:w="4910" w:type="dxa"/>
            <w:vAlign w:val="bottom"/>
            <w:gridSpan w:val="2"/>
          </w:tcPr>
          <w:p>
            <w:pPr>
              <w:ind w:left="150"/>
              <w:spacing w:after="0"/>
              <w:rPr>
                <w:sz w:val="20"/>
                <w:szCs w:val="20"/>
                <w:color w:val="auto"/>
              </w:rPr>
            </w:pPr>
            <w:r>
              <w:rPr>
                <w:rFonts w:ascii="Arial" w:cs="Arial" w:eastAsia="Arial" w:hAnsi="Arial"/>
                <w:sz w:val="16"/>
                <w:szCs w:val="16"/>
                <w:color w:val="auto"/>
              </w:rPr>
              <w:t>• Emphasize operating results by heavily weighting financial</w:t>
            </w:r>
          </w:p>
        </w:tc>
        <w:tc>
          <w:tcPr>
            <w:tcW w:w="0" w:type="dxa"/>
            <w:vAlign w:val="bottom"/>
          </w:tcPr>
          <w:p>
            <w:pPr>
              <w:spacing w:after="0"/>
              <w:rPr>
                <w:sz w:val="1"/>
                <w:szCs w:val="1"/>
                <w:color w:val="auto"/>
              </w:rPr>
            </w:pPr>
          </w:p>
        </w:tc>
      </w:tr>
      <w:tr>
        <w:trPr>
          <w:trHeight w:val="202"/>
        </w:trPr>
        <w:tc>
          <w:tcPr>
            <w:tcW w:w="1620" w:type="dxa"/>
            <w:vAlign w:val="bottom"/>
          </w:tcPr>
          <w:p>
            <w:pPr>
              <w:ind w:left="80"/>
              <w:spacing w:after="0"/>
              <w:rPr>
                <w:sz w:val="20"/>
                <w:szCs w:val="20"/>
                <w:color w:val="auto"/>
              </w:rPr>
            </w:pPr>
            <w:r>
              <w:rPr>
                <w:rFonts w:ascii="Arial" w:cs="Arial" w:eastAsia="Arial" w:hAnsi="Arial"/>
                <w:sz w:val="16"/>
                <w:szCs w:val="16"/>
                <w:b w:val="1"/>
                <w:bCs w:val="1"/>
                <w:color w:val="auto"/>
              </w:rPr>
              <w:t>Incentive</w:t>
            </w:r>
          </w:p>
        </w:tc>
        <w:tc>
          <w:tcPr>
            <w:tcW w:w="260" w:type="dxa"/>
            <w:vAlign w:val="bottom"/>
          </w:tcPr>
          <w:p>
            <w:pPr>
              <w:spacing w:after="0"/>
              <w:rPr>
                <w:sz w:val="17"/>
                <w:szCs w:val="17"/>
                <w:color w:val="auto"/>
              </w:rPr>
            </w:pPr>
          </w:p>
        </w:tc>
        <w:tc>
          <w:tcPr>
            <w:tcW w:w="4470" w:type="dxa"/>
            <w:vAlign w:val="bottom"/>
            <w:gridSpan w:val="2"/>
          </w:tcPr>
          <w:p>
            <w:pPr>
              <w:ind w:left="40"/>
              <w:spacing w:after="0"/>
              <w:rPr>
                <w:sz w:val="20"/>
                <w:szCs w:val="20"/>
                <w:color w:val="auto"/>
              </w:rPr>
            </w:pPr>
            <w:r>
              <w:rPr>
                <w:rFonts w:ascii="Arial" w:cs="Arial" w:eastAsia="Arial" w:hAnsi="Arial"/>
                <w:sz w:val="16"/>
                <w:szCs w:val="16"/>
                <w:color w:val="auto"/>
              </w:rPr>
              <w:t>goals and 10% individual goals, which includes safety goals</w:t>
            </w:r>
          </w:p>
        </w:tc>
        <w:tc>
          <w:tcPr>
            <w:tcW w:w="250" w:type="dxa"/>
            <w:vAlign w:val="bottom"/>
          </w:tcPr>
          <w:p>
            <w:pPr>
              <w:spacing w:after="0"/>
              <w:rPr>
                <w:sz w:val="17"/>
                <w:szCs w:val="17"/>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performance</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260" w:type="dxa"/>
            <w:vAlign w:val="bottom"/>
          </w:tcPr>
          <w:p>
            <w:pPr>
              <w:ind w:left="160"/>
              <w:spacing w:after="0" w:line="171" w:lineRule="exact"/>
              <w:rPr>
                <w:sz w:val="20"/>
                <w:szCs w:val="20"/>
                <w:color w:val="auto"/>
              </w:rPr>
            </w:pPr>
            <w:r>
              <w:rPr>
                <w:rFonts w:ascii="Arial" w:cs="Arial" w:eastAsia="Arial" w:hAnsi="Arial"/>
                <w:sz w:val="16"/>
                <w:szCs w:val="16"/>
                <w:color w:val="auto"/>
              </w:rPr>
              <w:t>•</w:t>
            </w:r>
          </w:p>
        </w:tc>
        <w:tc>
          <w:tcPr>
            <w:tcW w:w="4470" w:type="dxa"/>
            <w:vAlign w:val="bottom"/>
            <w:gridSpan w:val="2"/>
          </w:tcPr>
          <w:p>
            <w:pPr>
              <w:ind w:left="40"/>
              <w:spacing w:after="0" w:line="171" w:lineRule="exact"/>
              <w:rPr>
                <w:sz w:val="20"/>
                <w:szCs w:val="20"/>
                <w:color w:val="auto"/>
              </w:rPr>
            </w:pPr>
            <w:r>
              <w:rPr>
                <w:rFonts w:ascii="Arial" w:cs="Arial" w:eastAsia="Arial" w:hAnsi="Arial"/>
                <w:sz w:val="16"/>
                <w:szCs w:val="16"/>
                <w:color w:val="auto"/>
              </w:rPr>
              <w:t>Financial performance metrics include:</w:t>
            </w:r>
          </w:p>
        </w:tc>
        <w:tc>
          <w:tcPr>
            <w:tcW w:w="250" w:type="dxa"/>
            <w:vAlign w:val="bottom"/>
          </w:tcPr>
          <w:p>
            <w:pPr>
              <w:ind w:left="150"/>
              <w:spacing w:after="0" w:line="171" w:lineRule="exact"/>
              <w:rPr>
                <w:sz w:val="20"/>
                <w:szCs w:val="20"/>
                <w:color w:val="auto"/>
              </w:rPr>
            </w:pPr>
            <w:r>
              <w:rPr>
                <w:rFonts w:ascii="Arial" w:cs="Arial" w:eastAsia="Arial" w:hAnsi="Arial"/>
                <w:sz w:val="16"/>
                <w:szCs w:val="16"/>
                <w:color w:val="auto"/>
              </w:rPr>
              <w:t>•</w:t>
            </w:r>
          </w:p>
        </w:tc>
        <w:tc>
          <w:tcPr>
            <w:tcW w:w="4660" w:type="dxa"/>
            <w:vAlign w:val="bottom"/>
          </w:tcPr>
          <w:p>
            <w:pPr>
              <w:ind w:left="40"/>
              <w:spacing w:after="0" w:line="171" w:lineRule="exact"/>
              <w:rPr>
                <w:sz w:val="20"/>
                <w:szCs w:val="20"/>
                <w:color w:val="auto"/>
              </w:rPr>
            </w:pPr>
            <w:r>
              <w:rPr>
                <w:rFonts w:ascii="Arial" w:cs="Arial" w:eastAsia="Arial" w:hAnsi="Arial"/>
                <w:sz w:val="16"/>
                <w:szCs w:val="16"/>
                <w:color w:val="auto"/>
              </w:rPr>
              <w:t>Select financial performance metrics that align our short-term</w:t>
            </w:r>
          </w:p>
        </w:tc>
        <w:tc>
          <w:tcPr>
            <w:tcW w:w="0" w:type="dxa"/>
            <w:vAlign w:val="bottom"/>
          </w:tcPr>
          <w:p>
            <w:pPr>
              <w:spacing w:after="0"/>
              <w:rPr>
                <w:sz w:val="1"/>
                <w:szCs w:val="1"/>
                <w:color w:val="auto"/>
              </w:rPr>
            </w:pPr>
          </w:p>
        </w:tc>
      </w:tr>
      <w:tr>
        <w:trPr>
          <w:trHeight w:val="212"/>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30" w:type="dxa"/>
            <w:vAlign w:val="bottom"/>
          </w:tcPr>
          <w:p>
            <w:pPr>
              <w:ind w:left="60"/>
              <w:spacing w:after="0"/>
              <w:rPr>
                <w:sz w:val="20"/>
                <w:szCs w:val="20"/>
                <w:color w:val="auto"/>
              </w:rPr>
            </w:pPr>
            <w:r>
              <w:rPr>
                <w:rFonts w:ascii="Arial" w:cs="Arial" w:eastAsia="Arial" w:hAnsi="Arial"/>
                <w:sz w:val="16"/>
                <w:szCs w:val="16"/>
                <w:color w:val="auto"/>
              </w:rPr>
              <w:t>◦ Operating income (75%) and</w:t>
            </w:r>
          </w:p>
        </w:tc>
        <w:tc>
          <w:tcPr>
            <w:tcW w:w="250" w:type="dxa"/>
            <w:vAlign w:val="bottom"/>
          </w:tcPr>
          <w:p>
            <w:pPr>
              <w:spacing w:after="0"/>
              <w:rPr>
                <w:sz w:val="18"/>
                <w:szCs w:val="18"/>
                <w:color w:val="auto"/>
              </w:rPr>
            </w:pPr>
          </w:p>
        </w:tc>
        <w:tc>
          <w:tcPr>
            <w:tcW w:w="4660" w:type="dxa"/>
            <w:vAlign w:val="bottom"/>
          </w:tcPr>
          <w:p>
            <w:pPr>
              <w:ind w:left="60"/>
              <w:spacing w:after="0"/>
              <w:rPr>
                <w:sz w:val="20"/>
                <w:szCs w:val="20"/>
                <w:color w:val="auto"/>
              </w:rPr>
            </w:pPr>
            <w:r>
              <w:rPr>
                <w:rFonts w:ascii="Arial" w:cs="Arial" w:eastAsia="Arial" w:hAnsi="Arial"/>
                <w:sz w:val="16"/>
                <w:szCs w:val="16"/>
                <w:color w:val="auto"/>
              </w:rPr>
              <w:t>performance with our long-term performance objectives</w:t>
            </w:r>
          </w:p>
        </w:tc>
        <w:tc>
          <w:tcPr>
            <w:tcW w:w="0" w:type="dxa"/>
            <w:vAlign w:val="bottom"/>
          </w:tcPr>
          <w:p>
            <w:pPr>
              <w:spacing w:after="0"/>
              <w:rPr>
                <w:sz w:val="1"/>
                <w:szCs w:val="1"/>
                <w:color w:val="auto"/>
              </w:rPr>
            </w:pPr>
          </w:p>
        </w:tc>
      </w:tr>
      <w:tr>
        <w:trPr>
          <w:trHeight w:val="207"/>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330" w:type="dxa"/>
            <w:vAlign w:val="bottom"/>
          </w:tcPr>
          <w:p>
            <w:pPr>
              <w:ind w:left="60"/>
              <w:spacing w:after="0"/>
              <w:rPr>
                <w:sz w:val="20"/>
                <w:szCs w:val="20"/>
                <w:color w:val="auto"/>
              </w:rPr>
            </w:pPr>
            <w:r>
              <w:rPr>
                <w:rFonts w:ascii="Arial" w:cs="Arial" w:eastAsia="Arial" w:hAnsi="Arial"/>
                <w:sz w:val="16"/>
                <w:szCs w:val="16"/>
                <w:color w:val="auto"/>
              </w:rPr>
              <w:t>◦ Operating cash flow (15%)</w:t>
            </w:r>
          </w:p>
        </w:tc>
        <w:tc>
          <w:tcPr>
            <w:tcW w:w="4910" w:type="dxa"/>
            <w:vAlign w:val="bottom"/>
            <w:gridSpan w:val="2"/>
          </w:tcPr>
          <w:p>
            <w:pPr>
              <w:ind w:left="150"/>
              <w:spacing w:after="0"/>
              <w:rPr>
                <w:sz w:val="20"/>
                <w:szCs w:val="20"/>
                <w:color w:val="auto"/>
              </w:rPr>
            </w:pPr>
            <w:r>
              <w:rPr>
                <w:rFonts w:ascii="Arial" w:cs="Arial" w:eastAsia="Arial" w:hAnsi="Arial"/>
                <w:sz w:val="16"/>
                <w:szCs w:val="16"/>
                <w:color w:val="auto"/>
              </w:rPr>
              <w:t>• Align compensation with safety, which we view as a key</w:t>
            </w:r>
          </w:p>
        </w:tc>
        <w:tc>
          <w:tcPr>
            <w:tcW w:w="0" w:type="dxa"/>
            <w:vAlign w:val="bottom"/>
          </w:tcPr>
          <w:p>
            <w:pPr>
              <w:spacing w:after="0"/>
              <w:rPr>
                <w:sz w:val="1"/>
                <w:szCs w:val="1"/>
                <w:color w:val="auto"/>
              </w:rPr>
            </w:pPr>
          </w:p>
        </w:tc>
      </w:tr>
      <w:tr>
        <w:trPr>
          <w:trHeight w:val="166"/>
        </w:trPr>
        <w:tc>
          <w:tcPr>
            <w:tcW w:w="1620" w:type="dxa"/>
            <w:vAlign w:val="bottom"/>
          </w:tcPr>
          <w:p>
            <w:pPr>
              <w:spacing w:after="0"/>
              <w:rPr>
                <w:sz w:val="14"/>
                <w:szCs w:val="14"/>
                <w:color w:val="auto"/>
              </w:rPr>
            </w:pPr>
          </w:p>
        </w:tc>
        <w:tc>
          <w:tcPr>
            <w:tcW w:w="260" w:type="dxa"/>
            <w:vAlign w:val="bottom"/>
            <w:vMerge w:val="restart"/>
          </w:tcPr>
          <w:p>
            <w:pPr>
              <w:ind w:left="160"/>
              <w:spacing w:after="0"/>
              <w:rPr>
                <w:sz w:val="20"/>
                <w:szCs w:val="20"/>
                <w:color w:val="auto"/>
              </w:rPr>
            </w:pPr>
            <w:r>
              <w:rPr>
                <w:rFonts w:ascii="Arial" w:cs="Arial" w:eastAsia="Arial" w:hAnsi="Arial"/>
                <w:sz w:val="16"/>
                <w:szCs w:val="16"/>
                <w:color w:val="auto"/>
              </w:rPr>
              <w:t>•</w:t>
            </w:r>
          </w:p>
        </w:tc>
        <w:tc>
          <w:tcPr>
            <w:tcW w:w="4470" w:type="dxa"/>
            <w:vAlign w:val="bottom"/>
            <w:gridSpan w:val="2"/>
            <w:vMerge w:val="restart"/>
          </w:tcPr>
          <w:p>
            <w:pPr>
              <w:ind w:left="40"/>
              <w:spacing w:after="0"/>
              <w:rPr>
                <w:sz w:val="20"/>
                <w:szCs w:val="20"/>
                <w:color w:val="auto"/>
              </w:rPr>
            </w:pPr>
            <w:r>
              <w:rPr>
                <w:rFonts w:ascii="Arial" w:cs="Arial" w:eastAsia="Arial" w:hAnsi="Arial"/>
                <w:sz w:val="16"/>
                <w:szCs w:val="16"/>
                <w:color w:val="auto"/>
              </w:rPr>
              <w:t>Financial results determine payout multiplier</w:t>
            </w:r>
          </w:p>
        </w:tc>
        <w:tc>
          <w:tcPr>
            <w:tcW w:w="250" w:type="dxa"/>
            <w:vAlign w:val="bottom"/>
          </w:tcPr>
          <w:p>
            <w:pPr>
              <w:spacing w:after="0"/>
              <w:rPr>
                <w:sz w:val="14"/>
                <w:szCs w:val="14"/>
                <w:color w:val="auto"/>
              </w:rPr>
            </w:pPr>
          </w:p>
        </w:tc>
        <w:tc>
          <w:tcPr>
            <w:tcW w:w="4660" w:type="dxa"/>
            <w:vAlign w:val="bottom"/>
          </w:tcPr>
          <w:p>
            <w:pPr>
              <w:ind w:left="60"/>
              <w:spacing w:after="0" w:line="166" w:lineRule="exact"/>
              <w:rPr>
                <w:sz w:val="20"/>
                <w:szCs w:val="20"/>
                <w:color w:val="auto"/>
              </w:rPr>
            </w:pPr>
            <w:r>
              <w:rPr>
                <w:rFonts w:ascii="Arial" w:cs="Arial" w:eastAsia="Arial" w:hAnsi="Arial"/>
                <w:sz w:val="16"/>
                <w:szCs w:val="16"/>
                <w:color w:val="auto"/>
              </w:rPr>
              <w:t>component for the success of our business</w:t>
            </w:r>
          </w:p>
        </w:tc>
        <w:tc>
          <w:tcPr>
            <w:tcW w:w="0" w:type="dxa"/>
            <w:vAlign w:val="bottom"/>
          </w:tcPr>
          <w:p>
            <w:pPr>
              <w:spacing w:after="0"/>
              <w:rPr>
                <w:sz w:val="1"/>
                <w:szCs w:val="1"/>
                <w:color w:val="auto"/>
              </w:rPr>
            </w:pPr>
          </w:p>
        </w:tc>
      </w:tr>
      <w:tr>
        <w:trPr>
          <w:trHeight w:val="93"/>
        </w:trPr>
        <w:tc>
          <w:tcPr>
            <w:tcW w:w="16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470" w:type="dxa"/>
            <w:vAlign w:val="bottom"/>
            <w:gridSpan w:val="2"/>
            <w:vMerge w:val="continue"/>
          </w:tcPr>
          <w:p>
            <w:pPr>
              <w:spacing w:after="0"/>
              <w:rPr>
                <w:sz w:val="8"/>
                <w:szCs w:val="8"/>
                <w:color w:val="auto"/>
              </w:rPr>
            </w:pPr>
          </w:p>
        </w:tc>
        <w:tc>
          <w:tcPr>
            <w:tcW w:w="4910" w:type="dxa"/>
            <w:vAlign w:val="bottom"/>
            <w:gridSpan w:val="2"/>
            <w:vMerge w:val="restart"/>
          </w:tcPr>
          <w:p>
            <w:pPr>
              <w:ind w:left="150"/>
              <w:spacing w:after="0" w:line="163" w:lineRule="exact"/>
              <w:rPr>
                <w:sz w:val="20"/>
                <w:szCs w:val="20"/>
                <w:color w:val="auto"/>
              </w:rPr>
            </w:pPr>
            <w:r>
              <w:rPr>
                <w:rFonts w:ascii="Arial" w:cs="Arial" w:eastAsia="Arial" w:hAnsi="Arial"/>
                <w:sz w:val="16"/>
                <w:szCs w:val="16"/>
                <w:color w:val="auto"/>
              </w:rPr>
              <w:t>• Retain individual performance component to ensure focus on</w:t>
            </w:r>
          </w:p>
        </w:tc>
        <w:tc>
          <w:tcPr>
            <w:tcW w:w="0" w:type="dxa"/>
            <w:vAlign w:val="bottom"/>
          </w:tcPr>
          <w:p>
            <w:pPr>
              <w:spacing w:after="0"/>
              <w:rPr>
                <w:sz w:val="1"/>
                <w:szCs w:val="1"/>
                <w:color w:val="auto"/>
              </w:rPr>
            </w:pPr>
          </w:p>
        </w:tc>
      </w:tr>
      <w:tr>
        <w:trPr>
          <w:trHeight w:val="70"/>
        </w:trPr>
        <w:tc>
          <w:tcPr>
            <w:tcW w:w="1620" w:type="dxa"/>
            <w:vAlign w:val="bottom"/>
          </w:tcPr>
          <w:p>
            <w:pPr>
              <w:spacing w:after="0"/>
              <w:rPr>
                <w:sz w:val="6"/>
                <w:szCs w:val="6"/>
                <w:color w:val="auto"/>
              </w:rPr>
            </w:pPr>
          </w:p>
        </w:tc>
        <w:tc>
          <w:tcPr>
            <w:tcW w:w="260" w:type="dxa"/>
            <w:vAlign w:val="bottom"/>
            <w:vMerge w:val="restart"/>
          </w:tcPr>
          <w:p>
            <w:pPr>
              <w:ind w:left="160"/>
              <w:spacing w:after="0" w:line="168" w:lineRule="exact"/>
              <w:rPr>
                <w:sz w:val="20"/>
                <w:szCs w:val="20"/>
                <w:color w:val="auto"/>
              </w:rPr>
            </w:pPr>
            <w:r>
              <w:rPr>
                <w:rFonts w:ascii="Arial" w:cs="Arial" w:eastAsia="Arial" w:hAnsi="Arial"/>
                <w:sz w:val="16"/>
                <w:szCs w:val="16"/>
                <w:color w:val="auto"/>
              </w:rPr>
              <w:t>•</w:t>
            </w:r>
          </w:p>
        </w:tc>
        <w:tc>
          <w:tcPr>
            <w:tcW w:w="4470" w:type="dxa"/>
            <w:vAlign w:val="bottom"/>
            <w:gridSpan w:val="2"/>
            <w:vMerge w:val="restart"/>
          </w:tcPr>
          <w:p>
            <w:pPr>
              <w:ind w:left="40"/>
              <w:spacing w:after="0" w:line="168" w:lineRule="exact"/>
              <w:rPr>
                <w:sz w:val="20"/>
                <w:szCs w:val="20"/>
                <w:color w:val="auto"/>
              </w:rPr>
            </w:pPr>
            <w:r>
              <w:rPr>
                <w:rFonts w:ascii="Arial" w:cs="Arial" w:eastAsia="Arial" w:hAnsi="Arial"/>
                <w:sz w:val="16"/>
                <w:szCs w:val="16"/>
                <w:color w:val="auto"/>
              </w:rPr>
              <w:t>No payout unless at least threshold operating income goal is</w:t>
            </w:r>
          </w:p>
        </w:tc>
        <w:tc>
          <w:tcPr>
            <w:tcW w:w="491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16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4470" w:type="dxa"/>
            <w:vAlign w:val="bottom"/>
            <w:gridSpan w:val="2"/>
            <w:vMerge w:val="continue"/>
          </w:tcPr>
          <w:p>
            <w:pPr>
              <w:spacing w:after="0"/>
              <w:rPr>
                <w:sz w:val="8"/>
                <w:szCs w:val="8"/>
                <w:color w:val="auto"/>
              </w:rPr>
            </w:pPr>
          </w:p>
        </w:tc>
        <w:tc>
          <w:tcPr>
            <w:tcW w:w="250" w:type="dxa"/>
            <w:vAlign w:val="bottom"/>
          </w:tcPr>
          <w:p>
            <w:pPr>
              <w:spacing w:after="0"/>
              <w:rPr>
                <w:sz w:val="8"/>
                <w:szCs w:val="8"/>
                <w:color w:val="auto"/>
              </w:rPr>
            </w:pPr>
          </w:p>
        </w:tc>
        <w:tc>
          <w:tcPr>
            <w:tcW w:w="4660" w:type="dxa"/>
            <w:vAlign w:val="bottom"/>
            <w:vMerge w:val="restart"/>
          </w:tcPr>
          <w:p>
            <w:pPr>
              <w:ind w:left="60"/>
              <w:spacing w:after="0" w:line="158" w:lineRule="exact"/>
              <w:rPr>
                <w:sz w:val="20"/>
                <w:szCs w:val="20"/>
                <w:color w:val="auto"/>
              </w:rPr>
            </w:pPr>
            <w:r>
              <w:rPr>
                <w:rFonts w:ascii="Arial" w:cs="Arial" w:eastAsia="Arial" w:hAnsi="Arial"/>
                <w:sz w:val="16"/>
                <w:szCs w:val="16"/>
                <w:color w:val="auto"/>
              </w:rPr>
              <w:t>specific goals unique to each executive's role and</w:t>
            </w:r>
          </w:p>
        </w:tc>
        <w:tc>
          <w:tcPr>
            <w:tcW w:w="0" w:type="dxa"/>
            <w:vAlign w:val="bottom"/>
          </w:tcPr>
          <w:p>
            <w:pPr>
              <w:spacing w:after="0"/>
              <w:rPr>
                <w:sz w:val="1"/>
                <w:szCs w:val="1"/>
                <w:color w:val="auto"/>
              </w:rPr>
            </w:pPr>
          </w:p>
        </w:tc>
      </w:tr>
      <w:tr>
        <w:trPr>
          <w:trHeight w:val="61"/>
        </w:trPr>
        <w:tc>
          <w:tcPr>
            <w:tcW w:w="1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70" w:type="dxa"/>
            <w:vAlign w:val="bottom"/>
            <w:gridSpan w:val="2"/>
            <w:vMerge w:val="restart"/>
          </w:tcPr>
          <w:p>
            <w:pPr>
              <w:ind w:left="40"/>
              <w:spacing w:after="0"/>
              <w:rPr>
                <w:sz w:val="20"/>
                <w:szCs w:val="20"/>
                <w:color w:val="auto"/>
              </w:rPr>
            </w:pPr>
            <w:r>
              <w:rPr>
                <w:rFonts w:ascii="Arial" w:cs="Arial" w:eastAsia="Arial" w:hAnsi="Arial"/>
                <w:sz w:val="16"/>
                <w:szCs w:val="16"/>
                <w:color w:val="auto"/>
              </w:rPr>
              <w:t>achieved</w:t>
            </w:r>
          </w:p>
        </w:tc>
        <w:tc>
          <w:tcPr>
            <w:tcW w:w="250" w:type="dxa"/>
            <w:vAlign w:val="bottom"/>
          </w:tcPr>
          <w:p>
            <w:pPr>
              <w:spacing w:after="0"/>
              <w:rPr>
                <w:sz w:val="5"/>
                <w:szCs w:val="5"/>
                <w:color w:val="auto"/>
              </w:rPr>
            </w:pPr>
          </w:p>
        </w:tc>
        <w:tc>
          <w:tcPr>
            <w:tcW w:w="46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4"/>
        </w:trPr>
        <w:tc>
          <w:tcPr>
            <w:tcW w:w="1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70" w:type="dxa"/>
            <w:vAlign w:val="bottom"/>
            <w:gridSpan w:val="2"/>
            <w:vMerge w:val="continue"/>
          </w:tcPr>
          <w:p>
            <w:pPr>
              <w:spacing w:after="0"/>
              <w:rPr>
                <w:sz w:val="13"/>
                <w:szCs w:val="13"/>
                <w:color w:val="auto"/>
              </w:rPr>
            </w:pPr>
          </w:p>
        </w:tc>
        <w:tc>
          <w:tcPr>
            <w:tcW w:w="250" w:type="dxa"/>
            <w:vAlign w:val="bottom"/>
          </w:tcPr>
          <w:p>
            <w:pPr>
              <w:spacing w:after="0"/>
              <w:rPr>
                <w:sz w:val="13"/>
                <w:szCs w:val="13"/>
                <w:color w:val="auto"/>
              </w:rPr>
            </w:pPr>
          </w:p>
        </w:tc>
        <w:tc>
          <w:tcPr>
            <w:tcW w:w="4660" w:type="dxa"/>
            <w:vAlign w:val="bottom"/>
            <w:vMerge w:val="restart"/>
          </w:tcPr>
          <w:p>
            <w:pPr>
              <w:ind w:left="60"/>
              <w:spacing w:after="0"/>
              <w:rPr>
                <w:sz w:val="20"/>
                <w:szCs w:val="20"/>
                <w:color w:val="auto"/>
              </w:rPr>
            </w:pPr>
            <w:r>
              <w:rPr>
                <w:rFonts w:ascii="Arial" w:cs="Arial" w:eastAsia="Arial" w:hAnsi="Arial"/>
                <w:sz w:val="16"/>
                <w:szCs w:val="16"/>
                <w:color w:val="auto"/>
              </w:rPr>
              <w:t>responsibilities</w:t>
            </w:r>
          </w:p>
        </w:tc>
        <w:tc>
          <w:tcPr>
            <w:tcW w:w="0" w:type="dxa"/>
            <w:vAlign w:val="bottom"/>
          </w:tcPr>
          <w:p>
            <w:pPr>
              <w:spacing w:after="0"/>
              <w:rPr>
                <w:sz w:val="1"/>
                <w:szCs w:val="1"/>
                <w:color w:val="auto"/>
              </w:rPr>
            </w:pPr>
          </w:p>
        </w:tc>
      </w:tr>
      <w:tr>
        <w:trPr>
          <w:trHeight w:val="63"/>
        </w:trPr>
        <w:tc>
          <w:tcPr>
            <w:tcW w:w="162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330" w:type="dxa"/>
            <w:vAlign w:val="bottom"/>
            <w:tcBorders>
              <w:bottom w:val="single" w:sz="8" w:color="auto"/>
            </w:tcBorders>
          </w:tcPr>
          <w:p>
            <w:pPr>
              <w:spacing w:after="0"/>
              <w:rPr>
                <w:sz w:val="5"/>
                <w:szCs w:val="5"/>
                <w:color w:val="auto"/>
              </w:rPr>
            </w:pPr>
          </w:p>
        </w:tc>
        <w:tc>
          <w:tcPr>
            <w:tcW w:w="25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1620" w:type="dxa"/>
            <w:vAlign w:val="bottom"/>
          </w:tcPr>
          <w:p>
            <w:pPr>
              <w:ind w:left="80"/>
              <w:spacing w:after="0" w:line="165" w:lineRule="exact"/>
              <w:rPr>
                <w:sz w:val="20"/>
                <w:szCs w:val="20"/>
                <w:color w:val="auto"/>
              </w:rPr>
            </w:pPr>
            <w:r>
              <w:rPr>
                <w:rFonts w:ascii="Arial" w:cs="Arial" w:eastAsia="Arial" w:hAnsi="Arial"/>
                <w:sz w:val="16"/>
                <w:szCs w:val="16"/>
                <w:b w:val="1"/>
                <w:bCs w:val="1"/>
                <w:color w:val="auto"/>
              </w:rPr>
              <w:t>Long-Term</w:t>
            </w:r>
          </w:p>
        </w:tc>
        <w:tc>
          <w:tcPr>
            <w:tcW w:w="260" w:type="dxa"/>
            <w:vAlign w:val="bottom"/>
          </w:tcPr>
          <w:p>
            <w:pPr>
              <w:ind w:left="160"/>
              <w:spacing w:after="0" w:line="165" w:lineRule="exact"/>
              <w:rPr>
                <w:sz w:val="20"/>
                <w:szCs w:val="20"/>
                <w:color w:val="auto"/>
              </w:rPr>
            </w:pPr>
            <w:r>
              <w:rPr>
                <w:rFonts w:ascii="Arial" w:cs="Arial" w:eastAsia="Arial" w:hAnsi="Arial"/>
                <w:sz w:val="16"/>
                <w:szCs w:val="16"/>
                <w:color w:val="auto"/>
              </w:rPr>
              <w:t>•</w:t>
            </w:r>
          </w:p>
        </w:tc>
        <w:tc>
          <w:tcPr>
            <w:tcW w:w="4470" w:type="dxa"/>
            <w:vAlign w:val="bottom"/>
            <w:gridSpan w:val="2"/>
          </w:tcPr>
          <w:p>
            <w:pPr>
              <w:ind w:left="40"/>
              <w:spacing w:after="0" w:line="165" w:lineRule="exact"/>
              <w:rPr>
                <w:sz w:val="20"/>
                <w:szCs w:val="20"/>
                <w:color w:val="auto"/>
              </w:rPr>
            </w:pPr>
            <w:r>
              <w:rPr>
                <w:rFonts w:ascii="Arial" w:cs="Arial" w:eastAsia="Arial" w:hAnsi="Arial"/>
                <w:sz w:val="16"/>
                <w:szCs w:val="16"/>
                <w:color w:val="auto"/>
              </w:rPr>
              <w:t>Long-term incentive grant weighted towards performance,</w:t>
            </w:r>
          </w:p>
        </w:tc>
        <w:tc>
          <w:tcPr>
            <w:tcW w:w="250" w:type="dxa"/>
            <w:vAlign w:val="bottom"/>
          </w:tcPr>
          <w:p>
            <w:pPr>
              <w:ind w:left="150"/>
              <w:spacing w:after="0" w:line="165" w:lineRule="exact"/>
              <w:rPr>
                <w:sz w:val="20"/>
                <w:szCs w:val="20"/>
                <w:color w:val="auto"/>
              </w:rPr>
            </w:pPr>
            <w:r>
              <w:rPr>
                <w:rFonts w:ascii="Arial" w:cs="Arial" w:eastAsia="Arial" w:hAnsi="Arial"/>
                <w:sz w:val="16"/>
                <w:szCs w:val="16"/>
                <w:color w:val="auto"/>
              </w:rPr>
              <w:t>•</w:t>
            </w:r>
          </w:p>
        </w:tc>
        <w:tc>
          <w:tcPr>
            <w:tcW w:w="4660" w:type="dxa"/>
            <w:vAlign w:val="bottom"/>
          </w:tcPr>
          <w:p>
            <w:pPr>
              <w:ind w:left="40"/>
              <w:spacing w:after="0" w:line="165" w:lineRule="exact"/>
              <w:rPr>
                <w:sz w:val="20"/>
                <w:szCs w:val="20"/>
                <w:color w:val="auto"/>
              </w:rPr>
            </w:pPr>
            <w:r>
              <w:rPr>
                <w:rFonts w:ascii="Arial" w:cs="Arial" w:eastAsia="Arial" w:hAnsi="Arial"/>
                <w:sz w:val="16"/>
                <w:szCs w:val="16"/>
                <w:color w:val="auto"/>
              </w:rPr>
              <w:t>Alignment with stockholder interest</w:t>
            </w:r>
          </w:p>
        </w:tc>
        <w:tc>
          <w:tcPr>
            <w:tcW w:w="0" w:type="dxa"/>
            <w:vAlign w:val="bottom"/>
          </w:tcPr>
          <w:p>
            <w:pPr>
              <w:spacing w:after="0"/>
              <w:rPr>
                <w:sz w:val="1"/>
                <w:szCs w:val="1"/>
                <w:color w:val="auto"/>
              </w:rPr>
            </w:pPr>
          </w:p>
        </w:tc>
      </w:tr>
      <w:tr>
        <w:trPr>
          <w:trHeight w:val="195"/>
        </w:trPr>
        <w:tc>
          <w:tcPr>
            <w:tcW w:w="1620" w:type="dxa"/>
            <w:vAlign w:val="bottom"/>
          </w:tcPr>
          <w:p>
            <w:pPr>
              <w:ind w:left="80"/>
              <w:spacing w:after="0"/>
              <w:rPr>
                <w:sz w:val="20"/>
                <w:szCs w:val="20"/>
                <w:color w:val="auto"/>
              </w:rPr>
            </w:pPr>
            <w:r>
              <w:rPr>
                <w:rFonts w:ascii="Arial" w:cs="Arial" w:eastAsia="Arial" w:hAnsi="Arial"/>
                <w:sz w:val="16"/>
                <w:szCs w:val="16"/>
                <w:b w:val="1"/>
                <w:bCs w:val="1"/>
                <w:color w:val="auto"/>
              </w:rPr>
              <w:t>Incentive</w:t>
            </w:r>
          </w:p>
        </w:tc>
        <w:tc>
          <w:tcPr>
            <w:tcW w:w="260" w:type="dxa"/>
            <w:vAlign w:val="bottom"/>
          </w:tcPr>
          <w:p>
            <w:pPr>
              <w:spacing w:after="0"/>
              <w:rPr>
                <w:sz w:val="16"/>
                <w:szCs w:val="16"/>
                <w:color w:val="auto"/>
              </w:rPr>
            </w:pPr>
          </w:p>
        </w:tc>
        <w:tc>
          <w:tcPr>
            <w:tcW w:w="4470" w:type="dxa"/>
            <w:vAlign w:val="bottom"/>
            <w:gridSpan w:val="2"/>
          </w:tcPr>
          <w:p>
            <w:pPr>
              <w:ind w:left="40"/>
              <w:spacing w:after="0"/>
              <w:rPr>
                <w:sz w:val="20"/>
                <w:szCs w:val="20"/>
                <w:color w:val="auto"/>
              </w:rPr>
            </w:pPr>
            <w:r>
              <w:rPr>
                <w:rFonts w:ascii="Arial" w:cs="Arial" w:eastAsia="Arial" w:hAnsi="Arial"/>
                <w:sz w:val="16"/>
                <w:szCs w:val="16"/>
                <w:color w:val="auto"/>
              </w:rPr>
              <w:t>including:</w:t>
            </w:r>
          </w:p>
        </w:tc>
        <w:tc>
          <w:tcPr>
            <w:tcW w:w="4910" w:type="dxa"/>
            <w:vAlign w:val="bottom"/>
            <w:gridSpan w:val="2"/>
          </w:tcPr>
          <w:p>
            <w:pPr>
              <w:ind w:left="150"/>
              <w:spacing w:after="0"/>
              <w:rPr>
                <w:sz w:val="20"/>
                <w:szCs w:val="20"/>
                <w:color w:val="auto"/>
              </w:rPr>
            </w:pPr>
            <w:r>
              <w:rPr>
                <w:rFonts w:ascii="Arial" w:cs="Arial" w:eastAsia="Arial" w:hAnsi="Arial"/>
                <w:sz w:val="16"/>
                <w:szCs w:val="16"/>
                <w:color w:val="auto"/>
              </w:rPr>
              <w:t>• Promote executive focus on long-term company performance</w:t>
            </w:r>
          </w:p>
        </w:tc>
        <w:tc>
          <w:tcPr>
            <w:tcW w:w="0" w:type="dxa"/>
            <w:vAlign w:val="bottom"/>
          </w:tcPr>
          <w:p>
            <w:pPr>
              <w:spacing w:after="0"/>
              <w:rPr>
                <w:sz w:val="1"/>
                <w:szCs w:val="1"/>
                <w:color w:val="auto"/>
              </w:rPr>
            </w:pPr>
          </w:p>
        </w:tc>
      </w:tr>
      <w:tr>
        <w:trPr>
          <w:trHeight w:val="215"/>
        </w:trPr>
        <w:tc>
          <w:tcPr>
            <w:tcW w:w="1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ind w:left="40"/>
              <w:spacing w:after="0"/>
              <w:rPr>
                <w:sz w:val="20"/>
                <w:szCs w:val="20"/>
                <w:color w:val="auto"/>
              </w:rPr>
            </w:pPr>
            <w:r>
              <w:rPr>
                <w:rFonts w:ascii="Arial" w:cs="Arial" w:eastAsia="Arial" w:hAnsi="Arial"/>
                <w:sz w:val="16"/>
                <w:szCs w:val="16"/>
                <w:color w:val="auto"/>
              </w:rPr>
              <w:t>◦</w:t>
            </w:r>
          </w:p>
        </w:tc>
        <w:tc>
          <w:tcPr>
            <w:tcW w:w="4330" w:type="dxa"/>
            <w:vAlign w:val="bottom"/>
          </w:tcPr>
          <w:p>
            <w:pPr>
              <w:ind w:left="40"/>
              <w:spacing w:after="0"/>
              <w:rPr>
                <w:sz w:val="20"/>
                <w:szCs w:val="20"/>
                <w:color w:val="auto"/>
              </w:rPr>
            </w:pPr>
            <w:r>
              <w:rPr>
                <w:rFonts w:ascii="Arial" w:cs="Arial" w:eastAsia="Arial" w:hAnsi="Arial"/>
                <w:sz w:val="16"/>
                <w:szCs w:val="16"/>
                <w:color w:val="auto"/>
              </w:rPr>
              <w:t>40% restricted stock units with 3-year ratable vesting</w:t>
            </w:r>
          </w:p>
        </w:tc>
        <w:tc>
          <w:tcPr>
            <w:tcW w:w="250" w:type="dxa"/>
            <w:vAlign w:val="bottom"/>
          </w:tcPr>
          <w:p>
            <w:pPr>
              <w:ind w:left="150"/>
              <w:spacing w:after="0"/>
              <w:rPr>
                <w:sz w:val="20"/>
                <w:szCs w:val="20"/>
                <w:color w:val="auto"/>
              </w:rPr>
            </w:pPr>
            <w:r>
              <w:rPr>
                <w:rFonts w:ascii="Arial" w:cs="Arial" w:eastAsia="Arial" w:hAnsi="Arial"/>
                <w:sz w:val="16"/>
                <w:szCs w:val="16"/>
                <w:color w:val="auto"/>
              </w:rPr>
              <w:t>•</w:t>
            </w:r>
          </w:p>
        </w:tc>
        <w:tc>
          <w:tcPr>
            <w:tcW w:w="4660" w:type="dxa"/>
            <w:vAlign w:val="bottom"/>
          </w:tcPr>
          <w:p>
            <w:pPr>
              <w:ind w:left="40"/>
              <w:spacing w:after="0"/>
              <w:rPr>
                <w:sz w:val="20"/>
                <w:szCs w:val="20"/>
                <w:color w:val="auto"/>
              </w:rPr>
            </w:pPr>
            <w:r>
              <w:rPr>
                <w:rFonts w:ascii="Arial" w:cs="Arial" w:eastAsia="Arial" w:hAnsi="Arial"/>
                <w:sz w:val="16"/>
                <w:szCs w:val="16"/>
                <w:color w:val="auto"/>
              </w:rPr>
              <w:t>Utilize performance metrics that are meaningful drivers of long-</w:t>
            </w:r>
          </w:p>
        </w:tc>
        <w:tc>
          <w:tcPr>
            <w:tcW w:w="0" w:type="dxa"/>
            <w:vAlign w:val="bottom"/>
          </w:tcPr>
          <w:p>
            <w:pPr>
              <w:spacing w:after="0"/>
              <w:rPr>
                <w:sz w:val="1"/>
                <w:szCs w:val="1"/>
                <w:color w:val="auto"/>
              </w:rPr>
            </w:pPr>
          </w:p>
        </w:tc>
      </w:tr>
      <w:tr>
        <w:trPr>
          <w:trHeight w:val="174"/>
        </w:trPr>
        <w:tc>
          <w:tcPr>
            <w:tcW w:w="1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ind w:left="40"/>
              <w:spacing w:after="0" w:line="175" w:lineRule="exact"/>
              <w:rPr>
                <w:sz w:val="20"/>
                <w:szCs w:val="20"/>
                <w:color w:val="auto"/>
              </w:rPr>
            </w:pPr>
            <w:r>
              <w:rPr>
                <w:rFonts w:ascii="Arial" w:cs="Arial" w:eastAsia="Arial" w:hAnsi="Arial"/>
                <w:sz w:val="16"/>
                <w:szCs w:val="16"/>
                <w:color w:val="auto"/>
              </w:rPr>
              <w:t>◦</w:t>
            </w:r>
          </w:p>
        </w:tc>
        <w:tc>
          <w:tcPr>
            <w:tcW w:w="4330" w:type="dxa"/>
            <w:vAlign w:val="bottom"/>
          </w:tcPr>
          <w:p>
            <w:pPr>
              <w:ind w:left="40"/>
              <w:spacing w:after="0" w:line="175" w:lineRule="exact"/>
              <w:rPr>
                <w:sz w:val="20"/>
                <w:szCs w:val="20"/>
                <w:color w:val="auto"/>
              </w:rPr>
            </w:pPr>
            <w:r>
              <w:rPr>
                <w:rFonts w:ascii="Arial" w:cs="Arial" w:eastAsia="Arial" w:hAnsi="Arial"/>
                <w:sz w:val="16"/>
                <w:szCs w:val="16"/>
                <w:color w:val="auto"/>
              </w:rPr>
              <w:t>60% performance-based restricted stock units with 3-year</w:t>
            </w:r>
          </w:p>
        </w:tc>
        <w:tc>
          <w:tcPr>
            <w:tcW w:w="250" w:type="dxa"/>
            <w:vAlign w:val="bottom"/>
          </w:tcPr>
          <w:p>
            <w:pPr>
              <w:spacing w:after="0"/>
              <w:rPr>
                <w:sz w:val="15"/>
                <w:szCs w:val="15"/>
                <w:color w:val="auto"/>
              </w:rPr>
            </w:pPr>
          </w:p>
        </w:tc>
        <w:tc>
          <w:tcPr>
            <w:tcW w:w="4660" w:type="dxa"/>
            <w:vAlign w:val="bottom"/>
          </w:tcPr>
          <w:p>
            <w:pPr>
              <w:ind w:left="60"/>
              <w:spacing w:after="0" w:line="175" w:lineRule="exact"/>
              <w:rPr>
                <w:sz w:val="20"/>
                <w:szCs w:val="20"/>
                <w:color w:val="auto"/>
              </w:rPr>
            </w:pPr>
            <w:r>
              <w:rPr>
                <w:rFonts w:ascii="Arial" w:cs="Arial" w:eastAsia="Arial" w:hAnsi="Arial"/>
                <w:sz w:val="16"/>
                <w:szCs w:val="16"/>
                <w:color w:val="auto"/>
              </w:rPr>
              <w:t>term value creation and align with shareholder returns</w:t>
            </w:r>
          </w:p>
        </w:tc>
        <w:tc>
          <w:tcPr>
            <w:tcW w:w="0" w:type="dxa"/>
            <w:vAlign w:val="bottom"/>
          </w:tcPr>
          <w:p>
            <w:pPr>
              <w:spacing w:after="0"/>
              <w:rPr>
                <w:sz w:val="1"/>
                <w:szCs w:val="1"/>
                <w:color w:val="auto"/>
              </w:rPr>
            </w:pPr>
          </w:p>
        </w:tc>
      </w:tr>
    </w:tbl>
    <w:p>
      <w:pPr>
        <w:ind w:left="2080"/>
        <w:spacing w:after="0" w:line="206" w:lineRule="auto"/>
        <w:rPr>
          <w:sz w:val="20"/>
          <w:szCs w:val="20"/>
          <w:color w:val="auto"/>
        </w:rPr>
      </w:pPr>
      <w:r>
        <w:rPr>
          <w:rFonts w:ascii="Arial" w:cs="Arial" w:eastAsia="Arial" w:hAnsi="Arial"/>
          <w:sz w:val="16"/>
          <w:szCs w:val="16"/>
          <w:color w:val="auto"/>
        </w:rPr>
        <w:t>cliff vesting based on 40% adjusted EBITDA, 40% ROIC</w:t>
      </w:r>
    </w:p>
    <w:p>
      <w:pPr>
        <w:ind w:left="2080"/>
        <w:spacing w:after="0"/>
        <w:rPr>
          <w:sz w:val="20"/>
          <w:szCs w:val="20"/>
          <w:color w:val="auto"/>
        </w:rPr>
      </w:pPr>
      <w:r>
        <w:rPr>
          <w:rFonts w:ascii="Arial" w:cs="Arial" w:eastAsia="Arial" w:hAnsi="Arial"/>
          <w:sz w:val="16"/>
          <w:szCs w:val="16"/>
          <w:color w:val="auto"/>
        </w:rPr>
        <w:t>and 20% relative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145655"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8300"/>
        <w:spacing w:after="0"/>
        <w:rPr>
          <w:sz w:val="20"/>
          <w:szCs w:val="20"/>
          <w:color w:val="auto"/>
        </w:rPr>
      </w:pPr>
      <w:r>
        <w:rPr>
          <w:sz w:val="1"/>
          <w:szCs w:val="1"/>
          <w:color w:val="auto"/>
        </w:rPr>
        <w:drawing>
          <wp:inline distT="0" distB="0" distL="0" distR="0">
            <wp:extent cx="440690" cy="185420"/>
            <wp:effectExtent l="0" t="0" r="0" b="0"/>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5"/>
          <w:szCs w:val="15"/>
          <w:color w:val="auto"/>
        </w:rPr>
        <w:t xml:space="preserve"> 2023 PROXY STATEMENT </w:t>
      </w:r>
      <w:r>
        <w:rPr>
          <w:rFonts w:ascii="Arial" w:cs="Arial" w:eastAsia="Arial" w:hAnsi="Arial"/>
          <w:sz w:val="15"/>
          <w:szCs w:val="15"/>
          <w:b w:val="1"/>
          <w:bCs w:val="1"/>
          <w:color w:val="2C2C2C"/>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90805</wp:posOffset>
            </wp:positionV>
            <wp:extent cx="7171055" cy="406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7" w:name="page38"/>
    <w:bookmarkEnd w:id="3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TOTAL DIRECT COMPENSATION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926465</wp:posOffset>
            </wp:positionH>
            <wp:positionV relativeFrom="paragraph">
              <wp:posOffset>17780</wp:posOffset>
            </wp:positionV>
            <wp:extent cx="5289550" cy="18326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89550" cy="1832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PROGRAM RISK MITIGATION</w:t>
      </w:r>
    </w:p>
    <w:p>
      <w:pPr>
        <w:spacing w:after="0" w:line="84"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We believe our compensation program is designed to retain and motivate our Named Executives at appropriate levels of business risk, which is generally mitigated through the following features of the compensation program.</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80" w:type="dxa"/>
            <w:vAlign w:val="bottom"/>
            <w:shd w:val="clear" w:color="auto" w:fill="000000"/>
          </w:tcPr>
          <w:p>
            <w:pPr>
              <w:ind w:left="20"/>
              <w:spacing w:after="0"/>
              <w:rPr>
                <w:sz w:val="20"/>
                <w:szCs w:val="20"/>
                <w:color w:val="auto"/>
              </w:rPr>
            </w:pPr>
            <w:r>
              <w:rPr>
                <w:rFonts w:ascii="Arial" w:cs="Arial" w:eastAsia="Arial" w:hAnsi="Arial"/>
                <w:sz w:val="16"/>
                <w:szCs w:val="16"/>
                <w:b w:val="1"/>
                <w:bCs w:val="1"/>
                <w:color w:val="FFFFFF"/>
              </w:rPr>
              <w:t>Program Elements Mitigating Risk</w:t>
            </w:r>
          </w:p>
        </w:tc>
        <w:tc>
          <w:tcPr>
            <w:tcW w:w="8480" w:type="dxa"/>
            <w:vAlign w:val="bottom"/>
            <w:shd w:val="clear" w:color="auto" w:fill="000000"/>
          </w:tcPr>
          <w:p>
            <w:pPr>
              <w:spacing w:after="0"/>
              <w:rPr>
                <w:sz w:val="18"/>
                <w:szCs w:val="18"/>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b w:val="1"/>
                <w:bCs w:val="1"/>
                <w:color w:val="auto"/>
              </w:rPr>
              <w:t>Reasonable and Balanced</w:t>
            </w:r>
          </w:p>
        </w:tc>
        <w:tc>
          <w:tcPr>
            <w:tcW w:w="8480" w:type="dxa"/>
            <w:vAlign w:val="bottom"/>
          </w:tcPr>
          <w:p>
            <w:pPr>
              <w:ind w:left="120"/>
              <w:spacing w:after="0" w:line="166" w:lineRule="exact"/>
              <w:rPr>
                <w:sz w:val="20"/>
                <w:szCs w:val="20"/>
                <w:color w:val="auto"/>
              </w:rPr>
            </w:pPr>
            <w:r>
              <w:rPr>
                <w:rFonts w:ascii="Arial" w:cs="Arial" w:eastAsia="Arial" w:hAnsi="Arial"/>
                <w:sz w:val="16"/>
                <w:szCs w:val="16"/>
                <w:color w:val="auto"/>
              </w:rPr>
              <w:t>Using the elements of total direct compensation, the Compensation Committee seeks to provide compensation</w:t>
            </w:r>
          </w:p>
        </w:tc>
      </w:tr>
      <w:tr>
        <w:trPr>
          <w:trHeight w:val="183"/>
        </w:trPr>
        <w:tc>
          <w:tcPr>
            <w:tcW w:w="27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Compensation Program</w:t>
            </w:r>
          </w:p>
        </w:tc>
        <w:tc>
          <w:tcPr>
            <w:tcW w:w="8480" w:type="dxa"/>
            <w:vAlign w:val="bottom"/>
          </w:tcPr>
          <w:p>
            <w:pPr>
              <w:ind w:left="120"/>
              <w:spacing w:after="0" w:line="183" w:lineRule="exact"/>
              <w:rPr>
                <w:sz w:val="20"/>
                <w:szCs w:val="20"/>
                <w:color w:val="auto"/>
              </w:rPr>
            </w:pPr>
            <w:r>
              <w:rPr>
                <w:rFonts w:ascii="Arial" w:cs="Arial" w:eastAsia="Arial" w:hAnsi="Arial"/>
                <w:sz w:val="16"/>
                <w:szCs w:val="16"/>
                <w:color w:val="auto"/>
              </w:rPr>
              <w:t>opportunities for Named Executives targeted at or near the median compensation through benchmarking. As a</w:t>
            </w:r>
          </w:p>
        </w:tc>
      </w:tr>
      <w:tr>
        <w:trPr>
          <w:trHeight w:val="171"/>
        </w:trPr>
        <w:tc>
          <w:tcPr>
            <w:tcW w:w="2780" w:type="dxa"/>
            <w:vAlign w:val="bottom"/>
          </w:tcPr>
          <w:p>
            <w:pPr>
              <w:spacing w:after="0"/>
              <w:rPr>
                <w:sz w:val="14"/>
                <w:szCs w:val="14"/>
                <w:color w:val="auto"/>
              </w:rPr>
            </w:pPr>
          </w:p>
        </w:tc>
        <w:tc>
          <w:tcPr>
            <w:tcW w:w="8480" w:type="dxa"/>
            <w:vAlign w:val="bottom"/>
          </w:tcPr>
          <w:p>
            <w:pPr>
              <w:ind w:left="120"/>
              <w:spacing w:after="0" w:line="171" w:lineRule="exact"/>
              <w:rPr>
                <w:sz w:val="20"/>
                <w:szCs w:val="20"/>
                <w:color w:val="auto"/>
              </w:rPr>
            </w:pPr>
            <w:r>
              <w:rPr>
                <w:rFonts w:ascii="Arial" w:cs="Arial" w:eastAsia="Arial" w:hAnsi="Arial"/>
                <w:sz w:val="16"/>
                <w:szCs w:val="16"/>
                <w:color w:val="auto"/>
              </w:rPr>
              <w:t>result, we believe the total direct compensation of Named Executives provides reasonable compensation</w:t>
            </w:r>
          </w:p>
        </w:tc>
      </w:tr>
      <w:tr>
        <w:trPr>
          <w:trHeight w:val="219"/>
        </w:trPr>
        <w:tc>
          <w:tcPr>
            <w:tcW w:w="2780" w:type="dxa"/>
            <w:vAlign w:val="bottom"/>
            <w:tcBorders>
              <w:bottom w:val="single" w:sz="8" w:color="auto"/>
            </w:tcBorders>
          </w:tcPr>
          <w:p>
            <w:pPr>
              <w:spacing w:after="0"/>
              <w:rPr>
                <w:sz w:val="19"/>
                <w:szCs w:val="19"/>
                <w:color w:val="auto"/>
              </w:rPr>
            </w:pPr>
          </w:p>
        </w:tc>
        <w:tc>
          <w:tcPr>
            <w:tcW w:w="84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opportunities with an appropriate mix of cash and equity, annual and long-term incentives and performance metrics.</w:t>
            </w:r>
          </w:p>
        </w:tc>
      </w:tr>
      <w:tr>
        <w:trPr>
          <w:trHeight w:val="163"/>
        </w:trPr>
        <w:tc>
          <w:tcPr>
            <w:tcW w:w="278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Emphasis on Long-Term Incentive</w:t>
            </w:r>
          </w:p>
        </w:tc>
        <w:tc>
          <w:tcPr>
            <w:tcW w:w="8480" w:type="dxa"/>
            <w:vAlign w:val="bottom"/>
          </w:tcPr>
          <w:p>
            <w:pPr>
              <w:ind w:left="120"/>
              <w:spacing w:after="0" w:line="163" w:lineRule="exact"/>
              <w:rPr>
                <w:sz w:val="20"/>
                <w:szCs w:val="20"/>
                <w:color w:val="auto"/>
              </w:rPr>
            </w:pPr>
            <w:r>
              <w:rPr>
                <w:rFonts w:ascii="Arial" w:cs="Arial" w:eastAsia="Arial" w:hAnsi="Arial"/>
                <w:sz w:val="16"/>
                <w:szCs w:val="16"/>
                <w:color w:val="auto"/>
              </w:rPr>
              <w:t>Long-term incentive compensation typically makes up a larger percentage of a Named Executive’s target total direct</w:t>
            </w:r>
          </w:p>
        </w:tc>
      </w:tr>
      <w:tr>
        <w:trPr>
          <w:trHeight w:val="183"/>
        </w:trPr>
        <w:tc>
          <w:tcPr>
            <w:tcW w:w="27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over Annual Incentive</w:t>
            </w:r>
          </w:p>
        </w:tc>
        <w:tc>
          <w:tcPr>
            <w:tcW w:w="8480" w:type="dxa"/>
            <w:vAlign w:val="bottom"/>
          </w:tcPr>
          <w:p>
            <w:pPr>
              <w:ind w:left="120"/>
              <w:spacing w:after="0" w:line="183" w:lineRule="exact"/>
              <w:rPr>
                <w:sz w:val="20"/>
                <w:szCs w:val="20"/>
                <w:color w:val="auto"/>
              </w:rPr>
            </w:pPr>
            <w:r>
              <w:rPr>
                <w:rFonts w:ascii="Arial" w:cs="Arial" w:eastAsia="Arial" w:hAnsi="Arial"/>
                <w:sz w:val="16"/>
                <w:szCs w:val="16"/>
                <w:color w:val="auto"/>
              </w:rPr>
              <w:t>compensation than annual incentive compensation. Incentive compensation helps drive performance and align the</w:t>
            </w:r>
          </w:p>
        </w:tc>
      </w:tr>
      <w:tr>
        <w:trPr>
          <w:trHeight w:val="171"/>
        </w:trPr>
        <w:tc>
          <w:tcPr>
            <w:tcW w:w="2780" w:type="dxa"/>
            <w:vAlign w:val="bottom"/>
          </w:tcPr>
          <w:p>
            <w:pPr>
              <w:ind w:left="20"/>
              <w:spacing w:after="0" w:line="171" w:lineRule="exact"/>
              <w:rPr>
                <w:sz w:val="20"/>
                <w:szCs w:val="20"/>
                <w:color w:val="auto"/>
              </w:rPr>
            </w:pPr>
            <w:r>
              <w:rPr>
                <w:rFonts w:ascii="Arial" w:cs="Arial" w:eastAsia="Arial" w:hAnsi="Arial"/>
                <w:sz w:val="16"/>
                <w:szCs w:val="16"/>
                <w:b w:val="1"/>
                <w:bCs w:val="1"/>
                <w:color w:val="auto"/>
              </w:rPr>
              <w:t>Compensation</w:t>
            </w:r>
          </w:p>
        </w:tc>
        <w:tc>
          <w:tcPr>
            <w:tcW w:w="8480" w:type="dxa"/>
            <w:vAlign w:val="bottom"/>
          </w:tcPr>
          <w:p>
            <w:pPr>
              <w:ind w:left="120"/>
              <w:spacing w:after="0" w:line="171" w:lineRule="exact"/>
              <w:rPr>
                <w:sz w:val="20"/>
                <w:szCs w:val="20"/>
                <w:color w:val="auto"/>
              </w:rPr>
            </w:pPr>
            <w:r>
              <w:rPr>
                <w:rFonts w:ascii="Arial" w:cs="Arial" w:eastAsia="Arial" w:hAnsi="Arial"/>
                <w:sz w:val="16"/>
                <w:szCs w:val="16"/>
                <w:color w:val="auto"/>
              </w:rPr>
              <w:t>interests with those of stockholders. By tying a significant portion of total direct compensation to long-term</w:t>
            </w:r>
          </w:p>
        </w:tc>
      </w:tr>
      <w:tr>
        <w:trPr>
          <w:trHeight w:val="171"/>
        </w:trPr>
        <w:tc>
          <w:tcPr>
            <w:tcW w:w="2780" w:type="dxa"/>
            <w:vAlign w:val="bottom"/>
          </w:tcPr>
          <w:p>
            <w:pPr>
              <w:spacing w:after="0"/>
              <w:rPr>
                <w:sz w:val="14"/>
                <w:szCs w:val="14"/>
                <w:color w:val="auto"/>
              </w:rPr>
            </w:pPr>
          </w:p>
        </w:tc>
        <w:tc>
          <w:tcPr>
            <w:tcW w:w="8480" w:type="dxa"/>
            <w:vAlign w:val="bottom"/>
          </w:tcPr>
          <w:p>
            <w:pPr>
              <w:ind w:left="120"/>
              <w:spacing w:after="0" w:line="171" w:lineRule="exact"/>
              <w:rPr>
                <w:sz w:val="20"/>
                <w:szCs w:val="20"/>
                <w:color w:val="auto"/>
              </w:rPr>
            </w:pPr>
            <w:r>
              <w:rPr>
                <w:rFonts w:ascii="Arial" w:cs="Arial" w:eastAsia="Arial" w:hAnsi="Arial"/>
                <w:sz w:val="16"/>
                <w:szCs w:val="16"/>
                <w:color w:val="auto"/>
              </w:rPr>
              <w:t>incentives, typically over a three-year period, we promote longer-term perspectives regarding Company</w:t>
            </w:r>
          </w:p>
        </w:tc>
      </w:tr>
      <w:tr>
        <w:trPr>
          <w:trHeight w:val="215"/>
        </w:trPr>
        <w:tc>
          <w:tcPr>
            <w:tcW w:w="278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6"/>
                <w:szCs w:val="16"/>
                <w:color w:val="auto"/>
              </w:rPr>
              <w:t>performance.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145655"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ind w:left="20" w:right="340"/>
        <w:spacing w:after="0"/>
        <w:rPr>
          <w:sz w:val="20"/>
          <w:szCs w:val="20"/>
          <w:color w:val="auto"/>
        </w:rPr>
      </w:pPr>
      <w:r>
        <w:rPr>
          <w:rFonts w:ascii="Arial" w:cs="Arial" w:eastAsia="Arial" w:hAnsi="Arial"/>
          <w:sz w:val="16"/>
          <w:szCs w:val="16"/>
          <w:b w:val="1"/>
          <w:bCs w:val="1"/>
          <w:color w:val="auto"/>
        </w:rPr>
        <w:t xml:space="preserve">Long-Term Incentive Compensation </w:t>
      </w:r>
      <w:r>
        <w:rPr>
          <w:rFonts w:ascii="Arial" w:cs="Arial" w:eastAsia="Arial" w:hAnsi="Arial"/>
          <w:sz w:val="16"/>
          <w:szCs w:val="16"/>
          <w:color w:val="auto"/>
        </w:rPr>
        <w:t>The Compensation Committee may terminate any outstanding stock award if the recipient (i) is convicted of a</w:t>
      </w:r>
      <w:r>
        <w:rPr>
          <w:rFonts w:ascii="Arial" w:cs="Arial" w:eastAsia="Arial" w:hAnsi="Arial"/>
          <w:sz w:val="16"/>
          <w:szCs w:val="16"/>
          <w:b w:val="1"/>
          <w:bCs w:val="1"/>
          <w:color w:val="auto"/>
        </w:rPr>
        <w:t xml:space="preserve"> subject to Forfeiture for Bad Acts </w:t>
      </w:r>
      <w:r>
        <w:rPr>
          <w:rFonts w:ascii="Arial" w:cs="Arial" w:eastAsia="Arial" w:hAnsi="Arial"/>
          <w:sz w:val="16"/>
          <w:szCs w:val="16"/>
          <w:color w:val="auto"/>
        </w:rPr>
        <w:t>misdemeanor involving fraud, dishonesty or moral turpitude or a felony, or (ii) engages in conduct that adversely</w:t>
      </w:r>
    </w:p>
    <w:p>
      <w:pPr>
        <w:spacing w:after="0" w:line="1" w:lineRule="exact"/>
        <w:rPr>
          <w:sz w:val="20"/>
          <w:szCs w:val="20"/>
          <w:color w:val="auto"/>
        </w:rPr>
      </w:pPr>
    </w:p>
    <w:p>
      <w:pPr>
        <w:ind w:left="2900" w:right="460"/>
        <w:spacing w:after="0" w:line="241" w:lineRule="auto"/>
        <w:rPr>
          <w:sz w:val="20"/>
          <w:szCs w:val="20"/>
          <w:color w:val="auto"/>
        </w:rPr>
      </w:pPr>
      <w:r>
        <w:rPr>
          <w:rFonts w:ascii="Arial" w:cs="Arial" w:eastAsia="Arial" w:hAnsi="Arial"/>
          <w:sz w:val="16"/>
          <w:szCs w:val="16"/>
          <w:color w:val="auto"/>
        </w:rPr>
        <w:t>affects or may reasonably be expected to adversely affect the business reputation or economic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145655"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ind w:left="20" w:right="240"/>
        <w:spacing w:after="0" w:line="269" w:lineRule="auto"/>
        <w:rPr>
          <w:sz w:val="20"/>
          <w:szCs w:val="20"/>
          <w:color w:val="auto"/>
        </w:rPr>
      </w:pPr>
      <w:r>
        <w:rPr>
          <w:rFonts w:ascii="Arial" w:cs="Arial" w:eastAsia="Arial" w:hAnsi="Arial"/>
          <w:sz w:val="16"/>
          <w:szCs w:val="16"/>
          <w:b w:val="1"/>
          <w:bCs w:val="1"/>
          <w:color w:val="auto"/>
        </w:rPr>
        <w:t xml:space="preserve">Annual and Long-Term Incentive </w:t>
      </w:r>
      <w:r>
        <w:rPr>
          <w:rFonts w:ascii="Arial" w:cs="Arial" w:eastAsia="Arial" w:hAnsi="Arial"/>
          <w:sz w:val="16"/>
          <w:szCs w:val="16"/>
          <w:color w:val="auto"/>
        </w:rPr>
        <w:t>Incentive compensation awards include provisions allowing us to recover excess amounts paid to individuals who</w:t>
      </w:r>
      <w:r>
        <w:rPr>
          <w:rFonts w:ascii="Arial" w:cs="Arial" w:eastAsia="Arial" w:hAnsi="Arial"/>
          <w:sz w:val="16"/>
          <w:szCs w:val="16"/>
          <w:b w:val="1"/>
          <w:bCs w:val="1"/>
          <w:color w:val="auto"/>
        </w:rPr>
        <w:t xml:space="preserve"> Compensation subject to Clawback </w:t>
      </w:r>
      <w:r>
        <w:rPr>
          <w:rFonts w:ascii="Arial" w:cs="Arial" w:eastAsia="Arial" w:hAnsi="Arial"/>
          <w:sz w:val="16"/>
          <w:szCs w:val="16"/>
          <w:color w:val="auto"/>
        </w:rPr>
        <w:t>knowingly engaged in a fraud resulting in a restatement.</w:t>
      </w:r>
    </w:p>
    <w:tbl>
      <w:tblPr>
        <w:tblLayout w:type="fixed"/>
        <w:tblInd w:w="0" w:type="dxa"/>
        <w:tblCellMar>
          <w:top w:w="0" w:type="dxa"/>
          <w:left w:w="0" w:type="dxa"/>
          <w:bottom w:w="0" w:type="dxa"/>
          <w:right w:w="0" w:type="dxa"/>
        </w:tblCellMar>
      </w:tblPr>
      <w:tr>
        <w:trPr>
          <w:trHeight w:val="152"/>
        </w:trPr>
        <w:tc>
          <w:tcPr>
            <w:tcW w:w="2680" w:type="dxa"/>
            <w:vAlign w:val="bottom"/>
            <w:tcBorders>
              <w:top w:val="single" w:sz="8" w:color="auto"/>
            </w:tcBorders>
          </w:tcPr>
          <w:p>
            <w:pPr>
              <w:ind w:left="20"/>
              <w:spacing w:after="0" w:line="152" w:lineRule="exact"/>
              <w:rPr>
                <w:sz w:val="20"/>
                <w:szCs w:val="20"/>
                <w:color w:val="auto"/>
              </w:rPr>
            </w:pPr>
            <w:r>
              <w:rPr>
                <w:rFonts w:ascii="Arial" w:cs="Arial" w:eastAsia="Arial" w:hAnsi="Arial"/>
                <w:sz w:val="16"/>
                <w:szCs w:val="16"/>
                <w:b w:val="1"/>
                <w:bCs w:val="1"/>
                <w:color w:val="auto"/>
              </w:rPr>
              <w:t>Linear and Capped Incentive</w:t>
            </w:r>
          </w:p>
        </w:tc>
        <w:tc>
          <w:tcPr>
            <w:tcW w:w="8580" w:type="dxa"/>
            <w:vAlign w:val="bottom"/>
            <w:tcBorders>
              <w:top w:val="single" w:sz="8" w:color="auto"/>
            </w:tcBorders>
          </w:tcPr>
          <w:p>
            <w:pPr>
              <w:ind w:left="220"/>
              <w:spacing w:after="0" w:line="152" w:lineRule="exact"/>
              <w:rPr>
                <w:sz w:val="20"/>
                <w:szCs w:val="20"/>
                <w:color w:val="auto"/>
              </w:rPr>
            </w:pPr>
            <w:r>
              <w:rPr>
                <w:rFonts w:ascii="Arial" w:cs="Arial" w:eastAsia="Arial" w:hAnsi="Arial"/>
                <w:sz w:val="16"/>
                <w:szCs w:val="16"/>
                <w:color w:val="auto"/>
              </w:rPr>
              <w:t>The Compensation Committee establishes financial performance goals that are used to plot a linear payout formula</w:t>
            </w: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Compensation Payouts</w:t>
            </w:r>
          </w:p>
        </w:tc>
        <w:tc>
          <w:tcPr>
            <w:tcW w:w="8580" w:type="dxa"/>
            <w:vAlign w:val="bottom"/>
          </w:tcPr>
          <w:p>
            <w:pPr>
              <w:ind w:left="220"/>
              <w:spacing w:after="0" w:line="183" w:lineRule="exact"/>
              <w:rPr>
                <w:sz w:val="20"/>
                <w:szCs w:val="20"/>
                <w:color w:val="auto"/>
              </w:rPr>
            </w:pPr>
            <w:r>
              <w:rPr>
                <w:rFonts w:ascii="Arial" w:cs="Arial" w:eastAsia="Arial" w:hAnsi="Arial"/>
                <w:sz w:val="16"/>
                <w:szCs w:val="16"/>
                <w:color w:val="auto"/>
              </w:rPr>
              <w:t>for annual and long-term incentive compensation to avoid an over-emphasis on short-term decision making. The</w:t>
            </w:r>
          </w:p>
        </w:tc>
      </w:tr>
      <w:tr>
        <w:trPr>
          <w:trHeight w:val="219"/>
        </w:trPr>
        <w:tc>
          <w:tcPr>
            <w:tcW w:w="268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maximum payout for both the annual and long-term incentive compensation is capped at 200% percent of target.</w:t>
            </w:r>
          </w:p>
        </w:tc>
      </w:tr>
      <w:tr>
        <w:trPr>
          <w:trHeight w:val="163"/>
        </w:trPr>
        <w:tc>
          <w:tcPr>
            <w:tcW w:w="2680" w:type="dxa"/>
            <w:vAlign w:val="bottom"/>
          </w:tcPr>
          <w:p>
            <w:pPr>
              <w:ind w:left="20"/>
              <w:spacing w:after="0" w:line="163" w:lineRule="exact"/>
              <w:rPr>
                <w:sz w:val="20"/>
                <w:szCs w:val="20"/>
                <w:color w:val="auto"/>
              </w:rPr>
            </w:pPr>
            <w:r>
              <w:rPr>
                <w:rFonts w:ascii="Arial" w:cs="Arial" w:eastAsia="Arial" w:hAnsi="Arial"/>
                <w:sz w:val="16"/>
                <w:szCs w:val="16"/>
                <w:b w:val="1"/>
                <w:bCs w:val="1"/>
                <w:color w:val="auto"/>
              </w:rPr>
              <w:t>Use of Multiple and Appropriate</w:t>
            </w:r>
          </w:p>
        </w:tc>
        <w:tc>
          <w:tcPr>
            <w:tcW w:w="8580" w:type="dxa"/>
            <w:vAlign w:val="bottom"/>
          </w:tcPr>
          <w:p>
            <w:pPr>
              <w:ind w:left="220"/>
              <w:spacing w:after="0" w:line="163" w:lineRule="exact"/>
              <w:rPr>
                <w:sz w:val="20"/>
                <w:szCs w:val="20"/>
                <w:color w:val="auto"/>
              </w:rPr>
            </w:pPr>
            <w:r>
              <w:rPr>
                <w:rFonts w:ascii="Arial" w:cs="Arial" w:eastAsia="Arial" w:hAnsi="Arial"/>
                <w:sz w:val="16"/>
                <w:szCs w:val="16"/>
                <w:color w:val="auto"/>
              </w:rPr>
              <w:t>We use multiple performance metrics to avoid having compensation opportunities overly weighted toward the</w:t>
            </w:r>
          </w:p>
        </w:tc>
      </w:tr>
      <w:tr>
        <w:trPr>
          <w:trHeight w:val="183"/>
        </w:trPr>
        <w:tc>
          <w:tcPr>
            <w:tcW w:w="268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Performance Metrics</w:t>
            </w:r>
          </w:p>
        </w:tc>
        <w:tc>
          <w:tcPr>
            <w:tcW w:w="8580" w:type="dxa"/>
            <w:vAlign w:val="bottom"/>
          </w:tcPr>
          <w:p>
            <w:pPr>
              <w:ind w:left="220"/>
              <w:spacing w:after="0" w:line="183" w:lineRule="exact"/>
              <w:rPr>
                <w:sz w:val="20"/>
                <w:szCs w:val="20"/>
                <w:color w:val="auto"/>
              </w:rPr>
            </w:pPr>
            <w:r>
              <w:rPr>
                <w:rFonts w:ascii="Arial" w:cs="Arial" w:eastAsia="Arial" w:hAnsi="Arial"/>
                <w:sz w:val="16"/>
                <w:szCs w:val="16"/>
                <w:color w:val="auto"/>
              </w:rPr>
              <w:t>performance result of a single measure. In general, our incentive programs are based on a mix of financial, safety</w:t>
            </w:r>
          </w:p>
        </w:tc>
      </w:tr>
      <w:tr>
        <w:trPr>
          <w:trHeight w:val="219"/>
        </w:trPr>
        <w:tc>
          <w:tcPr>
            <w:tcW w:w="2680" w:type="dxa"/>
            <w:vAlign w:val="bottom"/>
            <w:tcBorders>
              <w:bottom w:val="single" w:sz="8" w:color="auto"/>
            </w:tcBorders>
          </w:tcPr>
          <w:p>
            <w:pPr>
              <w:spacing w:after="0"/>
              <w:rPr>
                <w:sz w:val="19"/>
                <w:szCs w:val="19"/>
                <w:color w:val="auto"/>
              </w:rPr>
            </w:pPr>
          </w:p>
        </w:tc>
        <w:tc>
          <w:tcPr>
            <w:tcW w:w="8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and individual performance.</w:t>
            </w:r>
          </w:p>
        </w:tc>
      </w:tr>
      <w:tr>
        <w:trPr>
          <w:trHeight w:val="155"/>
        </w:trPr>
        <w:tc>
          <w:tcPr>
            <w:tcW w:w="2680" w:type="dxa"/>
            <w:vAlign w:val="bottom"/>
          </w:tcPr>
          <w:p>
            <w:pPr>
              <w:ind w:left="20"/>
              <w:spacing w:after="0" w:line="155" w:lineRule="exact"/>
              <w:rPr>
                <w:sz w:val="20"/>
                <w:szCs w:val="20"/>
                <w:color w:val="auto"/>
              </w:rPr>
            </w:pPr>
            <w:r>
              <w:rPr>
                <w:rFonts w:ascii="Arial" w:cs="Arial" w:eastAsia="Arial" w:hAnsi="Arial"/>
                <w:sz w:val="16"/>
                <w:szCs w:val="16"/>
                <w:b w:val="1"/>
                <w:bCs w:val="1"/>
                <w:color w:val="auto"/>
              </w:rPr>
              <w:t>Stock Ownership Guidelines</w:t>
            </w:r>
          </w:p>
        </w:tc>
        <w:tc>
          <w:tcPr>
            <w:tcW w:w="8580" w:type="dxa"/>
            <w:vAlign w:val="bottom"/>
          </w:tcPr>
          <w:p>
            <w:pPr>
              <w:ind w:left="220"/>
              <w:spacing w:after="0" w:line="155" w:lineRule="exact"/>
              <w:rPr>
                <w:sz w:val="20"/>
                <w:szCs w:val="20"/>
                <w:color w:val="auto"/>
              </w:rPr>
            </w:pPr>
            <w:r>
              <w:rPr>
                <w:rFonts w:ascii="Arial" w:cs="Arial" w:eastAsia="Arial" w:hAnsi="Arial"/>
                <w:sz w:val="16"/>
                <w:szCs w:val="16"/>
                <w:color w:val="auto"/>
              </w:rPr>
              <w:t>Our executive officers, including Named Executives, and directors are subject to stock ownership guidelines that</w:t>
            </w:r>
          </w:p>
        </w:tc>
      </w:tr>
      <w:tr>
        <w:trPr>
          <w:trHeight w:val="217"/>
        </w:trPr>
        <w:tc>
          <w:tcPr>
            <w:tcW w:w="2680" w:type="dxa"/>
            <w:vAlign w:val="bottom"/>
            <w:tcBorders>
              <w:bottom w:val="single" w:sz="8" w:color="auto"/>
            </w:tcBorders>
          </w:tcPr>
          <w:p>
            <w:pPr>
              <w:spacing w:after="0"/>
              <w:rPr>
                <w:sz w:val="18"/>
                <w:szCs w:val="18"/>
                <w:color w:val="auto"/>
              </w:rPr>
            </w:pPr>
          </w:p>
        </w:tc>
        <w:tc>
          <w:tcPr>
            <w:tcW w:w="85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help to promote longer-term perspectives and align the interests with those of our stockholders.</w:t>
            </w:r>
          </w:p>
        </w:tc>
      </w:tr>
    </w:tbl>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DETERMINING NAMED EXECUTIVE COMPENSATION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summary of responsibilities and data sources used by our Compensation Committee to determine our executive compensation program.</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26 </w:t>
      </w:r>
      <w:r>
        <w:rPr>
          <w:sz w:val="1"/>
          <w:szCs w:val="1"/>
          <w:color w:val="auto"/>
        </w:rPr>
        <w:drawing>
          <wp:inline distT="0" distB="0" distL="0" distR="0">
            <wp:extent cx="401955" cy="162560"/>
            <wp:effectExtent l="0" t="0" r="0" b="0"/>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38" w:name="page39"/>
    <w:bookmarkEnd w:id="38"/>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296545</wp:posOffset>
            </wp:positionV>
            <wp:extent cx="7099300" cy="1466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099300" cy="14668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How Compensation Decisions Are Made</w:t>
      </w:r>
    </w:p>
    <w:p>
      <w:pPr>
        <w:sectPr>
          <w:pgSz w:w="11900" w:h="16838" w:orient="portrait"/>
          <w:cols w:equalWidth="0" w:num="1">
            <w:col w:w="11260"/>
          </w:cols>
          <w:pgMar w:left="320" w:top="123" w:right="319" w:bottom="1440" w:gutter="0" w:footer="0" w:header="0"/>
        </w:sectPr>
      </w:pPr>
    </w:p>
    <w:p>
      <w:pPr>
        <w:spacing w:after="0" w:line="39" w:lineRule="exact"/>
        <w:rPr>
          <w:sz w:val="20"/>
          <w:szCs w:val="20"/>
          <w:color w:val="auto"/>
        </w:rPr>
      </w:pPr>
    </w:p>
    <w:p>
      <w:pPr>
        <w:ind w:left="20"/>
        <w:spacing w:after="0" w:line="252" w:lineRule="auto"/>
        <w:rPr>
          <w:sz w:val="20"/>
          <w:szCs w:val="20"/>
          <w:color w:val="auto"/>
        </w:rPr>
      </w:pPr>
      <w:r>
        <w:rPr>
          <w:rFonts w:ascii="Arial" w:cs="Arial" w:eastAsia="Arial" w:hAnsi="Arial"/>
          <w:sz w:val="16"/>
          <w:szCs w:val="16"/>
          <w:b w:val="1"/>
          <w:bCs w:val="1"/>
          <w:color w:val="auto"/>
        </w:rPr>
        <w:t>Compensation Committee's Role</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49" w:right="440" w:hanging="149"/>
        <w:spacing w:after="0" w:line="243" w:lineRule="auto"/>
        <w:tabs>
          <w:tab w:leader="none" w:pos="1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Compensation Committee establishes the target total direct compensation of our executives and administers other benefit programs.</w:t>
      </w:r>
    </w:p>
    <w:p>
      <w:pPr>
        <w:ind w:left="149" w:right="140" w:hanging="149"/>
        <w:spacing w:after="0" w:line="246" w:lineRule="auto"/>
        <w:tabs>
          <w:tab w:leader="none" w:pos="145"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Compensation Committee reviews the design of the program and establishes the performance metrics and goals under the incentive programs.</w:t>
      </w:r>
    </w:p>
    <w:p>
      <w:pPr>
        <w:spacing w:after="0" w:line="1" w:lineRule="exact"/>
        <w:rPr>
          <w:sz w:val="20"/>
          <w:szCs w:val="20"/>
          <w:color w:val="auto"/>
        </w:rPr>
      </w:pPr>
    </w:p>
    <w:p>
      <w:pPr>
        <w:sectPr>
          <w:pgSz w:w="11900" w:h="16838" w:orient="portrait"/>
          <w:cols w:equalWidth="0" w:num="2">
            <w:col w:w="2160" w:space="411"/>
            <w:col w:w="8689"/>
          </w:cols>
          <w:pgMar w:left="320" w:top="123" w:right="319" w:bottom="1440" w:gutter="0" w:footer="0" w:header="0"/>
          <w:type w:val="continuous"/>
        </w:sectPr>
      </w:pPr>
    </w:p>
    <w:p>
      <w:pPr>
        <w:ind w:left="2720" w:right="760" w:hanging="149"/>
        <w:spacing w:after="0" w:line="238" w:lineRule="auto"/>
        <w:tabs>
          <w:tab w:leader="none" w:pos="2716"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Compensation Committee evaluates incentive compensation payouts to ensure they are reflective of the Company and individual performance target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5715</wp:posOffset>
            </wp:positionV>
            <wp:extent cx="709930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099300"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p>
      <w:pPr>
        <w:spacing w:after="0" w:line="17" w:lineRule="exact"/>
        <w:rPr>
          <w:sz w:val="20"/>
          <w:szCs w:val="20"/>
          <w:color w:val="auto"/>
        </w:rPr>
      </w:pPr>
    </w:p>
    <w:p>
      <w:pPr>
        <w:ind w:left="20" w:right="471"/>
        <w:spacing w:after="0" w:line="257" w:lineRule="auto"/>
        <w:rPr>
          <w:sz w:val="20"/>
          <w:szCs w:val="20"/>
          <w:color w:val="auto"/>
        </w:rPr>
      </w:pPr>
      <w:r>
        <w:rPr>
          <w:rFonts w:ascii="Arial" w:cs="Arial" w:eastAsia="Arial" w:hAnsi="Arial"/>
          <w:sz w:val="16"/>
          <w:szCs w:val="16"/>
          <w:b w:val="1"/>
          <w:bCs w:val="1"/>
          <w:color w:val="auto"/>
        </w:rPr>
        <w:t>Compensation Planning Process</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ind w:left="149" w:right="620" w:hanging="149"/>
        <w:spacing w:after="0" w:line="243" w:lineRule="auto"/>
        <w:tabs>
          <w:tab w:leader="none" w:pos="145"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color w:val="auto"/>
        </w:rPr>
        <w:t>Members of the Compensation Committee and our management team evaluate the advisory vote on executive compensation and stockholder feedback regarding our compensation programs and governance practices.</w:t>
      </w:r>
    </w:p>
    <w:p>
      <w:pPr>
        <w:ind w:left="149" w:right="260" w:hanging="149"/>
        <w:spacing w:after="0" w:line="246" w:lineRule="auto"/>
        <w:tabs>
          <w:tab w:leader="none" w:pos="145"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color w:val="auto"/>
        </w:rPr>
        <w:t>We engage with and solicit stockholder feedback regarding executive compensation, ESG and other matters, which are reported to the Board and Committees.</w:t>
      </w:r>
    </w:p>
    <w:p>
      <w:pPr>
        <w:ind w:left="149" w:right="1100" w:hanging="149"/>
        <w:spacing w:after="0" w:line="238" w:lineRule="auto"/>
        <w:tabs>
          <w:tab w:leader="none" w:pos="145"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color w:val="auto"/>
        </w:rPr>
        <w:t>The Compensation Committee discusses plan design alternatives and considerations with the executive compensation consultant.</w:t>
      </w:r>
    </w:p>
    <w:p>
      <w:pPr>
        <w:spacing w:after="0" w:line="4" w:lineRule="exact"/>
        <w:rPr>
          <w:rFonts w:ascii="Arial" w:cs="Arial" w:eastAsia="Arial" w:hAnsi="Arial"/>
          <w:sz w:val="16"/>
          <w:szCs w:val="16"/>
          <w:b w:val="1"/>
          <w:bCs w:val="1"/>
          <w:i w:val="1"/>
          <w:iCs w:val="1"/>
          <w:color w:val="auto"/>
        </w:rPr>
      </w:pPr>
    </w:p>
    <w:p>
      <w:pPr>
        <w:ind w:left="149" w:hanging="149"/>
        <w:spacing w:after="0"/>
        <w:tabs>
          <w:tab w:leader="none" w:pos="149"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color w:val="auto"/>
        </w:rPr>
        <w:t>The Compensation Committee reviews existing plan performance results to determine if changes are needed.</w:t>
      </w:r>
    </w:p>
    <w:p>
      <w:pPr>
        <w:spacing w:after="0" w:line="38" w:lineRule="exact"/>
        <w:rPr>
          <w:rFonts w:ascii="Arial" w:cs="Arial" w:eastAsia="Arial" w:hAnsi="Arial"/>
          <w:sz w:val="16"/>
          <w:szCs w:val="16"/>
          <w:b w:val="1"/>
          <w:bCs w:val="1"/>
          <w:i w:val="1"/>
          <w:iCs w:val="1"/>
          <w:color w:val="auto"/>
        </w:rPr>
      </w:pPr>
    </w:p>
    <w:p>
      <w:pPr>
        <w:ind w:left="149" w:hanging="149"/>
        <w:spacing w:after="0"/>
        <w:tabs>
          <w:tab w:leader="none" w:pos="149" w:val="left"/>
        </w:tabs>
        <w:numPr>
          <w:ilvl w:val="0"/>
          <w:numId w:val="59"/>
        </w:numPr>
        <w:rPr>
          <w:rFonts w:ascii="Arial" w:cs="Arial" w:eastAsia="Arial" w:hAnsi="Arial"/>
          <w:sz w:val="16"/>
          <w:szCs w:val="16"/>
          <w:b w:val="1"/>
          <w:bCs w:val="1"/>
          <w:i w:val="1"/>
          <w:iCs w:val="1"/>
          <w:color w:val="auto"/>
        </w:rPr>
      </w:pPr>
      <w:r>
        <w:rPr>
          <w:rFonts w:ascii="Arial" w:cs="Arial" w:eastAsia="Arial" w:hAnsi="Arial"/>
          <w:sz w:val="16"/>
          <w:szCs w:val="16"/>
          <w:color w:val="auto"/>
        </w:rPr>
        <w:t>Annual and long-term compensation plan design and performance metrics and targets are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15240</wp:posOffset>
            </wp:positionV>
            <wp:extent cx="7099300" cy="1466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099300" cy="146685"/>
                    </a:xfrm>
                    <a:prstGeom prst="rect">
                      <a:avLst/>
                    </a:prstGeom>
                    <a:noFill/>
                  </pic:spPr>
                </pic:pic>
              </a:graphicData>
            </a:graphic>
          </wp:anchor>
        </w:drawing>
      </w:r>
    </w:p>
    <w:p>
      <w:pPr>
        <w:spacing w:after="0" w:line="32" w:lineRule="exact"/>
        <w:rPr>
          <w:sz w:val="20"/>
          <w:szCs w:val="20"/>
          <w:color w:val="auto"/>
        </w:rPr>
      </w:pPr>
    </w:p>
    <w:p>
      <w:pPr>
        <w:sectPr>
          <w:pgSz w:w="11900" w:h="16838" w:orient="portrait"/>
          <w:cols w:equalWidth="0" w:num="2">
            <w:col w:w="1851" w:space="720"/>
            <w:col w:w="8689"/>
          </w:cols>
          <w:pgMar w:left="320" w:top="123"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How Our Compensation Committee Sets Annual and Long-Term Incentive Performance Goals</w:t>
      </w:r>
    </w:p>
    <w:p>
      <w:pPr>
        <w:sectPr>
          <w:pgSz w:w="11900" w:h="16838" w:orient="portrait"/>
          <w:cols w:equalWidth="0" w:num="1">
            <w:col w:w="11260"/>
          </w:cols>
          <w:pgMar w:left="320" w:top="123" w:right="319" w:bottom="1440" w:gutter="0" w:footer="0" w:header="0"/>
          <w:type w:val="continuous"/>
        </w:sectPr>
      </w:pPr>
    </w:p>
    <w:p>
      <w:pPr>
        <w:spacing w:after="0" w:line="2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Determining</w:t>
      </w:r>
    </w:p>
    <w:p>
      <w:pPr>
        <w:ind w:left="20"/>
        <w:spacing w:after="0"/>
        <w:rPr>
          <w:sz w:val="20"/>
          <w:szCs w:val="20"/>
          <w:color w:val="auto"/>
        </w:rPr>
      </w:pPr>
      <w:r>
        <w:rPr>
          <w:rFonts w:ascii="Arial" w:cs="Arial" w:eastAsia="Arial" w:hAnsi="Arial"/>
          <w:sz w:val="16"/>
          <w:szCs w:val="16"/>
          <w:b w:val="1"/>
          <w:bCs w:val="1"/>
          <w:color w:val="auto"/>
        </w:rPr>
        <w:t>Financial Goals</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49" w:right="440" w:hanging="149"/>
        <w:spacing w:after="0" w:line="231" w:lineRule="auto"/>
        <w:tabs>
          <w:tab w:leader="none" w:pos="145" w:val="left"/>
        </w:tabs>
        <w:numPr>
          <w:ilvl w:val="0"/>
          <w:numId w:val="60"/>
        </w:numPr>
        <w:rPr>
          <w:rFonts w:ascii="Arial" w:cs="Arial" w:eastAsia="Arial" w:hAnsi="Arial"/>
          <w:sz w:val="16"/>
          <w:szCs w:val="16"/>
          <w:color w:val="auto"/>
        </w:rPr>
      </w:pPr>
      <w:r>
        <w:rPr>
          <w:rFonts w:ascii="Arial" w:cs="Arial" w:eastAsia="Arial" w:hAnsi="Arial"/>
          <w:sz w:val="16"/>
          <w:szCs w:val="16"/>
          <w:color w:val="auto"/>
        </w:rPr>
        <w:t>Our Compensation Committee strives to set financial performance goals that are rigorous enough to motivate our executives and our businesses to achieve meaningful increases over prior year results, but within reasonably obtainable parameters to discourage pursuit of excessively risky business strategies.</w:t>
      </w:r>
    </w:p>
    <w:p>
      <w:pPr>
        <w:spacing w:after="0" w:line="4" w:lineRule="exact"/>
        <w:rPr>
          <w:rFonts w:ascii="Arial" w:cs="Arial" w:eastAsia="Arial" w:hAnsi="Arial"/>
          <w:sz w:val="16"/>
          <w:szCs w:val="16"/>
          <w:color w:val="auto"/>
        </w:rPr>
      </w:pPr>
    </w:p>
    <w:p>
      <w:pPr>
        <w:ind w:left="149" w:hanging="149"/>
        <w:spacing w:after="0"/>
        <w:tabs>
          <w:tab w:leader="none" w:pos="149" w:val="left"/>
        </w:tabs>
        <w:numPr>
          <w:ilvl w:val="0"/>
          <w:numId w:val="60"/>
        </w:numPr>
        <w:rPr>
          <w:rFonts w:ascii="Arial" w:cs="Arial" w:eastAsia="Arial" w:hAnsi="Arial"/>
          <w:sz w:val="16"/>
          <w:szCs w:val="16"/>
          <w:color w:val="auto"/>
        </w:rPr>
      </w:pPr>
      <w:r>
        <w:rPr>
          <w:rFonts w:ascii="Arial" w:cs="Arial" w:eastAsia="Arial" w:hAnsi="Arial"/>
          <w:sz w:val="16"/>
          <w:szCs w:val="16"/>
          <w:color w:val="auto"/>
        </w:rPr>
        <w:t>For our 2022 annual incentive plan, the committee set financial performance goals as follows:</w:t>
      </w:r>
    </w:p>
    <w:p>
      <w:pPr>
        <w:spacing w:after="0" w:line="30" w:lineRule="exact"/>
        <w:rPr>
          <w:rFonts w:ascii="Arial" w:cs="Arial" w:eastAsia="Arial" w:hAnsi="Arial"/>
          <w:sz w:val="16"/>
          <w:szCs w:val="16"/>
          <w:color w:val="auto"/>
        </w:rPr>
      </w:pPr>
    </w:p>
    <w:p>
      <w:pPr>
        <w:ind w:left="509" w:hanging="144"/>
        <w:spacing w:after="0"/>
        <w:tabs>
          <w:tab w:leader="none" w:pos="509"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Income (75%): </w:t>
      </w:r>
      <w:r>
        <w:rPr>
          <w:rFonts w:ascii="Arial" w:cs="Arial" w:eastAsia="Arial" w:hAnsi="Arial"/>
          <w:sz w:val="16"/>
          <w:szCs w:val="16"/>
          <w:color w:val="auto"/>
        </w:rPr>
        <w:t>The committee set the target goal based on the Company's 2022 forecast.</w:t>
      </w:r>
    </w:p>
    <w:p>
      <w:pPr>
        <w:spacing w:after="0" w:line="31" w:lineRule="exact"/>
        <w:rPr>
          <w:rFonts w:ascii="Arial" w:cs="Arial" w:eastAsia="Arial" w:hAnsi="Arial"/>
          <w:sz w:val="16"/>
          <w:szCs w:val="16"/>
          <w:color w:val="auto"/>
        </w:rPr>
      </w:pPr>
    </w:p>
    <w:p>
      <w:pPr>
        <w:ind w:left="509" w:right="220" w:hanging="144"/>
        <w:spacing w:after="0" w:line="241" w:lineRule="auto"/>
        <w:tabs>
          <w:tab w:leader="none" w:pos="505"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Cash Flow (15%): </w:t>
      </w:r>
      <w:r>
        <w:rPr>
          <w:rFonts w:ascii="Arial" w:cs="Arial" w:eastAsia="Arial" w:hAnsi="Arial"/>
          <w:sz w:val="16"/>
          <w:szCs w:val="16"/>
          <w:color w:val="auto"/>
        </w:rPr>
        <w:t>The committee set the target goal based on the Company's 2022 operating cash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flow forecast.</w:t>
      </w:r>
    </w:p>
    <w:p>
      <w:pPr>
        <w:ind w:left="149" w:hanging="149"/>
        <w:spacing w:after="0"/>
        <w:tabs>
          <w:tab w:leader="none" w:pos="149" w:val="left"/>
        </w:tabs>
        <w:numPr>
          <w:ilvl w:val="0"/>
          <w:numId w:val="60"/>
        </w:numPr>
        <w:rPr>
          <w:rFonts w:ascii="Arial" w:cs="Arial" w:eastAsia="Arial" w:hAnsi="Arial"/>
          <w:sz w:val="16"/>
          <w:szCs w:val="16"/>
          <w:b w:val="1"/>
          <w:bCs w:val="1"/>
          <w:i w:val="1"/>
          <w:iCs w:val="1"/>
          <w:color w:val="auto"/>
        </w:rPr>
      </w:pPr>
      <w:r>
        <w:rPr>
          <w:rFonts w:ascii="Arial" w:cs="Arial" w:eastAsia="Arial" w:hAnsi="Arial"/>
          <w:sz w:val="16"/>
          <w:szCs w:val="16"/>
          <w:color w:val="auto"/>
        </w:rPr>
        <w:t>The committee set our 2022 long-term incentive plan financial performance goals as follows:</w:t>
      </w:r>
    </w:p>
    <w:p>
      <w:pPr>
        <w:spacing w:after="0" w:line="31" w:lineRule="exact"/>
        <w:rPr>
          <w:rFonts w:ascii="Arial" w:cs="Arial" w:eastAsia="Arial" w:hAnsi="Arial"/>
          <w:sz w:val="16"/>
          <w:szCs w:val="16"/>
          <w:b w:val="1"/>
          <w:bCs w:val="1"/>
          <w:i w:val="1"/>
          <w:iCs w:val="1"/>
          <w:color w:val="auto"/>
        </w:rPr>
      </w:pPr>
    </w:p>
    <w:p>
      <w:pPr>
        <w:ind w:left="509" w:right="380" w:hanging="144"/>
        <w:spacing w:after="0" w:line="241" w:lineRule="auto"/>
        <w:tabs>
          <w:tab w:leader="none" w:pos="505"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40% Adjusted Earnings Before Income Tax Depreciation and Amortization ("EBITDA"): </w:t>
      </w:r>
      <w:r>
        <w:rPr>
          <w:rFonts w:ascii="Arial" w:cs="Arial" w:eastAsia="Arial" w:hAnsi="Arial"/>
          <w:sz w:val="16"/>
          <w:szCs w:val="16"/>
          <w:color w:val="auto"/>
        </w:rPr>
        <w:t>The target goal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set to focus on profitability and operational performance that aligns with our mid-term public guidance.</w:t>
      </w:r>
    </w:p>
    <w:p>
      <w:pPr>
        <w:ind w:left="509" w:right="480" w:hanging="144"/>
        <w:spacing w:after="0" w:line="238" w:lineRule="auto"/>
        <w:tabs>
          <w:tab w:leader="none" w:pos="505"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40% Return on Invested Capital ("ROIC"): </w:t>
      </w:r>
      <w:r>
        <w:rPr>
          <w:rFonts w:ascii="Arial" w:cs="Arial" w:eastAsia="Arial" w:hAnsi="Arial"/>
          <w:sz w:val="16"/>
          <w:szCs w:val="16"/>
          <w:color w:val="auto"/>
        </w:rPr>
        <w:t>The target goal was established to be higher than the average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return on invested capital of our compensation peer group and historical internal target performance.</w:t>
      </w:r>
    </w:p>
    <w:p>
      <w:pPr>
        <w:spacing w:after="0" w:line="4" w:lineRule="exact"/>
        <w:rPr>
          <w:rFonts w:ascii="Arial" w:cs="Arial" w:eastAsia="Arial" w:hAnsi="Arial"/>
          <w:sz w:val="16"/>
          <w:szCs w:val="16"/>
          <w:color w:val="auto"/>
        </w:rPr>
      </w:pPr>
    </w:p>
    <w:p>
      <w:pPr>
        <w:ind w:left="509" w:right="520" w:hanging="144"/>
        <w:spacing w:after="0" w:line="231" w:lineRule="auto"/>
        <w:tabs>
          <w:tab w:leader="none" w:pos="505" w:val="left"/>
        </w:tabs>
        <w:numPr>
          <w:ilvl w:val="1"/>
          <w:numId w:val="6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20% Relative Total Shareholder Return ("TSR"): </w:t>
      </w:r>
      <w:r>
        <w:rPr>
          <w:rFonts w:ascii="Arial" w:cs="Arial" w:eastAsia="Arial" w:hAnsi="Arial"/>
          <w:sz w:val="16"/>
          <w:szCs w:val="16"/>
          <w:color w:val="auto"/>
        </w:rPr>
        <w:t>The target goal was intended to align with long-term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for shareholders (measured by cumulative TSR with dividends reinvested) relative to the peer group to minimize the impact of general market movements.</w:t>
      </w:r>
    </w:p>
    <w:p>
      <w:pPr>
        <w:spacing w:after="0" w:line="200" w:lineRule="exact"/>
        <w:rPr>
          <w:sz w:val="20"/>
          <w:szCs w:val="20"/>
          <w:color w:val="auto"/>
        </w:rPr>
      </w:pPr>
    </w:p>
    <w:p>
      <w:pPr>
        <w:sectPr>
          <w:pgSz w:w="11900" w:h="16838" w:orient="portrait"/>
          <w:cols w:equalWidth="0" w:num="2">
            <w:col w:w="1851" w:space="720"/>
            <w:col w:w="8689"/>
          </w:cols>
          <w:pgMar w:left="320" w:top="123" w:right="319" w:bottom="144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228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Determining Safety Goals</w:t>
            </w:r>
          </w:p>
        </w:tc>
        <w:tc>
          <w:tcPr>
            <w:tcW w:w="8900" w:type="dxa"/>
            <w:vAlign w:val="bottom"/>
            <w:tcBorders>
              <w:top w:val="single" w:sz="8" w:color="auto"/>
            </w:tcBorders>
          </w:tcPr>
          <w:p>
            <w:pPr>
              <w:ind w:left="300"/>
              <w:spacing w:after="0"/>
              <w:rPr>
                <w:sz w:val="20"/>
                <w:szCs w:val="20"/>
                <w:color w:val="auto"/>
              </w:rPr>
            </w:pPr>
            <w:r>
              <w:rPr>
                <w:rFonts w:ascii="Arial" w:cs="Arial" w:eastAsia="Arial" w:hAnsi="Arial"/>
                <w:sz w:val="16"/>
                <w:szCs w:val="16"/>
                <w:color w:val="auto"/>
              </w:rPr>
              <w:t>• To promote rigor and continuous improvement in our safety goals, the committee set our primary safety goals for</w:t>
            </w:r>
          </w:p>
        </w:tc>
      </w:tr>
      <w:tr>
        <w:trPr>
          <w:trHeight w:val="158"/>
        </w:trPr>
        <w:tc>
          <w:tcPr>
            <w:tcW w:w="2280" w:type="dxa"/>
            <w:vAlign w:val="bottom"/>
          </w:tcPr>
          <w:p>
            <w:pPr>
              <w:spacing w:after="0"/>
              <w:rPr>
                <w:sz w:val="13"/>
                <w:szCs w:val="13"/>
                <w:color w:val="auto"/>
              </w:rPr>
            </w:pPr>
          </w:p>
        </w:tc>
        <w:tc>
          <w:tcPr>
            <w:tcW w:w="8900" w:type="dxa"/>
            <w:vAlign w:val="bottom"/>
          </w:tcPr>
          <w:p>
            <w:pPr>
              <w:ind w:left="440"/>
              <w:spacing w:after="0" w:line="158" w:lineRule="exact"/>
              <w:rPr>
                <w:sz w:val="20"/>
                <w:szCs w:val="20"/>
                <w:color w:val="auto"/>
              </w:rPr>
            </w:pPr>
            <w:r>
              <w:rPr>
                <w:rFonts w:ascii="Arial" w:cs="Arial" w:eastAsia="Arial" w:hAnsi="Arial"/>
                <w:sz w:val="16"/>
                <w:szCs w:val="16"/>
                <w:color w:val="auto"/>
              </w:rPr>
              <w:t>Total Recordable Incident Rate ("TRIR") and Days Away, Restricted or Transferred ("DART") to incentivize continuous</w:t>
            </w:r>
          </w:p>
        </w:tc>
      </w:tr>
      <w:tr>
        <w:trPr>
          <w:trHeight w:val="215"/>
        </w:trPr>
        <w:tc>
          <w:tcPr>
            <w:tcW w:w="2280" w:type="dxa"/>
            <w:vAlign w:val="bottom"/>
          </w:tcPr>
          <w:p>
            <w:pPr>
              <w:spacing w:after="0"/>
              <w:rPr>
                <w:sz w:val="18"/>
                <w:szCs w:val="18"/>
                <w:color w:val="auto"/>
              </w:rPr>
            </w:pPr>
          </w:p>
        </w:tc>
        <w:tc>
          <w:tcPr>
            <w:tcW w:w="8900" w:type="dxa"/>
            <w:vAlign w:val="bottom"/>
          </w:tcPr>
          <w:p>
            <w:pPr>
              <w:ind w:left="440"/>
              <w:spacing w:after="0"/>
              <w:rPr>
                <w:sz w:val="20"/>
                <w:szCs w:val="20"/>
                <w:color w:val="auto"/>
              </w:rPr>
            </w:pPr>
            <w:r>
              <w:rPr>
                <w:rFonts w:ascii="Arial" w:cs="Arial" w:eastAsia="Arial" w:hAnsi="Arial"/>
                <w:sz w:val="16"/>
                <w:szCs w:val="16"/>
                <w:color w:val="auto"/>
              </w:rPr>
              <w:t>focus on our safety performance.</w:t>
            </w:r>
          </w:p>
        </w:tc>
      </w:tr>
    </w:tbl>
    <w:p>
      <w:pPr>
        <w:ind w:left="2720" w:hanging="149"/>
        <w:spacing w:after="0"/>
        <w:tabs>
          <w:tab w:leader="none" w:pos="272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There is no payout on a safety target if our performance does not meet or exceed the goal for 2022.</w:t>
      </w:r>
    </w:p>
    <w:p>
      <w:pPr>
        <w:spacing w:after="0" w:line="30" w:lineRule="exact"/>
        <w:rPr>
          <w:rFonts w:ascii="Arial" w:cs="Arial" w:eastAsia="Arial" w:hAnsi="Arial"/>
          <w:sz w:val="16"/>
          <w:szCs w:val="16"/>
          <w:color w:val="auto"/>
        </w:rPr>
      </w:pPr>
    </w:p>
    <w:p>
      <w:pPr>
        <w:ind w:left="20"/>
        <w:spacing w:after="0"/>
        <w:rPr>
          <w:rFonts w:ascii="Arial" w:cs="Arial" w:eastAsia="Arial" w:hAnsi="Arial"/>
          <w:sz w:val="16"/>
          <w:szCs w:val="16"/>
          <w:color w:val="auto"/>
        </w:rPr>
      </w:pPr>
      <w:r>
        <w:rPr>
          <w:rFonts w:ascii="Arial" w:cs="Arial" w:eastAsia="Arial" w:hAnsi="Arial"/>
          <w:sz w:val="16"/>
          <w:szCs w:val="16"/>
          <w:b w:val="1"/>
          <w:bCs w:val="1"/>
          <w:color w:val="FFFFFF"/>
        </w:rPr>
        <w:t>Resources and Advisers to Our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-118110</wp:posOffset>
            </wp:positionV>
            <wp:extent cx="7099300" cy="1390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099300" cy="139065"/>
                    </a:xfrm>
                    <a:prstGeom prst="rect">
                      <a:avLst/>
                    </a:prstGeom>
                    <a:noFill/>
                  </pic:spPr>
                </pic:pic>
              </a:graphicData>
            </a:graphic>
          </wp:anchor>
        </w:drawing>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Independent</w:t>
            </w:r>
          </w:p>
        </w:tc>
        <w:tc>
          <w:tcPr>
            <w:tcW w:w="9220" w:type="dxa"/>
            <w:vAlign w:val="bottom"/>
            <w:gridSpan w:val="2"/>
          </w:tcPr>
          <w:p>
            <w:pPr>
              <w:ind w:left="540"/>
              <w:spacing w:after="0"/>
              <w:rPr>
                <w:sz w:val="20"/>
                <w:szCs w:val="20"/>
                <w:color w:val="auto"/>
              </w:rPr>
            </w:pPr>
            <w:r>
              <w:rPr>
                <w:rFonts w:ascii="Arial" w:cs="Arial" w:eastAsia="Arial" w:hAnsi="Arial"/>
                <w:sz w:val="16"/>
                <w:szCs w:val="16"/>
                <w:color w:val="auto"/>
              </w:rPr>
              <w:t>• Provides the Compensation Committee with information and advice on the design, structure and level of executive</w:t>
            </w:r>
          </w:p>
        </w:tc>
      </w:tr>
      <w:tr>
        <w:trPr>
          <w:trHeight w:val="202"/>
        </w:trPr>
        <w:tc>
          <w:tcPr>
            <w:tcW w:w="2040" w:type="dxa"/>
            <w:vAlign w:val="bottom"/>
          </w:tcPr>
          <w:p>
            <w:pPr>
              <w:ind w:left="20"/>
              <w:spacing w:after="0"/>
              <w:rPr>
                <w:sz w:val="20"/>
                <w:szCs w:val="20"/>
                <w:color w:val="auto"/>
              </w:rPr>
            </w:pPr>
            <w:r>
              <w:rPr>
                <w:rFonts w:ascii="Arial" w:cs="Arial" w:eastAsia="Arial" w:hAnsi="Arial"/>
                <w:sz w:val="16"/>
                <w:szCs w:val="16"/>
                <w:b w:val="1"/>
                <w:bCs w:val="1"/>
                <w:color w:val="auto"/>
              </w:rPr>
              <w:t>Outside Consultant</w:t>
            </w:r>
          </w:p>
        </w:tc>
        <w:tc>
          <w:tcPr>
            <w:tcW w:w="9220" w:type="dxa"/>
            <w:vAlign w:val="bottom"/>
            <w:gridSpan w:val="2"/>
          </w:tcPr>
          <w:p>
            <w:pPr>
              <w:ind w:left="680"/>
              <w:spacing w:after="0"/>
              <w:rPr>
                <w:sz w:val="20"/>
                <w:szCs w:val="20"/>
                <w:color w:val="auto"/>
              </w:rPr>
            </w:pPr>
            <w:r>
              <w:rPr>
                <w:rFonts w:ascii="Arial" w:cs="Arial" w:eastAsia="Arial" w:hAnsi="Arial"/>
                <w:sz w:val="16"/>
                <w:szCs w:val="16"/>
                <w:color w:val="auto"/>
              </w:rPr>
              <w:t>and director compensation.</w:t>
            </w:r>
          </w:p>
        </w:tc>
      </w:tr>
      <w:tr>
        <w:trPr>
          <w:trHeight w:val="215"/>
        </w:trPr>
        <w:tc>
          <w:tcPr>
            <w:tcW w:w="2040" w:type="dxa"/>
            <w:vAlign w:val="bottom"/>
          </w:tcPr>
          <w:p>
            <w:pPr>
              <w:spacing w:after="0"/>
              <w:rPr>
                <w:sz w:val="18"/>
                <w:szCs w:val="18"/>
                <w:color w:val="auto"/>
              </w:rPr>
            </w:pPr>
          </w:p>
        </w:tc>
        <w:tc>
          <w:tcPr>
            <w:tcW w:w="9220" w:type="dxa"/>
            <w:vAlign w:val="bottom"/>
            <w:gridSpan w:val="2"/>
          </w:tcPr>
          <w:p>
            <w:pPr>
              <w:ind w:left="540"/>
              <w:spacing w:after="0"/>
              <w:rPr>
                <w:sz w:val="20"/>
                <w:szCs w:val="20"/>
                <w:color w:val="auto"/>
              </w:rPr>
            </w:pPr>
            <w:r>
              <w:rPr>
                <w:rFonts w:ascii="Arial" w:cs="Arial" w:eastAsia="Arial" w:hAnsi="Arial"/>
                <w:sz w:val="16"/>
                <w:szCs w:val="16"/>
                <w:color w:val="auto"/>
              </w:rPr>
              <w:t>• Attends Compensation Committee meetings, including executive sessions.</w:t>
            </w:r>
          </w:p>
        </w:tc>
      </w:tr>
      <w:tr>
        <w:trPr>
          <w:trHeight w:val="211"/>
        </w:trPr>
        <w:tc>
          <w:tcPr>
            <w:tcW w:w="2040" w:type="dxa"/>
            <w:vAlign w:val="bottom"/>
          </w:tcPr>
          <w:p>
            <w:pPr>
              <w:spacing w:after="0"/>
              <w:rPr>
                <w:sz w:val="18"/>
                <w:szCs w:val="18"/>
                <w:color w:val="auto"/>
              </w:rPr>
            </w:pPr>
          </w:p>
        </w:tc>
        <w:tc>
          <w:tcPr>
            <w:tcW w:w="9220" w:type="dxa"/>
            <w:vAlign w:val="bottom"/>
            <w:gridSpan w:val="2"/>
          </w:tcPr>
          <w:p>
            <w:pPr>
              <w:ind w:left="540"/>
              <w:spacing w:after="0"/>
              <w:rPr>
                <w:sz w:val="20"/>
                <w:szCs w:val="20"/>
                <w:color w:val="auto"/>
              </w:rPr>
            </w:pPr>
            <w:r>
              <w:rPr>
                <w:rFonts w:ascii="Arial" w:cs="Arial" w:eastAsia="Arial" w:hAnsi="Arial"/>
                <w:sz w:val="16"/>
                <w:szCs w:val="16"/>
                <w:color w:val="auto"/>
              </w:rPr>
              <w:t>• Engaged and directed by the Compensation Committee.</w:t>
            </w:r>
          </w:p>
        </w:tc>
      </w:tr>
      <w:tr>
        <w:trPr>
          <w:trHeight w:val="163"/>
        </w:trPr>
        <w:tc>
          <w:tcPr>
            <w:tcW w:w="2040" w:type="dxa"/>
            <w:vAlign w:val="bottom"/>
          </w:tcPr>
          <w:p>
            <w:pPr>
              <w:spacing w:after="0"/>
              <w:rPr>
                <w:sz w:val="14"/>
                <w:szCs w:val="14"/>
                <w:color w:val="auto"/>
              </w:rPr>
            </w:pPr>
          </w:p>
        </w:tc>
        <w:tc>
          <w:tcPr>
            <w:tcW w:w="9220" w:type="dxa"/>
            <w:vAlign w:val="bottom"/>
            <w:gridSpan w:val="2"/>
          </w:tcPr>
          <w:p>
            <w:pPr>
              <w:ind w:left="540"/>
              <w:spacing w:after="0" w:line="163" w:lineRule="exact"/>
              <w:rPr>
                <w:sz w:val="20"/>
                <w:szCs w:val="20"/>
                <w:color w:val="auto"/>
              </w:rPr>
            </w:pPr>
            <w:r>
              <w:rPr>
                <w:rFonts w:ascii="Arial" w:cs="Arial" w:eastAsia="Arial" w:hAnsi="Arial"/>
                <w:sz w:val="16"/>
                <w:szCs w:val="16"/>
                <w:color w:val="auto"/>
              </w:rPr>
              <w:t>• Works directly with our Compensation Committee on the compensation of our Named Executives, including our Chief</w:t>
            </w:r>
          </w:p>
        </w:tc>
      </w:tr>
      <w:tr>
        <w:trPr>
          <w:trHeight w:val="215"/>
        </w:trPr>
        <w:tc>
          <w:tcPr>
            <w:tcW w:w="2040" w:type="dxa"/>
            <w:vAlign w:val="bottom"/>
          </w:tcPr>
          <w:p>
            <w:pPr>
              <w:spacing w:after="0"/>
              <w:rPr>
                <w:sz w:val="18"/>
                <w:szCs w:val="18"/>
                <w:color w:val="auto"/>
              </w:rPr>
            </w:pPr>
          </w:p>
        </w:tc>
        <w:tc>
          <w:tcPr>
            <w:tcW w:w="9220" w:type="dxa"/>
            <w:vAlign w:val="bottom"/>
            <w:gridSpan w:val="2"/>
          </w:tcPr>
          <w:p>
            <w:pPr>
              <w:ind w:left="680"/>
              <w:spacing w:after="0"/>
              <w:rPr>
                <w:sz w:val="20"/>
                <w:szCs w:val="20"/>
                <w:color w:val="auto"/>
              </w:rPr>
            </w:pPr>
            <w:r>
              <w:rPr>
                <w:rFonts w:ascii="Arial" w:cs="Arial" w:eastAsia="Arial" w:hAnsi="Arial"/>
                <w:sz w:val="16"/>
                <w:szCs w:val="16"/>
                <w:color w:val="auto"/>
              </w:rPr>
              <w:t>Executive Officer.</w:t>
            </w:r>
          </w:p>
        </w:tc>
      </w:tr>
      <w:tr>
        <w:trPr>
          <w:trHeight w:val="212"/>
        </w:trPr>
        <w:tc>
          <w:tcPr>
            <w:tcW w:w="2040" w:type="dxa"/>
            <w:vAlign w:val="bottom"/>
            <w:tcBorders>
              <w:bottom w:val="single" w:sz="8" w:color="auto"/>
            </w:tcBorders>
          </w:tcPr>
          <w:p>
            <w:pPr>
              <w:spacing w:after="0"/>
              <w:rPr>
                <w:sz w:val="18"/>
                <w:szCs w:val="18"/>
                <w:color w:val="auto"/>
              </w:rPr>
            </w:pPr>
          </w:p>
        </w:tc>
        <w:tc>
          <w:tcPr>
            <w:tcW w:w="9140" w:type="dxa"/>
            <w:vAlign w:val="bottom"/>
            <w:tcBorders>
              <w:bottom w:val="single" w:sz="8" w:color="auto"/>
            </w:tcBorders>
          </w:tcPr>
          <w:p>
            <w:pPr>
              <w:ind w:left="540"/>
              <w:spacing w:after="0"/>
              <w:rPr>
                <w:sz w:val="20"/>
                <w:szCs w:val="20"/>
                <w:color w:val="auto"/>
              </w:rPr>
            </w:pPr>
            <w:r>
              <w:rPr>
                <w:rFonts w:ascii="Arial" w:cs="Arial" w:eastAsia="Arial" w:hAnsi="Arial"/>
                <w:sz w:val="16"/>
                <w:szCs w:val="16"/>
                <w:color w:val="auto"/>
              </w:rPr>
              <w:t>• Exequity served as executive compensation consultant to the Compensation Committee for 2022.</w:t>
            </w:r>
          </w:p>
        </w:tc>
        <w:tc>
          <w:tcPr>
            <w:tcW w:w="80" w:type="dxa"/>
            <w:vAlign w:val="bottom"/>
          </w:tcPr>
          <w:p>
            <w:pPr>
              <w:spacing w:after="0"/>
              <w:rPr>
                <w:sz w:val="18"/>
                <w:szCs w:val="18"/>
                <w:color w:val="auto"/>
              </w:rPr>
            </w:pPr>
          </w:p>
        </w:tc>
      </w:tr>
      <w:tr>
        <w:trPr>
          <w:trHeight w:val="868"/>
        </w:trPr>
        <w:tc>
          <w:tcPr>
            <w:tcW w:w="2040" w:type="dxa"/>
            <w:vAlign w:val="bottom"/>
          </w:tcPr>
          <w:p>
            <w:pPr>
              <w:spacing w:after="0"/>
              <w:rPr>
                <w:sz w:val="24"/>
                <w:szCs w:val="24"/>
                <w:color w:val="auto"/>
              </w:rPr>
            </w:pPr>
          </w:p>
        </w:tc>
        <w:tc>
          <w:tcPr>
            <w:tcW w:w="9220" w:type="dxa"/>
            <w:vAlign w:val="bottom"/>
            <w:gridSpan w:val="2"/>
          </w:tcPr>
          <w:p>
            <w:pPr>
              <w:ind w:left="7000"/>
              <w:spacing w:after="0"/>
              <w:rPr>
                <w:sz w:val="20"/>
                <w:szCs w:val="20"/>
                <w:color w:val="auto"/>
              </w:rPr>
            </w:pPr>
            <w:r>
              <w:rPr>
                <w:rFonts w:ascii="Arial" w:cs="Arial" w:eastAsia="Arial" w:hAnsi="Arial"/>
                <w:sz w:val="16"/>
                <w:szCs w:val="16"/>
                <w:color w:val="auto"/>
              </w:rPr>
              <w:t xml:space="preserve">2023 PROXY STATEMENT </w:t>
            </w:r>
            <w:r>
              <w:rPr>
                <w:rFonts w:ascii="Arial" w:cs="Arial" w:eastAsia="Arial" w:hAnsi="Arial"/>
                <w:sz w:val="16"/>
                <w:szCs w:val="16"/>
                <w:b w:val="1"/>
                <w:bCs w:val="1"/>
                <w:color w:val="2C2C2C"/>
              </w:rPr>
              <w:t>27</w:t>
            </w:r>
          </w:p>
        </w:tc>
      </w:tr>
      <w:tr>
        <w:trPr>
          <w:trHeight w:val="91"/>
        </w:trPr>
        <w:tc>
          <w:tcPr>
            <w:tcW w:w="2040" w:type="dxa"/>
            <w:vAlign w:val="bottom"/>
            <w:tcBorders>
              <w:bottom w:val="single" w:sz="8" w:color="9A9A9A"/>
            </w:tcBorders>
          </w:tcPr>
          <w:p>
            <w:pPr>
              <w:spacing w:after="0"/>
              <w:rPr>
                <w:sz w:val="7"/>
                <w:szCs w:val="7"/>
                <w:color w:val="auto"/>
              </w:rPr>
            </w:pPr>
          </w:p>
        </w:tc>
        <w:tc>
          <w:tcPr>
            <w:tcW w:w="9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5272405</wp:posOffset>
            </wp:positionH>
            <wp:positionV relativeFrom="paragraph">
              <wp:posOffset>-316230</wp:posOffset>
            </wp:positionV>
            <wp:extent cx="440690" cy="1854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0690" cy="1854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39" w:name="page40"/>
    <w:bookmarkEnd w:id="39"/>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9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Management</w:t>
            </w:r>
          </w:p>
        </w:tc>
        <w:tc>
          <w:tcPr>
            <w:tcW w:w="9220" w:type="dxa"/>
            <w:vAlign w:val="bottom"/>
            <w:tcBorders>
              <w:top w:val="single" w:sz="8" w:color="auto"/>
            </w:tcBorders>
          </w:tcPr>
          <w:p>
            <w:pPr>
              <w:ind w:left="620"/>
              <w:spacing w:after="0"/>
              <w:rPr>
                <w:sz w:val="20"/>
                <w:szCs w:val="20"/>
                <w:color w:val="auto"/>
              </w:rPr>
            </w:pPr>
            <w:r>
              <w:rPr>
                <w:rFonts w:ascii="Arial" w:cs="Arial" w:eastAsia="Arial" w:hAnsi="Arial"/>
                <w:sz w:val="16"/>
                <w:szCs w:val="16"/>
                <w:color w:val="auto"/>
              </w:rPr>
              <w:t>• Our Human Resources department, in consultation with the Compensation Committee chair and Exequity, prepares</w:t>
            </w:r>
          </w:p>
        </w:tc>
      </w:tr>
      <w:tr>
        <w:trPr>
          <w:trHeight w:val="158"/>
        </w:trPr>
        <w:tc>
          <w:tcPr>
            <w:tcW w:w="1960" w:type="dxa"/>
            <w:vAlign w:val="bottom"/>
          </w:tcPr>
          <w:p>
            <w:pPr>
              <w:spacing w:after="0"/>
              <w:rPr>
                <w:sz w:val="13"/>
                <w:szCs w:val="13"/>
                <w:color w:val="auto"/>
              </w:rPr>
            </w:pPr>
          </w:p>
        </w:tc>
        <w:tc>
          <w:tcPr>
            <w:tcW w:w="9220" w:type="dxa"/>
            <w:vAlign w:val="bottom"/>
          </w:tcPr>
          <w:p>
            <w:pPr>
              <w:ind w:left="760"/>
              <w:spacing w:after="0" w:line="158" w:lineRule="exact"/>
              <w:rPr>
                <w:sz w:val="20"/>
                <w:szCs w:val="20"/>
                <w:color w:val="auto"/>
              </w:rPr>
            </w:pPr>
            <w:r>
              <w:rPr>
                <w:rFonts w:ascii="Arial" w:cs="Arial" w:eastAsia="Arial" w:hAnsi="Arial"/>
                <w:sz w:val="16"/>
                <w:szCs w:val="16"/>
                <w:color w:val="auto"/>
              </w:rPr>
              <w:t>information for the Compensation Committee, including market data provided by Exequity and recommendations of</w:t>
            </w:r>
          </w:p>
        </w:tc>
      </w:tr>
      <w:tr>
        <w:trPr>
          <w:trHeight w:val="215"/>
        </w:trPr>
        <w:tc>
          <w:tcPr>
            <w:tcW w:w="1960" w:type="dxa"/>
            <w:vAlign w:val="bottom"/>
          </w:tcPr>
          <w:p>
            <w:pPr>
              <w:spacing w:after="0"/>
              <w:rPr>
                <w:sz w:val="18"/>
                <w:szCs w:val="18"/>
                <w:color w:val="auto"/>
              </w:rPr>
            </w:pPr>
          </w:p>
        </w:tc>
        <w:tc>
          <w:tcPr>
            <w:tcW w:w="9220" w:type="dxa"/>
            <w:vAlign w:val="bottom"/>
          </w:tcPr>
          <w:p>
            <w:pPr>
              <w:ind w:left="760"/>
              <w:spacing w:after="0"/>
              <w:rPr>
                <w:sz w:val="20"/>
                <w:szCs w:val="20"/>
                <w:color w:val="auto"/>
              </w:rPr>
            </w:pPr>
            <w:r>
              <w:rPr>
                <w:rFonts w:ascii="Arial" w:cs="Arial" w:eastAsia="Arial" w:hAnsi="Arial"/>
                <w:sz w:val="16"/>
                <w:szCs w:val="16"/>
                <w:color w:val="auto"/>
              </w:rPr>
              <w:t>our Chief Executive Officer regarding compensation of other executives.</w:t>
            </w:r>
          </w:p>
        </w:tc>
      </w:tr>
      <w:tr>
        <w:trPr>
          <w:trHeight w:val="163"/>
        </w:trPr>
        <w:tc>
          <w:tcPr>
            <w:tcW w:w="1960" w:type="dxa"/>
            <w:vAlign w:val="bottom"/>
          </w:tcPr>
          <w:p>
            <w:pPr>
              <w:spacing w:after="0"/>
              <w:rPr>
                <w:sz w:val="14"/>
                <w:szCs w:val="14"/>
                <w:color w:val="auto"/>
              </w:rPr>
            </w:pPr>
          </w:p>
        </w:tc>
        <w:tc>
          <w:tcPr>
            <w:tcW w:w="9220" w:type="dxa"/>
            <w:vAlign w:val="bottom"/>
          </w:tcPr>
          <w:p>
            <w:pPr>
              <w:ind w:left="620"/>
              <w:spacing w:after="0" w:line="163" w:lineRule="exact"/>
              <w:rPr>
                <w:sz w:val="20"/>
                <w:szCs w:val="20"/>
                <w:color w:val="auto"/>
              </w:rPr>
            </w:pPr>
            <w:r>
              <w:rPr>
                <w:rFonts w:ascii="Arial" w:cs="Arial" w:eastAsia="Arial" w:hAnsi="Arial"/>
                <w:sz w:val="16"/>
                <w:szCs w:val="16"/>
                <w:color w:val="auto"/>
              </w:rPr>
              <w:t>• Our Chief Executive Officer and senior Human Resources personnel attend committee meetings and, as requested</w:t>
            </w:r>
          </w:p>
        </w:tc>
      </w:tr>
      <w:tr>
        <w:trPr>
          <w:trHeight w:val="158"/>
        </w:trPr>
        <w:tc>
          <w:tcPr>
            <w:tcW w:w="1960" w:type="dxa"/>
            <w:vAlign w:val="bottom"/>
          </w:tcPr>
          <w:p>
            <w:pPr>
              <w:spacing w:after="0"/>
              <w:rPr>
                <w:sz w:val="13"/>
                <w:szCs w:val="13"/>
                <w:color w:val="auto"/>
              </w:rPr>
            </w:pPr>
          </w:p>
        </w:tc>
        <w:tc>
          <w:tcPr>
            <w:tcW w:w="9220" w:type="dxa"/>
            <w:vAlign w:val="bottom"/>
          </w:tcPr>
          <w:p>
            <w:pPr>
              <w:ind w:left="760"/>
              <w:spacing w:after="0" w:line="158" w:lineRule="exact"/>
              <w:rPr>
                <w:sz w:val="20"/>
                <w:szCs w:val="20"/>
                <w:color w:val="auto"/>
              </w:rPr>
            </w:pPr>
            <w:r>
              <w:rPr>
                <w:rFonts w:ascii="Arial" w:cs="Arial" w:eastAsia="Arial" w:hAnsi="Arial"/>
                <w:sz w:val="16"/>
                <w:szCs w:val="16"/>
                <w:color w:val="auto"/>
              </w:rPr>
              <w:t>by the Compensation Committee, participate in deliberations on executive compensation (except in respect to their</w:t>
            </w:r>
          </w:p>
        </w:tc>
      </w:tr>
      <w:tr>
        <w:trPr>
          <w:trHeight w:val="217"/>
        </w:trPr>
        <w:tc>
          <w:tcPr>
            <w:tcW w:w="1960" w:type="dxa"/>
            <w:vAlign w:val="bottom"/>
            <w:tcBorders>
              <w:bottom w:val="single" w:sz="8" w:color="auto"/>
            </w:tcBorders>
          </w:tcPr>
          <w:p>
            <w:pPr>
              <w:spacing w:after="0"/>
              <w:rPr>
                <w:sz w:val="18"/>
                <w:szCs w:val="18"/>
                <w:color w:val="auto"/>
              </w:rPr>
            </w:pPr>
          </w:p>
        </w:tc>
        <w:tc>
          <w:tcPr>
            <w:tcW w:w="9220" w:type="dxa"/>
            <w:vAlign w:val="bottom"/>
            <w:tcBorders>
              <w:bottom w:val="single" w:sz="8" w:color="auto"/>
            </w:tcBorders>
          </w:tcPr>
          <w:p>
            <w:pPr>
              <w:ind w:left="760"/>
              <w:spacing w:after="0"/>
              <w:rPr>
                <w:sz w:val="20"/>
                <w:szCs w:val="20"/>
                <w:color w:val="auto"/>
              </w:rPr>
            </w:pPr>
            <w:r>
              <w:rPr>
                <w:rFonts w:ascii="Arial" w:cs="Arial" w:eastAsia="Arial" w:hAnsi="Arial"/>
                <w:sz w:val="16"/>
                <w:szCs w:val="16"/>
                <w:color w:val="auto"/>
              </w:rPr>
              <w:t>own compensation) and select executive sessions.</w:t>
            </w:r>
          </w:p>
        </w:tc>
      </w:tr>
      <w:tr>
        <w:trPr>
          <w:trHeight w:val="201"/>
        </w:trPr>
        <w:tc>
          <w:tcPr>
            <w:tcW w:w="1960" w:type="dxa"/>
            <w:vAlign w:val="bottom"/>
          </w:tcPr>
          <w:p>
            <w:pPr>
              <w:ind w:left="20"/>
              <w:spacing w:after="0"/>
              <w:rPr>
                <w:sz w:val="20"/>
                <w:szCs w:val="20"/>
                <w:color w:val="auto"/>
              </w:rPr>
            </w:pPr>
            <w:r>
              <w:rPr>
                <w:rFonts w:ascii="Arial" w:cs="Arial" w:eastAsia="Arial" w:hAnsi="Arial"/>
                <w:sz w:val="16"/>
                <w:szCs w:val="16"/>
                <w:b w:val="1"/>
                <w:bCs w:val="1"/>
                <w:color w:val="auto"/>
              </w:rPr>
              <w:t>Stockholder</w:t>
            </w:r>
          </w:p>
        </w:tc>
        <w:tc>
          <w:tcPr>
            <w:tcW w:w="9220" w:type="dxa"/>
            <w:vAlign w:val="bottom"/>
          </w:tcPr>
          <w:p>
            <w:pPr>
              <w:ind w:left="620"/>
              <w:spacing w:after="0"/>
              <w:rPr>
                <w:sz w:val="20"/>
                <w:szCs w:val="20"/>
                <w:color w:val="auto"/>
              </w:rPr>
            </w:pPr>
            <w:r>
              <w:rPr>
                <w:rFonts w:ascii="Arial" w:cs="Arial" w:eastAsia="Arial" w:hAnsi="Arial"/>
                <w:sz w:val="16"/>
                <w:szCs w:val="16"/>
                <w:color w:val="auto"/>
              </w:rPr>
              <w:t>• We provide our stockholders with the opportunity to cast an annual advisory vote on the compensation of our Named</w:t>
            </w:r>
          </w:p>
        </w:tc>
      </w:tr>
      <w:tr>
        <w:trPr>
          <w:trHeight w:val="158"/>
        </w:trPr>
        <w:tc>
          <w:tcPr>
            <w:tcW w:w="1960" w:type="dxa"/>
            <w:vAlign w:val="bottom"/>
          </w:tcPr>
          <w:p>
            <w:pPr>
              <w:ind w:left="20"/>
              <w:spacing w:after="0" w:line="158" w:lineRule="exact"/>
              <w:rPr>
                <w:sz w:val="20"/>
                <w:szCs w:val="20"/>
                <w:color w:val="auto"/>
              </w:rPr>
            </w:pPr>
            <w:r>
              <w:rPr>
                <w:rFonts w:ascii="Arial" w:cs="Arial" w:eastAsia="Arial" w:hAnsi="Arial"/>
                <w:sz w:val="16"/>
                <w:szCs w:val="16"/>
                <w:b w:val="1"/>
                <w:bCs w:val="1"/>
                <w:color w:val="auto"/>
              </w:rPr>
              <w:t>Outreach and</w:t>
            </w:r>
          </w:p>
        </w:tc>
        <w:tc>
          <w:tcPr>
            <w:tcW w:w="9220" w:type="dxa"/>
            <w:vAlign w:val="bottom"/>
          </w:tcPr>
          <w:p>
            <w:pPr>
              <w:ind w:left="760"/>
              <w:spacing w:after="0" w:line="158" w:lineRule="exact"/>
              <w:rPr>
                <w:sz w:val="20"/>
                <w:szCs w:val="20"/>
                <w:color w:val="auto"/>
              </w:rPr>
            </w:pPr>
            <w:r>
              <w:rPr>
                <w:rFonts w:ascii="Arial" w:cs="Arial" w:eastAsia="Arial" w:hAnsi="Arial"/>
                <w:sz w:val="16"/>
                <w:szCs w:val="16"/>
                <w:color w:val="auto"/>
              </w:rPr>
              <w:t>Executives.</w:t>
            </w:r>
          </w:p>
        </w:tc>
      </w:tr>
      <w:tr>
        <w:trPr>
          <w:trHeight w:val="60"/>
        </w:trPr>
        <w:tc>
          <w:tcPr>
            <w:tcW w:w="1960" w:type="dxa"/>
            <w:vAlign w:val="bottom"/>
          </w:tcPr>
          <w:p>
            <w:pPr>
              <w:ind w:left="20"/>
              <w:spacing w:after="0" w:line="61" w:lineRule="exact"/>
              <w:rPr>
                <w:sz w:val="20"/>
                <w:szCs w:val="20"/>
                <w:color w:val="auto"/>
              </w:rPr>
            </w:pPr>
            <w:r>
              <w:rPr>
                <w:rFonts w:ascii="Arial" w:cs="Arial" w:eastAsia="Arial" w:hAnsi="Arial"/>
                <w:sz w:val="6"/>
                <w:szCs w:val="6"/>
                <w:b w:val="1"/>
                <w:bCs w:val="1"/>
                <w:color w:val="auto"/>
              </w:rPr>
              <w:t>Stockholder Vote</w:t>
            </w:r>
          </w:p>
        </w:tc>
        <w:tc>
          <w:tcPr>
            <w:tcW w:w="9220" w:type="dxa"/>
            <w:vAlign w:val="bottom"/>
          </w:tcPr>
          <w:p>
            <w:pPr>
              <w:spacing w:after="0"/>
              <w:rPr>
                <w:sz w:val="5"/>
                <w:szCs w:val="5"/>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on Executive</w:t>
            </w:r>
          </w:p>
        </w:tc>
        <w:tc>
          <w:tcPr>
            <w:tcW w:w="9320" w:type="dxa"/>
            <w:vAlign w:val="bottom"/>
          </w:tcPr>
          <w:p>
            <w:pPr>
              <w:ind w:left="720"/>
              <w:spacing w:after="0" w:line="155" w:lineRule="exact"/>
              <w:rPr>
                <w:sz w:val="20"/>
                <w:szCs w:val="20"/>
                <w:color w:val="auto"/>
              </w:rPr>
            </w:pPr>
            <w:r>
              <w:rPr>
                <w:rFonts w:ascii="Arial" w:cs="Arial" w:eastAsia="Arial" w:hAnsi="Arial"/>
                <w:sz w:val="16"/>
                <w:szCs w:val="16"/>
                <w:color w:val="auto"/>
              </w:rPr>
              <w:t>• 96.9% of the votes cast at our 2022 Annual Meeting of Stockholders on the executive compensation proposal were</w:t>
            </w:r>
          </w:p>
        </w:tc>
        <w:tc>
          <w:tcPr>
            <w:tcW w:w="0" w:type="dxa"/>
            <w:vAlign w:val="bottom"/>
          </w:tcPr>
          <w:p>
            <w:pPr>
              <w:spacing w:after="0"/>
              <w:rPr>
                <w:sz w:val="1"/>
                <w:szCs w:val="1"/>
                <w:color w:val="auto"/>
              </w:rPr>
            </w:pPr>
          </w:p>
        </w:tc>
      </w:tr>
      <w:tr>
        <w:trPr>
          <w:trHeight w:val="65"/>
        </w:trPr>
        <w:tc>
          <w:tcPr>
            <w:tcW w:w="1860" w:type="dxa"/>
            <w:vAlign w:val="bottom"/>
            <w:vMerge w:val="continue"/>
          </w:tcPr>
          <w:p>
            <w:pPr>
              <w:spacing w:after="0"/>
              <w:rPr>
                <w:sz w:val="5"/>
                <w:szCs w:val="5"/>
                <w:color w:val="auto"/>
              </w:rPr>
            </w:pPr>
          </w:p>
        </w:tc>
        <w:tc>
          <w:tcPr>
            <w:tcW w:w="9320" w:type="dxa"/>
            <w:vAlign w:val="bottom"/>
            <w:vMerge w:val="restart"/>
          </w:tcPr>
          <w:p>
            <w:pPr>
              <w:ind w:left="860"/>
              <w:spacing w:after="0"/>
              <w:rPr>
                <w:sz w:val="20"/>
                <w:szCs w:val="20"/>
                <w:color w:val="auto"/>
              </w:rPr>
            </w:pPr>
            <w:r>
              <w:rPr>
                <w:rFonts w:ascii="Arial" w:cs="Arial" w:eastAsia="Arial" w:hAnsi="Arial"/>
                <w:sz w:val="16"/>
                <w:szCs w:val="16"/>
                <w:color w:val="auto"/>
              </w:rPr>
              <w:t>voted in favor of our executive compensation.</w:t>
            </w:r>
          </w:p>
        </w:tc>
        <w:tc>
          <w:tcPr>
            <w:tcW w:w="0" w:type="dxa"/>
            <w:vAlign w:val="bottom"/>
          </w:tcPr>
          <w:p>
            <w:pPr>
              <w:spacing w:after="0"/>
              <w:rPr>
                <w:sz w:val="1"/>
                <w:szCs w:val="1"/>
                <w:color w:val="auto"/>
              </w:rPr>
            </w:pPr>
          </w:p>
        </w:tc>
      </w:tr>
      <w:tr>
        <w:trPr>
          <w:trHeight w:val="142"/>
        </w:trPr>
        <w:tc>
          <w:tcPr>
            <w:tcW w:w="1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Compensation</w:t>
            </w:r>
          </w:p>
        </w:tc>
        <w:tc>
          <w:tcPr>
            <w:tcW w:w="9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1860" w:type="dxa"/>
            <w:vAlign w:val="bottom"/>
            <w:vMerge w:val="continue"/>
          </w:tcPr>
          <w:p>
            <w:pPr>
              <w:spacing w:after="0"/>
              <w:rPr>
                <w:sz w:val="7"/>
                <w:szCs w:val="7"/>
                <w:color w:val="auto"/>
              </w:rPr>
            </w:pPr>
          </w:p>
        </w:tc>
        <w:tc>
          <w:tcPr>
            <w:tcW w:w="9320" w:type="dxa"/>
            <w:vAlign w:val="bottom"/>
            <w:vMerge w:val="restart"/>
          </w:tcPr>
          <w:p>
            <w:pPr>
              <w:ind w:left="720"/>
              <w:spacing w:after="0" w:line="163" w:lineRule="exact"/>
              <w:rPr>
                <w:sz w:val="20"/>
                <w:szCs w:val="20"/>
                <w:color w:val="auto"/>
              </w:rPr>
            </w:pPr>
            <w:r>
              <w:rPr>
                <w:rFonts w:ascii="Arial" w:cs="Arial" w:eastAsia="Arial" w:hAnsi="Arial"/>
                <w:sz w:val="16"/>
                <w:szCs w:val="16"/>
                <w:color w:val="auto"/>
              </w:rPr>
              <w:t>• Although our stockholders expressed strong support for our executive compensation proposals in the past three</w:t>
            </w:r>
          </w:p>
        </w:tc>
        <w:tc>
          <w:tcPr>
            <w:tcW w:w="0" w:type="dxa"/>
            <w:vAlign w:val="bottom"/>
          </w:tcPr>
          <w:p>
            <w:pPr>
              <w:spacing w:after="0"/>
              <w:rPr>
                <w:sz w:val="1"/>
                <w:szCs w:val="1"/>
                <w:color w:val="auto"/>
              </w:rPr>
            </w:pPr>
          </w:p>
        </w:tc>
      </w:tr>
      <w:tr>
        <w:trPr>
          <w:trHeight w:val="82"/>
        </w:trPr>
        <w:tc>
          <w:tcPr>
            <w:tcW w:w="1860" w:type="dxa"/>
            <w:vAlign w:val="bottom"/>
          </w:tcPr>
          <w:p>
            <w:pPr>
              <w:spacing w:after="0"/>
              <w:rPr>
                <w:sz w:val="7"/>
                <w:szCs w:val="7"/>
                <w:color w:val="auto"/>
              </w:rPr>
            </w:pPr>
          </w:p>
        </w:tc>
        <w:tc>
          <w:tcPr>
            <w:tcW w:w="9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1860" w:type="dxa"/>
            <w:vAlign w:val="bottom"/>
          </w:tcPr>
          <w:p>
            <w:pPr>
              <w:spacing w:after="0"/>
              <w:rPr>
                <w:sz w:val="14"/>
                <w:szCs w:val="14"/>
                <w:color w:val="auto"/>
              </w:rPr>
            </w:pPr>
          </w:p>
        </w:tc>
        <w:tc>
          <w:tcPr>
            <w:tcW w:w="9320" w:type="dxa"/>
            <w:vAlign w:val="bottom"/>
          </w:tcPr>
          <w:p>
            <w:pPr>
              <w:ind w:left="860"/>
              <w:spacing w:after="0" w:line="166" w:lineRule="exact"/>
              <w:rPr>
                <w:sz w:val="20"/>
                <w:szCs w:val="20"/>
                <w:color w:val="auto"/>
              </w:rPr>
            </w:pPr>
            <w:r>
              <w:rPr>
                <w:rFonts w:ascii="Arial" w:cs="Arial" w:eastAsia="Arial" w:hAnsi="Arial"/>
                <w:sz w:val="16"/>
                <w:szCs w:val="16"/>
                <w:color w:val="auto"/>
              </w:rPr>
              <w:t>years, members of our management team have conducted and plan to continue to conduct outreach programs with</w:t>
            </w:r>
          </w:p>
        </w:tc>
        <w:tc>
          <w:tcPr>
            <w:tcW w:w="0" w:type="dxa"/>
            <w:vAlign w:val="bottom"/>
          </w:tcPr>
          <w:p>
            <w:pPr>
              <w:spacing w:after="0"/>
              <w:rPr>
                <w:sz w:val="1"/>
                <w:szCs w:val="1"/>
                <w:color w:val="auto"/>
              </w:rPr>
            </w:pPr>
          </w:p>
        </w:tc>
      </w:tr>
      <w:tr>
        <w:trPr>
          <w:trHeight w:val="163"/>
        </w:trPr>
        <w:tc>
          <w:tcPr>
            <w:tcW w:w="1860" w:type="dxa"/>
            <w:vAlign w:val="bottom"/>
          </w:tcPr>
          <w:p>
            <w:pPr>
              <w:spacing w:after="0"/>
              <w:rPr>
                <w:sz w:val="14"/>
                <w:szCs w:val="14"/>
                <w:color w:val="auto"/>
              </w:rPr>
            </w:pPr>
          </w:p>
        </w:tc>
        <w:tc>
          <w:tcPr>
            <w:tcW w:w="9320" w:type="dxa"/>
            <w:vAlign w:val="bottom"/>
          </w:tcPr>
          <w:p>
            <w:pPr>
              <w:ind w:left="860"/>
              <w:spacing w:after="0" w:line="163" w:lineRule="exact"/>
              <w:rPr>
                <w:sz w:val="20"/>
                <w:szCs w:val="20"/>
                <w:color w:val="auto"/>
              </w:rPr>
            </w:pPr>
            <w:r>
              <w:rPr>
                <w:rFonts w:ascii="Arial" w:cs="Arial" w:eastAsia="Arial" w:hAnsi="Arial"/>
                <w:sz w:val="16"/>
                <w:szCs w:val="16"/>
                <w:color w:val="auto"/>
              </w:rPr>
              <w:t>our stockholders to discuss executive compensation, corporate governance, environmental, social and other matters.</w:t>
            </w:r>
          </w:p>
        </w:tc>
        <w:tc>
          <w:tcPr>
            <w:tcW w:w="0" w:type="dxa"/>
            <w:vAlign w:val="bottom"/>
          </w:tcPr>
          <w:p>
            <w:pPr>
              <w:spacing w:after="0"/>
              <w:rPr>
                <w:sz w:val="1"/>
                <w:szCs w:val="1"/>
                <w:color w:val="auto"/>
              </w:rPr>
            </w:pPr>
          </w:p>
        </w:tc>
      </w:tr>
      <w:tr>
        <w:trPr>
          <w:trHeight w:val="202"/>
        </w:trPr>
        <w:tc>
          <w:tcPr>
            <w:tcW w:w="1860" w:type="dxa"/>
            <w:vAlign w:val="bottom"/>
          </w:tcPr>
          <w:p>
            <w:pPr>
              <w:spacing w:after="0"/>
              <w:rPr>
                <w:sz w:val="17"/>
                <w:szCs w:val="17"/>
                <w:color w:val="auto"/>
              </w:rPr>
            </w:pPr>
          </w:p>
        </w:tc>
        <w:tc>
          <w:tcPr>
            <w:tcW w:w="9320" w:type="dxa"/>
            <w:vAlign w:val="bottom"/>
          </w:tcPr>
          <w:p>
            <w:pPr>
              <w:ind w:left="860"/>
              <w:spacing w:after="0"/>
              <w:rPr>
                <w:sz w:val="20"/>
                <w:szCs w:val="20"/>
                <w:color w:val="auto"/>
              </w:rPr>
            </w:pPr>
            <w:r>
              <w:rPr>
                <w:rFonts w:ascii="Arial" w:cs="Arial" w:eastAsia="Arial" w:hAnsi="Arial"/>
                <w:sz w:val="16"/>
                <w:szCs w:val="16"/>
                <w:color w:val="auto"/>
              </w:rPr>
              <w:t>See "Stockholder Outreach" under "Corporate Governance" above for more information.</w:t>
            </w:r>
          </w:p>
        </w:tc>
        <w:tc>
          <w:tcPr>
            <w:tcW w:w="0" w:type="dxa"/>
            <w:vAlign w:val="bottom"/>
          </w:tcPr>
          <w:p>
            <w:pPr>
              <w:spacing w:after="0"/>
              <w:rPr>
                <w:sz w:val="1"/>
                <w:szCs w:val="1"/>
                <w:color w:val="auto"/>
              </w:rPr>
            </w:pPr>
          </w:p>
        </w:tc>
      </w:tr>
      <w:tr>
        <w:trPr>
          <w:trHeight w:val="171"/>
        </w:trPr>
        <w:tc>
          <w:tcPr>
            <w:tcW w:w="1860" w:type="dxa"/>
            <w:vAlign w:val="bottom"/>
          </w:tcPr>
          <w:p>
            <w:pPr>
              <w:spacing w:after="0"/>
              <w:rPr>
                <w:sz w:val="14"/>
                <w:szCs w:val="14"/>
                <w:color w:val="auto"/>
              </w:rPr>
            </w:pPr>
          </w:p>
        </w:tc>
        <w:tc>
          <w:tcPr>
            <w:tcW w:w="9320" w:type="dxa"/>
            <w:vAlign w:val="bottom"/>
          </w:tcPr>
          <w:p>
            <w:pPr>
              <w:ind w:left="720"/>
              <w:spacing w:after="0" w:line="171" w:lineRule="exact"/>
              <w:rPr>
                <w:sz w:val="20"/>
                <w:szCs w:val="20"/>
                <w:color w:val="auto"/>
              </w:rPr>
            </w:pPr>
            <w:r>
              <w:rPr>
                <w:rFonts w:ascii="Arial" w:cs="Arial" w:eastAsia="Arial" w:hAnsi="Arial"/>
                <w:sz w:val="16"/>
                <w:szCs w:val="16"/>
                <w:color w:val="auto"/>
              </w:rPr>
              <w:t>• Our Compensation Committee considers stockholder feedback when selecting financial performance metrics and the</w:t>
            </w:r>
          </w:p>
        </w:tc>
        <w:tc>
          <w:tcPr>
            <w:tcW w:w="0" w:type="dxa"/>
            <w:vAlign w:val="bottom"/>
          </w:tcPr>
          <w:p>
            <w:pPr>
              <w:spacing w:after="0"/>
              <w:rPr>
                <w:sz w:val="1"/>
                <w:szCs w:val="1"/>
                <w:color w:val="auto"/>
              </w:rPr>
            </w:pPr>
          </w:p>
        </w:tc>
      </w:tr>
      <w:tr>
        <w:trPr>
          <w:trHeight w:val="163"/>
        </w:trPr>
        <w:tc>
          <w:tcPr>
            <w:tcW w:w="1860" w:type="dxa"/>
            <w:vAlign w:val="bottom"/>
          </w:tcPr>
          <w:p>
            <w:pPr>
              <w:spacing w:after="0"/>
              <w:rPr>
                <w:sz w:val="14"/>
                <w:szCs w:val="14"/>
                <w:color w:val="auto"/>
              </w:rPr>
            </w:pPr>
          </w:p>
        </w:tc>
        <w:tc>
          <w:tcPr>
            <w:tcW w:w="9320" w:type="dxa"/>
            <w:vAlign w:val="bottom"/>
          </w:tcPr>
          <w:p>
            <w:pPr>
              <w:ind w:left="860"/>
              <w:spacing w:after="0" w:line="163" w:lineRule="exact"/>
              <w:rPr>
                <w:sz w:val="20"/>
                <w:szCs w:val="20"/>
                <w:color w:val="auto"/>
              </w:rPr>
            </w:pPr>
            <w:r>
              <w:rPr>
                <w:rFonts w:ascii="Arial" w:cs="Arial" w:eastAsia="Arial" w:hAnsi="Arial"/>
                <w:sz w:val="16"/>
                <w:szCs w:val="16"/>
                <w:color w:val="auto"/>
              </w:rPr>
              <w:t>mix of equity award vehicles. Our stockholder engagement efforts have informed our committee’s decision to select</w:t>
            </w:r>
          </w:p>
        </w:tc>
        <w:tc>
          <w:tcPr>
            <w:tcW w:w="0" w:type="dxa"/>
            <w:vAlign w:val="bottom"/>
          </w:tcPr>
          <w:p>
            <w:pPr>
              <w:spacing w:after="0"/>
              <w:rPr>
                <w:sz w:val="1"/>
                <w:szCs w:val="1"/>
                <w:color w:val="auto"/>
              </w:rPr>
            </w:pPr>
          </w:p>
        </w:tc>
      </w:tr>
      <w:tr>
        <w:trPr>
          <w:trHeight w:val="219"/>
        </w:trPr>
        <w:tc>
          <w:tcPr>
            <w:tcW w:w="1860" w:type="dxa"/>
            <w:vAlign w:val="bottom"/>
          </w:tcPr>
          <w:p>
            <w:pPr>
              <w:spacing w:after="0"/>
              <w:rPr>
                <w:sz w:val="19"/>
                <w:szCs w:val="19"/>
                <w:color w:val="auto"/>
              </w:rPr>
            </w:pPr>
          </w:p>
        </w:tc>
        <w:tc>
          <w:tcPr>
            <w:tcW w:w="9320" w:type="dxa"/>
            <w:vAlign w:val="bottom"/>
          </w:tcPr>
          <w:p>
            <w:pPr>
              <w:ind w:left="860"/>
              <w:spacing w:after="0"/>
              <w:rPr>
                <w:sz w:val="20"/>
                <w:szCs w:val="20"/>
                <w:color w:val="auto"/>
              </w:rPr>
            </w:pPr>
            <w:r>
              <w:rPr>
                <w:rFonts w:ascii="Arial" w:cs="Arial" w:eastAsia="Arial" w:hAnsi="Arial"/>
                <w:sz w:val="16"/>
                <w:szCs w:val="16"/>
                <w:color w:val="auto"/>
              </w:rPr>
              <w:t>relative TSR as a long-term performance metric</w:t>
            </w: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1"/>
        </w:trPr>
        <w:tc>
          <w:tcPr>
            <w:tcW w:w="11180" w:type="dxa"/>
            <w:vAlign w:val="bottom"/>
            <w:gridSpan w:val="2"/>
            <w:shd w:val="clear" w:color="auto" w:fill="000000"/>
          </w:tcPr>
          <w:p>
            <w:pPr>
              <w:ind w:left="20"/>
              <w:spacing w:after="0"/>
              <w:rPr>
                <w:sz w:val="20"/>
                <w:szCs w:val="20"/>
                <w:color w:val="auto"/>
              </w:rPr>
            </w:pPr>
            <w:r>
              <w:rPr>
                <w:rFonts w:ascii="Arial" w:cs="Arial" w:eastAsia="Arial" w:hAnsi="Arial"/>
                <w:sz w:val="16"/>
                <w:szCs w:val="16"/>
                <w:b w:val="1"/>
                <w:bCs w:val="1"/>
                <w:color w:val="FFFFFF"/>
              </w:rPr>
              <w:t>How We Set Target Compensation</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180"/>
          </w:cols>
          <w:pgMar w:left="320" w:top="123" w:right="399" w:bottom="1440" w:gutter="0" w:footer="0" w:header="0"/>
        </w:sectPr>
      </w:pPr>
    </w:p>
    <w:p>
      <w:pPr>
        <w:ind w:left="20" w:right="111"/>
        <w:spacing w:after="0" w:line="251" w:lineRule="auto"/>
        <w:rPr>
          <w:sz w:val="20"/>
          <w:szCs w:val="20"/>
          <w:color w:val="auto"/>
        </w:rPr>
      </w:pPr>
      <w:r>
        <w:rPr>
          <w:rFonts w:ascii="Arial" w:cs="Arial" w:eastAsia="Arial" w:hAnsi="Arial"/>
          <w:sz w:val="16"/>
          <w:szCs w:val="16"/>
          <w:b w:val="1"/>
          <w:bCs w:val="1"/>
          <w:color w:val="auto"/>
        </w:rPr>
        <w:t>Target +/-15% of Median Compensation</w:t>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ind w:left="149" w:right="500" w:hanging="149"/>
        <w:spacing w:after="0" w:line="243" w:lineRule="auto"/>
        <w:tabs>
          <w:tab w:leader="none" w:pos="1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believe compensation of our Named Executives is competitive at or near the median compensation paid for comparable positions.</w:t>
      </w:r>
    </w:p>
    <w:p>
      <w:pPr>
        <w:ind w:left="149" w:right="180" w:hanging="149"/>
        <w:spacing w:after="0" w:line="233" w:lineRule="auto"/>
        <w:tabs>
          <w:tab w:leader="none" w:pos="145" w:val="left"/>
        </w:tabs>
        <w:numPr>
          <w:ilvl w:val="0"/>
          <w:numId w:val="62"/>
        </w:numPr>
        <w:rPr>
          <w:rFonts w:ascii="Arial" w:cs="Arial" w:eastAsia="Arial" w:hAnsi="Arial"/>
          <w:sz w:val="16"/>
          <w:szCs w:val="16"/>
          <w:b w:val="1"/>
          <w:bCs w:val="1"/>
          <w:i w:val="1"/>
          <w:iCs w:val="1"/>
          <w:color w:val="auto"/>
        </w:rPr>
      </w:pPr>
      <w:r>
        <w:rPr>
          <w:rFonts w:ascii="Arial" w:cs="Arial" w:eastAsia="Arial" w:hAnsi="Arial"/>
          <w:sz w:val="16"/>
          <w:szCs w:val="16"/>
          <w:color w:val="auto"/>
        </w:rPr>
        <w:t>We generally seek to set target compensation for each element of total direct compensation and in the aggregate at approximately +/-15% of the median compensation determined through benchmarking (referred to as “median” or “median range” in this CD&amp;A).</w:t>
      </w:r>
    </w:p>
    <w:p>
      <w:pPr>
        <w:ind w:left="149" w:right="140" w:hanging="149"/>
        <w:spacing w:after="0" w:line="246" w:lineRule="auto"/>
        <w:tabs>
          <w:tab w:leader="none" w:pos="145" w:val="left"/>
        </w:tabs>
        <w:numPr>
          <w:ilvl w:val="0"/>
          <w:numId w:val="62"/>
        </w:numPr>
        <w:rPr>
          <w:rFonts w:ascii="Arial" w:cs="Arial" w:eastAsia="Arial" w:hAnsi="Arial"/>
          <w:sz w:val="16"/>
          <w:szCs w:val="16"/>
          <w:b w:val="1"/>
          <w:bCs w:val="1"/>
          <w:color w:val="auto"/>
        </w:rPr>
      </w:pPr>
      <w:r>
        <w:rPr>
          <w:rFonts w:ascii="Arial" w:cs="Arial" w:eastAsia="Arial" w:hAnsi="Arial"/>
          <w:sz w:val="16"/>
          <w:szCs w:val="16"/>
          <w:color w:val="auto"/>
        </w:rPr>
        <w:t>The Compensation Committee may adjust a Named Executive’s target compensation, including setting it outside the median range, for a variety of reasons, including:</w:t>
      </w: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specific responsibilities;</w:t>
      </w:r>
    </w:p>
    <w:p>
      <w:pPr>
        <w:spacing w:after="0" w:line="23"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performance;</w:t>
      </w:r>
    </w:p>
    <w:p>
      <w:pPr>
        <w:spacing w:after="0" w:line="27"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tenure;</w:t>
      </w:r>
    </w:p>
    <w:p>
      <w:pPr>
        <w:spacing w:after="0" w:line="30"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experience;</w:t>
      </w:r>
    </w:p>
    <w:p>
      <w:pPr>
        <w:spacing w:after="0" w:line="23"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succession planning;</w:t>
      </w:r>
    </w:p>
    <w:p>
      <w:pPr>
        <w:spacing w:after="0" w:line="27"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internal equity; and</w:t>
      </w:r>
    </w:p>
    <w:p>
      <w:pPr>
        <w:spacing w:after="0" w:line="30" w:lineRule="exact"/>
        <w:rPr>
          <w:rFonts w:ascii="Arial" w:cs="Arial" w:eastAsia="Arial" w:hAnsi="Arial"/>
          <w:sz w:val="16"/>
          <w:szCs w:val="16"/>
          <w:color w:val="auto"/>
        </w:rPr>
      </w:pPr>
    </w:p>
    <w:p>
      <w:pPr>
        <w:ind w:left="649" w:hanging="137"/>
        <w:spacing w:after="0"/>
        <w:tabs>
          <w:tab w:leader="none" w:pos="649" w:val="left"/>
        </w:tabs>
        <w:numPr>
          <w:ilvl w:val="1"/>
          <w:numId w:val="62"/>
        </w:numPr>
        <w:rPr>
          <w:rFonts w:ascii="Arial" w:cs="Arial" w:eastAsia="Arial" w:hAnsi="Arial"/>
          <w:sz w:val="16"/>
          <w:szCs w:val="16"/>
          <w:color w:val="auto"/>
        </w:rPr>
      </w:pPr>
      <w:r>
        <w:rPr>
          <w:rFonts w:ascii="Arial" w:cs="Arial" w:eastAsia="Arial" w:hAnsi="Arial"/>
          <w:sz w:val="16"/>
          <w:szCs w:val="16"/>
          <w:color w:val="auto"/>
        </w:rPr>
        <w:t>other factors or situations that are not typically captured by looking at standard market data.</w:t>
      </w:r>
    </w:p>
    <w:p>
      <w:pPr>
        <w:spacing w:after="0" w:line="23" w:lineRule="exact"/>
        <w:rPr>
          <w:rFonts w:ascii="Arial" w:cs="Arial" w:eastAsia="Arial" w:hAnsi="Arial"/>
          <w:sz w:val="16"/>
          <w:szCs w:val="16"/>
          <w:color w:val="auto"/>
        </w:rPr>
      </w:pPr>
    </w:p>
    <w:p>
      <w:pPr>
        <w:jc w:val="both"/>
        <w:ind w:left="149" w:right="100" w:hanging="149"/>
        <w:spacing w:after="0" w:line="233" w:lineRule="auto"/>
        <w:tabs>
          <w:tab w:leader="none" w:pos="145" w:val="left"/>
        </w:tabs>
        <w:numPr>
          <w:ilvl w:val="0"/>
          <w:numId w:val="62"/>
        </w:numPr>
        <w:rPr>
          <w:rFonts w:ascii="Arial" w:cs="Arial" w:eastAsia="Arial" w:hAnsi="Arial"/>
          <w:sz w:val="16"/>
          <w:szCs w:val="16"/>
          <w:color w:val="auto"/>
        </w:rPr>
      </w:pPr>
      <w:r>
        <w:rPr>
          <w:rFonts w:ascii="Arial" w:cs="Arial" w:eastAsia="Arial" w:hAnsi="Arial"/>
          <w:sz w:val="16"/>
          <w:szCs w:val="16"/>
          <w:color w:val="auto"/>
        </w:rPr>
        <w:t>Compensation actually earned by a Named Executive may be outside the median range targeted, depending on the reasons listed above, achievement of performance goals, fluctuations in our stock price and/or satisfaction of vesting conditions.</w:t>
      </w:r>
    </w:p>
    <w:p>
      <w:pPr>
        <w:spacing w:after="0" w:line="4" w:lineRule="exact"/>
        <w:rPr>
          <w:sz w:val="20"/>
          <w:szCs w:val="20"/>
          <w:color w:val="auto"/>
        </w:rPr>
      </w:pPr>
    </w:p>
    <w:p>
      <w:pPr>
        <w:sectPr>
          <w:pgSz w:w="11900" w:h="16838" w:orient="portrait"/>
          <w:cols w:equalWidth="0" w:num="2">
            <w:col w:w="1851" w:space="720"/>
            <w:col w:w="8609"/>
          </w:cols>
          <w:pgMar w:left="320" w:top="123" w:right="39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FFFFFF"/>
        </w:rPr>
        <w:t>How We Benchmark Total Direct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099300" cy="139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099300" cy="139065"/>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type w:val="continuous"/>
        </w:sectPr>
      </w:pPr>
    </w:p>
    <w:p>
      <w:pPr>
        <w:spacing w:after="0" w:line="39" w:lineRule="exact"/>
        <w:rPr>
          <w:sz w:val="20"/>
          <w:szCs w:val="20"/>
          <w:color w:val="auto"/>
        </w:rPr>
      </w:pPr>
    </w:p>
    <w:p>
      <w:pPr>
        <w:jc w:val="both"/>
        <w:ind w:left="20" w:right="251"/>
        <w:spacing w:after="0" w:line="233" w:lineRule="auto"/>
        <w:rPr>
          <w:sz w:val="20"/>
          <w:szCs w:val="20"/>
          <w:color w:val="auto"/>
        </w:rPr>
      </w:pPr>
      <w:r>
        <w:rPr>
          <w:rFonts w:ascii="Arial" w:cs="Arial" w:eastAsia="Arial" w:hAnsi="Arial"/>
          <w:sz w:val="16"/>
          <w:szCs w:val="16"/>
          <w:b w:val="1"/>
          <w:bCs w:val="1"/>
          <w:color w:val="auto"/>
        </w:rPr>
        <w:t>Primary Benchmark: Custom Peer Group Proxy Data</w:t>
      </w:r>
    </w:p>
    <w:p>
      <w:pPr>
        <w:spacing w:after="0" w:line="20" w:lineRule="exact"/>
        <w:rPr>
          <w:sz w:val="20"/>
          <w:szCs w:val="20"/>
          <w:color w:val="auto"/>
        </w:rPr>
      </w:pPr>
      <w:r>
        <w:rPr>
          <w:sz w:val="20"/>
          <w:szCs w:val="20"/>
          <w:color w:val="auto"/>
        </w:rPr>
        <w:br w:type="column"/>
      </w:r>
    </w:p>
    <w:p>
      <w:pPr>
        <w:spacing w:after="0" w:line="64" w:lineRule="exact"/>
        <w:rPr>
          <w:sz w:val="20"/>
          <w:szCs w:val="20"/>
          <w:color w:val="auto"/>
        </w:rPr>
      </w:pPr>
    </w:p>
    <w:p>
      <w:pPr>
        <w:ind w:left="149" w:right="400" w:hanging="149"/>
        <w:spacing w:after="0" w:line="243" w:lineRule="auto"/>
        <w:tabs>
          <w:tab w:leader="none" w:pos="145"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color w:val="auto"/>
        </w:rPr>
        <w:t>To help determine 2022 target compensation for our Named Executives, the Compensation Committee reviewed proxy data for our custom peer group, which serves as the principal reference group.</w:t>
      </w:r>
    </w:p>
    <w:p>
      <w:pPr>
        <w:ind w:left="149" w:right="140" w:hanging="149"/>
        <w:spacing w:after="0" w:line="233" w:lineRule="auto"/>
        <w:tabs>
          <w:tab w:leader="none" w:pos="145" w:val="left"/>
        </w:tabs>
        <w:numPr>
          <w:ilvl w:val="0"/>
          <w:numId w:val="63"/>
        </w:numPr>
        <w:rPr>
          <w:rFonts w:ascii="Arial" w:cs="Arial" w:eastAsia="Arial" w:hAnsi="Arial"/>
          <w:sz w:val="16"/>
          <w:szCs w:val="16"/>
          <w:b w:val="1"/>
          <w:bCs w:val="1"/>
          <w:i w:val="1"/>
          <w:iCs w:val="1"/>
          <w:color w:val="auto"/>
        </w:rPr>
      </w:pPr>
      <w:r>
        <w:rPr>
          <w:rFonts w:ascii="Arial" w:cs="Arial" w:eastAsia="Arial" w:hAnsi="Arial"/>
          <w:sz w:val="16"/>
          <w:szCs w:val="16"/>
          <w:color w:val="auto"/>
        </w:rPr>
        <w:t>The custom peer group consisted of 15 companies with whom we compete for executive talent from the aerospace and defense and other related industries. The companies comprising our custom peer group for the 2022 review are listed at the end of this CD&amp;A.</w:t>
      </w:r>
    </w:p>
    <w:p>
      <w:pPr>
        <w:ind w:left="149" w:hanging="149"/>
        <w:spacing w:after="0"/>
        <w:tabs>
          <w:tab w:leader="none" w:pos="149"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committee also utilizes the custom peer group to benchmark the design of our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-1633855</wp:posOffset>
            </wp:positionH>
            <wp:positionV relativeFrom="paragraph">
              <wp:posOffset>20320</wp:posOffset>
            </wp:positionV>
            <wp:extent cx="709930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099300"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51" w:space="720"/>
            <w:col w:w="8609"/>
          </w:cols>
          <w:pgMar w:left="320" w:top="123" w:right="399" w:bottom="1440" w:gutter="0" w:footer="0" w:header="0"/>
          <w:type w:val="continuous"/>
        </w:sectPr>
      </w:pPr>
    </w:p>
    <w:p>
      <w:pPr>
        <w:spacing w:after="0" w:line="368" w:lineRule="exact"/>
        <w:rPr>
          <w:sz w:val="20"/>
          <w:szCs w:val="20"/>
          <w:color w:val="auto"/>
        </w:rPr>
      </w:pPr>
    </w:p>
    <w:p>
      <w:pPr>
        <w:spacing w:after="0"/>
        <w:rPr>
          <w:sz w:val="20"/>
          <w:szCs w:val="20"/>
          <w:color w:val="auto"/>
        </w:rPr>
      </w:pPr>
      <w:r>
        <w:rPr>
          <w:rFonts w:ascii="Arial" w:cs="Arial" w:eastAsia="Arial" w:hAnsi="Arial"/>
          <w:sz w:val="15"/>
          <w:szCs w:val="15"/>
          <w:b w:val="1"/>
          <w:bCs w:val="1"/>
          <w:color w:val="2C2C2C"/>
        </w:rPr>
        <w:t xml:space="preserve">28 </w:t>
      </w:r>
      <w:r>
        <w:rPr>
          <w:sz w:val="1"/>
          <w:szCs w:val="1"/>
          <w:color w:val="auto"/>
        </w:rPr>
        <w:drawing>
          <wp:inline distT="0" distB="0" distL="0" distR="0">
            <wp:extent cx="401955" cy="16256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5"/>
          <w:szCs w:val="15"/>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171055"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type w:val="continuous"/>
        </w:sectPr>
      </w:pPr>
    </w:p>
    <w:bookmarkStart w:id="40" w:name="page41"/>
    <w:bookmarkEnd w:id="40"/>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296545</wp:posOffset>
            </wp:positionV>
            <wp:extent cx="7099300"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099300" cy="762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20"/>
        <w:spacing w:after="0" w:line="218" w:lineRule="auto"/>
        <w:rPr>
          <w:sz w:val="20"/>
          <w:szCs w:val="20"/>
          <w:color w:val="auto"/>
        </w:rPr>
      </w:pPr>
      <w:r>
        <w:rPr>
          <w:rFonts w:ascii="Arial" w:cs="Arial" w:eastAsia="Arial" w:hAnsi="Arial"/>
          <w:sz w:val="16"/>
          <w:szCs w:val="16"/>
          <w:b w:val="1"/>
          <w:bCs w:val="1"/>
          <w:color w:val="auto"/>
        </w:rPr>
        <w:t>Secondary Benchmark: Willis Towers Watson General Industry Executive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Survey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3" w:lineRule="exact"/>
        <w:rPr>
          <w:sz w:val="20"/>
          <w:szCs w:val="20"/>
          <w:color w:val="auto"/>
        </w:rPr>
      </w:pPr>
    </w:p>
    <w:p>
      <w:pPr>
        <w:ind w:left="149" w:right="180" w:hanging="149"/>
        <w:spacing w:after="0" w:line="243" w:lineRule="auto"/>
        <w:tabs>
          <w:tab w:leader="none" w:pos="145" w:val="left"/>
        </w:tabs>
        <w:numPr>
          <w:ilvl w:val="0"/>
          <w:numId w:val="64"/>
        </w:numPr>
        <w:rPr>
          <w:rFonts w:ascii="Arial" w:cs="Arial" w:eastAsia="Arial" w:hAnsi="Arial"/>
          <w:sz w:val="16"/>
          <w:szCs w:val="16"/>
          <w:b w:val="1"/>
          <w:bCs w:val="1"/>
          <w:i w:val="1"/>
          <w:iCs w:val="1"/>
          <w:color w:val="auto"/>
        </w:rPr>
      </w:pPr>
      <w:r>
        <w:rPr>
          <w:rFonts w:ascii="Arial" w:cs="Arial" w:eastAsia="Arial" w:hAnsi="Arial"/>
          <w:sz w:val="16"/>
          <w:szCs w:val="16"/>
          <w:color w:val="auto"/>
        </w:rPr>
        <w:t>In addition, the Compensation Committee reviewed Willis Towers Watson survey data as a secondary benchmark for reviewing Named Executive compensation.</w:t>
      </w:r>
    </w:p>
    <w:p>
      <w:pPr>
        <w:ind w:left="149" w:right="500" w:hanging="149"/>
        <w:spacing w:after="0" w:line="248" w:lineRule="auto"/>
        <w:tabs>
          <w:tab w:leader="none" w:pos="145" w:val="left"/>
        </w:tabs>
        <w:numPr>
          <w:ilvl w:val="0"/>
          <w:numId w:val="64"/>
        </w:numPr>
        <w:rPr>
          <w:rFonts w:ascii="Arial" w:cs="Arial" w:eastAsia="Arial" w:hAnsi="Arial"/>
          <w:sz w:val="16"/>
          <w:szCs w:val="16"/>
          <w:color w:val="auto"/>
        </w:rPr>
      </w:pPr>
      <w:r>
        <w:rPr>
          <w:rFonts w:ascii="Arial" w:cs="Arial" w:eastAsia="Arial" w:hAnsi="Arial"/>
          <w:sz w:val="16"/>
          <w:szCs w:val="16"/>
          <w:color w:val="auto"/>
        </w:rPr>
        <w:t>Survey data sourced from Willis Towers Watson’s 2021 General Industry Executive Compensation Survey with a focus on companies with revenues between $1B and $3B.</w:t>
      </w:r>
    </w:p>
    <w:p>
      <w:pPr>
        <w:spacing w:after="0" w:line="1" w:lineRule="exact"/>
        <w:rPr>
          <w:sz w:val="20"/>
          <w:szCs w:val="20"/>
          <w:color w:val="auto"/>
        </w:rPr>
      </w:pPr>
    </w:p>
    <w:p>
      <w:pPr>
        <w:sectPr>
          <w:pgSz w:w="11900" w:h="16838" w:orient="portrait"/>
          <w:cols w:equalWidth="0" w:num="2">
            <w:col w:w="2320" w:space="251"/>
            <w:col w:w="8689"/>
          </w:cols>
          <w:pgMar w:left="320" w:top="123" w:right="319" w:bottom="1440" w:gutter="0" w:footer="0" w:header="0"/>
          <w:type w:val="continuous"/>
        </w:sectPr>
      </w:pPr>
    </w:p>
    <w:tbl>
      <w:tblPr>
        <w:tblLayout w:type="fixed"/>
        <w:tblInd w:w="0" w:type="dxa"/>
        <w:tblCellMar>
          <w:top w:w="0" w:type="dxa"/>
          <w:left w:w="0" w:type="dxa"/>
          <w:bottom w:w="0" w:type="dxa"/>
          <w:right w:w="0" w:type="dxa"/>
        </w:tblCellMar>
      </w:tblPr>
      <w:tr>
        <w:trPr>
          <w:trHeight w:val="193"/>
        </w:trPr>
        <w:tc>
          <w:tcPr>
            <w:tcW w:w="186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Annual Review</w:t>
            </w:r>
          </w:p>
        </w:tc>
        <w:tc>
          <w:tcPr>
            <w:tcW w:w="9320" w:type="dxa"/>
            <w:vAlign w:val="bottom"/>
            <w:tcBorders>
              <w:top w:val="single" w:sz="8" w:color="auto"/>
            </w:tcBorders>
          </w:tcPr>
          <w:p>
            <w:pPr>
              <w:ind w:left="720"/>
              <w:spacing w:after="0"/>
              <w:rPr>
                <w:sz w:val="20"/>
                <w:szCs w:val="20"/>
                <w:color w:val="auto"/>
              </w:rPr>
            </w:pP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Compensation Committee reviewed each element of target compensation at the 25th, 50th (median) and 75th</w:t>
            </w:r>
          </w:p>
        </w:tc>
      </w:tr>
      <w:tr>
        <w:trPr>
          <w:trHeight w:val="158"/>
        </w:trPr>
        <w:tc>
          <w:tcPr>
            <w:tcW w:w="1860" w:type="dxa"/>
            <w:vAlign w:val="bottom"/>
          </w:tcPr>
          <w:p>
            <w:pPr>
              <w:spacing w:after="0"/>
              <w:rPr>
                <w:sz w:val="13"/>
                <w:szCs w:val="13"/>
                <w:color w:val="auto"/>
              </w:rPr>
            </w:pPr>
          </w:p>
        </w:tc>
        <w:tc>
          <w:tcPr>
            <w:tcW w:w="9320" w:type="dxa"/>
            <w:vAlign w:val="bottom"/>
          </w:tcPr>
          <w:p>
            <w:pPr>
              <w:ind w:left="860"/>
              <w:spacing w:after="0" w:line="158" w:lineRule="exact"/>
              <w:rPr>
                <w:sz w:val="20"/>
                <w:szCs w:val="20"/>
                <w:color w:val="auto"/>
              </w:rPr>
            </w:pPr>
            <w:r>
              <w:rPr>
                <w:rFonts w:ascii="Arial" w:cs="Arial" w:eastAsia="Arial" w:hAnsi="Arial"/>
                <w:sz w:val="16"/>
                <w:szCs w:val="16"/>
                <w:color w:val="auto"/>
              </w:rPr>
              <w:t>percentiles of the two benchmark groups to determine current positioning and whether any changes were warranted</w:t>
            </w:r>
          </w:p>
        </w:tc>
      </w:tr>
      <w:tr>
        <w:trPr>
          <w:trHeight w:val="217"/>
        </w:trPr>
        <w:tc>
          <w:tcPr>
            <w:tcW w:w="1860" w:type="dxa"/>
            <w:vAlign w:val="bottom"/>
            <w:tcBorders>
              <w:bottom w:val="single" w:sz="8" w:color="auto"/>
            </w:tcBorders>
          </w:tcPr>
          <w:p>
            <w:pPr>
              <w:spacing w:after="0"/>
              <w:rPr>
                <w:sz w:val="18"/>
                <w:szCs w:val="18"/>
                <w:color w:val="auto"/>
              </w:rPr>
            </w:pPr>
          </w:p>
        </w:tc>
        <w:tc>
          <w:tcPr>
            <w:tcW w:w="9320" w:type="dxa"/>
            <w:vAlign w:val="bottom"/>
            <w:tcBorders>
              <w:bottom w:val="single" w:sz="8" w:color="auto"/>
            </w:tcBorders>
          </w:tcPr>
          <w:p>
            <w:pPr>
              <w:ind w:left="860"/>
              <w:spacing w:after="0"/>
              <w:rPr>
                <w:sz w:val="20"/>
                <w:szCs w:val="20"/>
                <w:color w:val="auto"/>
              </w:rPr>
            </w:pPr>
            <w:r>
              <w:rPr>
                <w:rFonts w:ascii="Arial" w:cs="Arial" w:eastAsia="Arial" w:hAnsi="Arial"/>
                <w:sz w:val="16"/>
                <w:szCs w:val="16"/>
                <w:color w:val="auto"/>
              </w:rPr>
              <w:t>for 2022 target compensation.</w:t>
            </w:r>
          </w:p>
        </w:tc>
      </w:tr>
    </w:tbl>
    <w:p>
      <w:pPr>
        <w:spacing w:after="0" w:line="20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3: COMPENSATION ANALYSIS AND OUTCOMES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TARGET TOTAL DIRECT COMPENSATION OVERVIEW</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shows the 2022 target total direct compensation for each Named Executive.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TARGET TOTAL DIRECT COMPENSATION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12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179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Annual</w:t>
            </w:r>
          </w:p>
        </w:tc>
        <w:tc>
          <w:tcPr>
            <w:tcW w:w="20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Annual</w:t>
            </w:r>
          </w:p>
        </w:tc>
        <w:tc>
          <w:tcPr>
            <w:tcW w:w="200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Long-Term</w:t>
            </w:r>
          </w:p>
        </w:tc>
        <w:tc>
          <w:tcPr>
            <w:tcW w:w="21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Target Total Direct</w:t>
            </w:r>
          </w:p>
        </w:tc>
        <w:tc>
          <w:tcPr>
            <w:tcW w:w="0" w:type="dxa"/>
            <w:vAlign w:val="bottom"/>
          </w:tcPr>
          <w:p>
            <w:pPr>
              <w:spacing w:after="0"/>
              <w:rPr>
                <w:sz w:val="1"/>
                <w:szCs w:val="1"/>
                <w:color w:val="auto"/>
              </w:rPr>
            </w:pPr>
          </w:p>
        </w:tc>
      </w:tr>
      <w:tr>
        <w:trPr>
          <w:trHeight w:val="126"/>
        </w:trPr>
        <w:tc>
          <w:tcPr>
            <w:tcW w:w="312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FFFFF"/>
              </w:rPr>
              <w:t>Named Executive</w:t>
            </w:r>
          </w:p>
        </w:tc>
        <w:tc>
          <w:tcPr>
            <w:tcW w:w="100" w:type="dxa"/>
            <w:vAlign w:val="bottom"/>
            <w:shd w:val="clear" w:color="auto" w:fill="000000"/>
          </w:tcPr>
          <w:p>
            <w:pPr>
              <w:spacing w:after="0"/>
              <w:rPr>
                <w:sz w:val="10"/>
                <w:szCs w:val="10"/>
                <w:color w:val="auto"/>
              </w:rPr>
            </w:pPr>
          </w:p>
        </w:tc>
        <w:tc>
          <w:tcPr>
            <w:tcW w:w="1795" w:type="dxa"/>
            <w:vAlign w:val="bottom"/>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rPr>
              <w:t>Base Salary</w:t>
            </w:r>
          </w:p>
        </w:tc>
        <w:tc>
          <w:tcPr>
            <w:tcW w:w="2060" w:type="dxa"/>
            <w:vAlign w:val="bottom"/>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rPr>
              <w:t>Incentive</w:t>
            </w:r>
          </w:p>
        </w:tc>
        <w:tc>
          <w:tcPr>
            <w:tcW w:w="2005" w:type="dxa"/>
            <w:vAlign w:val="bottom"/>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9"/>
              </w:rPr>
              <w:t>Incentive</w:t>
            </w:r>
          </w:p>
        </w:tc>
        <w:tc>
          <w:tcPr>
            <w:tcW w:w="2180" w:type="dxa"/>
            <w:vAlign w:val="bottom"/>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9"/>
              </w:rPr>
              <w:t>Compensation</w:t>
            </w:r>
          </w:p>
        </w:tc>
        <w:tc>
          <w:tcPr>
            <w:tcW w:w="0" w:type="dxa"/>
            <w:vAlign w:val="bottom"/>
          </w:tcPr>
          <w:p>
            <w:pPr>
              <w:spacing w:after="0"/>
              <w:rPr>
                <w:sz w:val="1"/>
                <w:szCs w:val="1"/>
                <w:color w:val="auto"/>
              </w:rPr>
            </w:pPr>
          </w:p>
        </w:tc>
      </w:tr>
      <w:tr>
        <w:trPr>
          <w:trHeight w:val="190"/>
        </w:trPr>
        <w:tc>
          <w:tcPr>
            <w:tcW w:w="3120" w:type="dxa"/>
            <w:vAlign w:val="bottom"/>
            <w:vMerge w:val="continue"/>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79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20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87"/>
              </w:rPr>
              <w:t>($)</w:t>
            </w:r>
          </w:p>
        </w:tc>
        <w:tc>
          <w:tcPr>
            <w:tcW w:w="200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21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w:t>
            </w:r>
          </w:p>
        </w:tc>
        <w:tc>
          <w:tcPr>
            <w:tcW w:w="0" w:type="dxa"/>
            <w:vAlign w:val="bottom"/>
          </w:tcPr>
          <w:p>
            <w:pPr>
              <w:spacing w:after="0"/>
              <w:rPr>
                <w:sz w:val="1"/>
                <w:szCs w:val="1"/>
                <w:color w:val="auto"/>
              </w:rPr>
            </w:pPr>
          </w:p>
        </w:tc>
      </w:tr>
      <w:tr>
        <w:trPr>
          <w:trHeight w:val="202"/>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Rex D. Geveden</w:t>
            </w:r>
          </w:p>
        </w:tc>
        <w:tc>
          <w:tcPr>
            <w:tcW w:w="1795" w:type="dxa"/>
            <w:vAlign w:val="bottom"/>
          </w:tcPr>
          <w:p>
            <w:pPr>
              <w:jc w:val="center"/>
              <w:spacing w:after="0"/>
              <w:rPr>
                <w:sz w:val="20"/>
                <w:szCs w:val="20"/>
                <w:color w:val="auto"/>
              </w:rPr>
            </w:pPr>
            <w:r>
              <w:rPr>
                <w:rFonts w:ascii="Arial" w:cs="Arial" w:eastAsia="Arial" w:hAnsi="Arial"/>
                <w:sz w:val="16"/>
                <w:szCs w:val="16"/>
                <w:color w:val="auto"/>
              </w:rPr>
              <w:t>925,000</w:t>
            </w:r>
          </w:p>
        </w:tc>
        <w:tc>
          <w:tcPr>
            <w:tcW w:w="2060" w:type="dxa"/>
            <w:vAlign w:val="bottom"/>
          </w:tcPr>
          <w:p>
            <w:pPr>
              <w:jc w:val="center"/>
              <w:spacing w:after="0"/>
              <w:rPr>
                <w:sz w:val="20"/>
                <w:szCs w:val="20"/>
                <w:color w:val="auto"/>
              </w:rPr>
            </w:pPr>
            <w:r>
              <w:rPr>
                <w:rFonts w:ascii="Arial" w:cs="Arial" w:eastAsia="Arial" w:hAnsi="Arial"/>
                <w:sz w:val="16"/>
                <w:szCs w:val="16"/>
                <w:color w:val="auto"/>
              </w:rPr>
              <w:t>925,000</w:t>
            </w:r>
          </w:p>
        </w:tc>
        <w:tc>
          <w:tcPr>
            <w:tcW w:w="2005" w:type="dxa"/>
            <w:vAlign w:val="bottom"/>
          </w:tcPr>
          <w:p>
            <w:pPr>
              <w:jc w:val="center"/>
              <w:spacing w:after="0"/>
              <w:rPr>
                <w:sz w:val="20"/>
                <w:szCs w:val="20"/>
                <w:color w:val="auto"/>
              </w:rPr>
            </w:pPr>
            <w:r>
              <w:rPr>
                <w:rFonts w:ascii="Arial" w:cs="Arial" w:eastAsia="Arial" w:hAnsi="Arial"/>
                <w:sz w:val="16"/>
                <w:szCs w:val="16"/>
                <w:color w:val="auto"/>
              </w:rPr>
              <w:t>3,500,000</w:t>
            </w:r>
          </w:p>
        </w:tc>
        <w:tc>
          <w:tcPr>
            <w:tcW w:w="2180" w:type="dxa"/>
            <w:vAlign w:val="bottom"/>
          </w:tcPr>
          <w:p>
            <w:pPr>
              <w:jc w:val="center"/>
              <w:spacing w:after="0"/>
              <w:rPr>
                <w:sz w:val="20"/>
                <w:szCs w:val="20"/>
                <w:color w:val="auto"/>
              </w:rPr>
            </w:pPr>
            <w:r>
              <w:rPr>
                <w:rFonts w:ascii="Arial" w:cs="Arial" w:eastAsia="Arial" w:hAnsi="Arial"/>
                <w:sz w:val="16"/>
                <w:szCs w:val="16"/>
                <w:color w:val="auto"/>
              </w:rPr>
              <w:t>5,350,000</w:t>
            </w:r>
          </w:p>
        </w:tc>
        <w:tc>
          <w:tcPr>
            <w:tcW w:w="0" w:type="dxa"/>
            <w:vAlign w:val="bottom"/>
          </w:tcPr>
          <w:p>
            <w:pPr>
              <w:spacing w:after="0"/>
              <w:rPr>
                <w:sz w:val="1"/>
                <w:szCs w:val="1"/>
                <w:color w:val="auto"/>
              </w:rPr>
            </w:pPr>
          </w:p>
        </w:tc>
      </w:tr>
      <w:tr>
        <w:trPr>
          <w:trHeight w:val="204"/>
        </w:trPr>
        <w:tc>
          <w:tcPr>
            <w:tcW w:w="3220" w:type="dxa"/>
            <w:vAlign w:val="bottom"/>
            <w:gridSpan w:val="2"/>
          </w:tcPr>
          <w:p>
            <w:pPr>
              <w:ind w:left="20"/>
              <w:spacing w:after="0"/>
              <w:rPr>
                <w:sz w:val="20"/>
                <w:szCs w:val="20"/>
                <w:color w:val="auto"/>
              </w:rPr>
            </w:pPr>
            <w:r>
              <w:rPr>
                <w:rFonts w:ascii="Arial" w:cs="Arial" w:eastAsia="Arial" w:hAnsi="Arial"/>
                <w:sz w:val="16"/>
                <w:szCs w:val="16"/>
                <w:color w:val="auto"/>
              </w:rPr>
              <w:t>Robb A. LeMasters</w:t>
            </w:r>
          </w:p>
        </w:tc>
        <w:tc>
          <w:tcPr>
            <w:tcW w:w="1795" w:type="dxa"/>
            <w:vAlign w:val="bottom"/>
          </w:tcPr>
          <w:p>
            <w:pPr>
              <w:jc w:val="center"/>
              <w:spacing w:after="0"/>
              <w:rPr>
                <w:sz w:val="20"/>
                <w:szCs w:val="20"/>
                <w:color w:val="auto"/>
              </w:rPr>
            </w:pPr>
            <w:r>
              <w:rPr>
                <w:rFonts w:ascii="Arial" w:cs="Arial" w:eastAsia="Arial" w:hAnsi="Arial"/>
                <w:sz w:val="16"/>
                <w:szCs w:val="16"/>
                <w:color w:val="auto"/>
              </w:rPr>
              <w:t>500,000</w:t>
            </w:r>
          </w:p>
        </w:tc>
        <w:tc>
          <w:tcPr>
            <w:tcW w:w="2060" w:type="dxa"/>
            <w:vAlign w:val="bottom"/>
          </w:tcPr>
          <w:p>
            <w:pPr>
              <w:jc w:val="center"/>
              <w:spacing w:after="0"/>
              <w:rPr>
                <w:sz w:val="20"/>
                <w:szCs w:val="20"/>
                <w:color w:val="auto"/>
              </w:rPr>
            </w:pPr>
            <w:r>
              <w:rPr>
                <w:rFonts w:ascii="Arial" w:cs="Arial" w:eastAsia="Arial" w:hAnsi="Arial"/>
                <w:sz w:val="16"/>
                <w:szCs w:val="16"/>
                <w:color w:val="auto"/>
              </w:rPr>
              <w:t>350,000</w:t>
            </w:r>
          </w:p>
        </w:tc>
        <w:tc>
          <w:tcPr>
            <w:tcW w:w="2005" w:type="dxa"/>
            <w:vAlign w:val="bottom"/>
          </w:tcPr>
          <w:p>
            <w:pPr>
              <w:jc w:val="center"/>
              <w:spacing w:after="0"/>
              <w:rPr>
                <w:sz w:val="20"/>
                <w:szCs w:val="20"/>
                <w:color w:val="auto"/>
              </w:rPr>
            </w:pPr>
            <w:r>
              <w:rPr>
                <w:rFonts w:ascii="Arial" w:cs="Arial" w:eastAsia="Arial" w:hAnsi="Arial"/>
                <w:sz w:val="16"/>
                <w:szCs w:val="16"/>
                <w:color w:val="auto"/>
              </w:rPr>
              <w:t>700,000</w:t>
            </w:r>
          </w:p>
        </w:tc>
        <w:tc>
          <w:tcPr>
            <w:tcW w:w="2180" w:type="dxa"/>
            <w:vAlign w:val="bottom"/>
          </w:tcPr>
          <w:p>
            <w:pPr>
              <w:jc w:val="center"/>
              <w:spacing w:after="0"/>
              <w:rPr>
                <w:sz w:val="20"/>
                <w:szCs w:val="20"/>
                <w:color w:val="auto"/>
              </w:rPr>
            </w:pPr>
            <w:r>
              <w:rPr>
                <w:rFonts w:ascii="Arial" w:cs="Arial" w:eastAsia="Arial" w:hAnsi="Arial"/>
                <w:sz w:val="16"/>
                <w:szCs w:val="16"/>
                <w:color w:val="auto"/>
              </w:rPr>
              <w:t>1,550,000</w:t>
            </w:r>
          </w:p>
        </w:tc>
        <w:tc>
          <w:tcPr>
            <w:tcW w:w="0" w:type="dxa"/>
            <w:vAlign w:val="bottom"/>
          </w:tcPr>
          <w:p>
            <w:pPr>
              <w:spacing w:after="0"/>
              <w:rPr>
                <w:sz w:val="1"/>
                <w:szCs w:val="1"/>
                <w:color w:val="auto"/>
              </w:rPr>
            </w:pPr>
          </w:p>
        </w:tc>
      </w:tr>
      <w:tr>
        <w:trPr>
          <w:trHeight w:val="207"/>
        </w:trPr>
        <w:tc>
          <w:tcPr>
            <w:tcW w:w="32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Thomas E. McCabe</w:t>
            </w:r>
            <w:r>
              <w:rPr>
                <w:rFonts w:ascii="Arial" w:cs="Arial" w:eastAsia="Arial" w:hAnsi="Arial"/>
                <w:sz w:val="21"/>
                <w:szCs w:val="21"/>
                <w:color w:val="auto"/>
                <w:vertAlign w:val="superscript"/>
              </w:rPr>
              <w:t>(1)</w:t>
            </w:r>
          </w:p>
        </w:tc>
        <w:tc>
          <w:tcPr>
            <w:tcW w:w="1795" w:type="dxa"/>
            <w:vAlign w:val="bottom"/>
          </w:tcPr>
          <w:p>
            <w:pPr>
              <w:jc w:val="center"/>
              <w:spacing w:after="0"/>
              <w:rPr>
                <w:sz w:val="20"/>
                <w:szCs w:val="20"/>
                <w:color w:val="auto"/>
              </w:rPr>
            </w:pPr>
            <w:r>
              <w:rPr>
                <w:rFonts w:ascii="Arial" w:cs="Arial" w:eastAsia="Arial" w:hAnsi="Arial"/>
                <w:sz w:val="16"/>
                <w:szCs w:val="16"/>
                <w:color w:val="auto"/>
              </w:rPr>
              <w:t>545,000</w:t>
            </w:r>
          </w:p>
        </w:tc>
        <w:tc>
          <w:tcPr>
            <w:tcW w:w="2060" w:type="dxa"/>
            <w:vAlign w:val="bottom"/>
          </w:tcPr>
          <w:p>
            <w:pPr>
              <w:jc w:val="center"/>
              <w:spacing w:after="0"/>
              <w:rPr>
                <w:sz w:val="20"/>
                <w:szCs w:val="20"/>
                <w:color w:val="auto"/>
              </w:rPr>
            </w:pPr>
            <w:r>
              <w:rPr>
                <w:rFonts w:ascii="Arial" w:cs="Arial" w:eastAsia="Arial" w:hAnsi="Arial"/>
                <w:sz w:val="16"/>
                <w:szCs w:val="16"/>
                <w:color w:val="auto"/>
              </w:rPr>
              <w:t>354,250</w:t>
            </w:r>
          </w:p>
        </w:tc>
        <w:tc>
          <w:tcPr>
            <w:tcW w:w="2005" w:type="dxa"/>
            <w:vAlign w:val="bottom"/>
          </w:tcPr>
          <w:p>
            <w:pPr>
              <w:jc w:val="center"/>
              <w:spacing w:after="0"/>
              <w:rPr>
                <w:sz w:val="20"/>
                <w:szCs w:val="20"/>
                <w:color w:val="auto"/>
              </w:rPr>
            </w:pPr>
            <w:r>
              <w:rPr>
                <w:rFonts w:ascii="Arial" w:cs="Arial" w:eastAsia="Arial" w:hAnsi="Arial"/>
                <w:sz w:val="16"/>
                <w:szCs w:val="16"/>
                <w:color w:val="auto"/>
              </w:rPr>
              <w:t>600,000</w:t>
            </w:r>
          </w:p>
        </w:tc>
        <w:tc>
          <w:tcPr>
            <w:tcW w:w="2180" w:type="dxa"/>
            <w:vAlign w:val="bottom"/>
          </w:tcPr>
          <w:p>
            <w:pPr>
              <w:jc w:val="center"/>
              <w:spacing w:after="0"/>
              <w:rPr>
                <w:sz w:val="20"/>
                <w:szCs w:val="20"/>
                <w:color w:val="auto"/>
              </w:rPr>
            </w:pPr>
            <w:r>
              <w:rPr>
                <w:rFonts w:ascii="Arial" w:cs="Arial" w:eastAsia="Arial" w:hAnsi="Arial"/>
                <w:sz w:val="16"/>
                <w:szCs w:val="16"/>
                <w:color w:val="auto"/>
              </w:rPr>
              <w:t>1,499,250</w:t>
            </w:r>
          </w:p>
        </w:tc>
        <w:tc>
          <w:tcPr>
            <w:tcW w:w="0" w:type="dxa"/>
            <w:vAlign w:val="bottom"/>
          </w:tcPr>
          <w:p>
            <w:pPr>
              <w:spacing w:after="0"/>
              <w:rPr>
                <w:sz w:val="1"/>
                <w:szCs w:val="1"/>
                <w:color w:val="auto"/>
              </w:rPr>
            </w:pPr>
          </w:p>
        </w:tc>
      </w:tr>
      <w:tr>
        <w:trPr>
          <w:trHeight w:val="207"/>
        </w:trPr>
        <w:tc>
          <w:tcPr>
            <w:tcW w:w="3220" w:type="dxa"/>
            <w:vAlign w:val="bottom"/>
            <w:gridSpan w:val="2"/>
          </w:tcPr>
          <w:p>
            <w:pPr>
              <w:ind w:left="20"/>
              <w:spacing w:after="0" w:line="207" w:lineRule="exact"/>
              <w:rPr>
                <w:sz w:val="20"/>
                <w:szCs w:val="20"/>
                <w:color w:val="auto"/>
              </w:rPr>
            </w:pPr>
            <w:r>
              <w:rPr>
                <w:rFonts w:ascii="Arial" w:cs="Arial" w:eastAsia="Arial" w:hAnsi="Arial"/>
                <w:sz w:val="16"/>
                <w:szCs w:val="16"/>
                <w:color w:val="auto"/>
              </w:rPr>
              <w:t>Kevin M. McCoy</w:t>
            </w:r>
            <w:r>
              <w:rPr>
                <w:rFonts w:ascii="Arial" w:cs="Arial" w:eastAsia="Arial" w:hAnsi="Arial"/>
                <w:sz w:val="21"/>
                <w:szCs w:val="21"/>
                <w:color w:val="auto"/>
                <w:vertAlign w:val="superscript"/>
              </w:rPr>
              <w:t>(2)</w:t>
            </w:r>
          </w:p>
        </w:tc>
        <w:tc>
          <w:tcPr>
            <w:tcW w:w="1795" w:type="dxa"/>
            <w:vAlign w:val="bottom"/>
          </w:tcPr>
          <w:p>
            <w:pPr>
              <w:jc w:val="center"/>
              <w:spacing w:after="0"/>
              <w:rPr>
                <w:sz w:val="20"/>
                <w:szCs w:val="20"/>
                <w:color w:val="auto"/>
              </w:rPr>
            </w:pPr>
            <w:r>
              <w:rPr>
                <w:rFonts w:ascii="Arial" w:cs="Arial" w:eastAsia="Arial" w:hAnsi="Arial"/>
                <w:sz w:val="16"/>
                <w:szCs w:val="16"/>
                <w:color w:val="auto"/>
              </w:rPr>
              <w:t>735,000</w:t>
            </w:r>
          </w:p>
        </w:tc>
        <w:tc>
          <w:tcPr>
            <w:tcW w:w="2060" w:type="dxa"/>
            <w:vAlign w:val="bottom"/>
          </w:tcPr>
          <w:p>
            <w:pPr>
              <w:jc w:val="center"/>
              <w:spacing w:after="0"/>
              <w:rPr>
                <w:sz w:val="20"/>
                <w:szCs w:val="20"/>
                <w:color w:val="auto"/>
              </w:rPr>
            </w:pPr>
            <w:r>
              <w:rPr>
                <w:rFonts w:ascii="Arial" w:cs="Arial" w:eastAsia="Arial" w:hAnsi="Arial"/>
                <w:sz w:val="16"/>
                <w:szCs w:val="16"/>
                <w:color w:val="auto"/>
              </w:rPr>
              <w:t>477,750</w:t>
            </w:r>
          </w:p>
        </w:tc>
        <w:tc>
          <w:tcPr>
            <w:tcW w:w="2005" w:type="dxa"/>
            <w:vAlign w:val="bottom"/>
          </w:tcPr>
          <w:p>
            <w:pPr>
              <w:jc w:val="center"/>
              <w:spacing w:after="0"/>
              <w:rPr>
                <w:sz w:val="20"/>
                <w:szCs w:val="20"/>
                <w:color w:val="auto"/>
              </w:rPr>
            </w:pPr>
            <w:r>
              <w:rPr>
                <w:rFonts w:ascii="Arial" w:cs="Arial" w:eastAsia="Arial" w:hAnsi="Arial"/>
                <w:sz w:val="16"/>
                <w:szCs w:val="16"/>
                <w:color w:val="auto"/>
              </w:rPr>
              <w:t>350,000</w:t>
            </w:r>
          </w:p>
        </w:tc>
        <w:tc>
          <w:tcPr>
            <w:tcW w:w="2180" w:type="dxa"/>
            <w:vAlign w:val="bottom"/>
          </w:tcPr>
          <w:p>
            <w:pPr>
              <w:jc w:val="center"/>
              <w:spacing w:after="0"/>
              <w:rPr>
                <w:sz w:val="20"/>
                <w:szCs w:val="20"/>
                <w:color w:val="auto"/>
              </w:rPr>
            </w:pPr>
            <w:r>
              <w:rPr>
                <w:rFonts w:ascii="Arial" w:cs="Arial" w:eastAsia="Arial" w:hAnsi="Arial"/>
                <w:sz w:val="16"/>
                <w:szCs w:val="16"/>
                <w:color w:val="auto"/>
              </w:rPr>
              <w:t>1,562,750</w:t>
            </w:r>
          </w:p>
        </w:tc>
        <w:tc>
          <w:tcPr>
            <w:tcW w:w="0" w:type="dxa"/>
            <w:vAlign w:val="bottom"/>
          </w:tcPr>
          <w:p>
            <w:pPr>
              <w:spacing w:after="0"/>
              <w:rPr>
                <w:sz w:val="1"/>
                <w:szCs w:val="1"/>
                <w:color w:val="auto"/>
              </w:rPr>
            </w:pPr>
          </w:p>
        </w:tc>
      </w:tr>
      <w:tr>
        <w:trPr>
          <w:trHeight w:val="224"/>
        </w:trPr>
        <w:tc>
          <w:tcPr>
            <w:tcW w:w="3220" w:type="dxa"/>
            <w:vAlign w:val="bottom"/>
            <w:gridSpan w:val="2"/>
          </w:tcPr>
          <w:p>
            <w:pPr>
              <w:ind w:left="20"/>
              <w:spacing w:after="0" w:line="224" w:lineRule="exact"/>
              <w:rPr>
                <w:sz w:val="20"/>
                <w:szCs w:val="20"/>
                <w:color w:val="auto"/>
              </w:rPr>
            </w:pPr>
            <w:r>
              <w:rPr>
                <w:rFonts w:ascii="Arial" w:cs="Arial" w:eastAsia="Arial" w:hAnsi="Arial"/>
                <w:sz w:val="16"/>
                <w:szCs w:val="16"/>
                <w:color w:val="auto"/>
              </w:rPr>
              <w:t>Robert L. Duffy</w:t>
            </w:r>
            <w:r>
              <w:rPr>
                <w:rFonts w:ascii="Arial" w:cs="Arial" w:eastAsia="Arial" w:hAnsi="Arial"/>
                <w:sz w:val="21"/>
                <w:szCs w:val="21"/>
                <w:color w:val="auto"/>
                <w:vertAlign w:val="superscript"/>
              </w:rPr>
              <w:t>(3)</w:t>
            </w:r>
          </w:p>
        </w:tc>
        <w:tc>
          <w:tcPr>
            <w:tcW w:w="1795" w:type="dxa"/>
            <w:vAlign w:val="bottom"/>
          </w:tcPr>
          <w:p>
            <w:pPr>
              <w:jc w:val="center"/>
              <w:spacing w:after="0"/>
              <w:rPr>
                <w:sz w:val="20"/>
                <w:szCs w:val="20"/>
                <w:color w:val="auto"/>
              </w:rPr>
            </w:pPr>
            <w:r>
              <w:rPr>
                <w:rFonts w:ascii="Arial" w:cs="Arial" w:eastAsia="Arial" w:hAnsi="Arial"/>
                <w:sz w:val="16"/>
                <w:szCs w:val="16"/>
                <w:color w:val="auto"/>
              </w:rPr>
              <w:t>400,000</w:t>
            </w:r>
          </w:p>
        </w:tc>
        <w:tc>
          <w:tcPr>
            <w:tcW w:w="2060" w:type="dxa"/>
            <w:vAlign w:val="bottom"/>
          </w:tcPr>
          <w:p>
            <w:pPr>
              <w:jc w:val="center"/>
              <w:spacing w:after="0"/>
              <w:rPr>
                <w:sz w:val="20"/>
                <w:szCs w:val="20"/>
                <w:color w:val="auto"/>
              </w:rPr>
            </w:pPr>
            <w:r>
              <w:rPr>
                <w:rFonts w:ascii="Arial" w:cs="Arial" w:eastAsia="Arial" w:hAnsi="Arial"/>
                <w:sz w:val="16"/>
                <w:szCs w:val="16"/>
                <w:color w:val="auto"/>
              </w:rPr>
              <w:t>200,000</w:t>
            </w:r>
          </w:p>
        </w:tc>
        <w:tc>
          <w:tcPr>
            <w:tcW w:w="2005"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2180" w:type="dxa"/>
            <w:vAlign w:val="bottom"/>
          </w:tcPr>
          <w:p>
            <w:pPr>
              <w:jc w:val="center"/>
              <w:spacing w:after="0"/>
              <w:rPr>
                <w:sz w:val="20"/>
                <w:szCs w:val="20"/>
                <w:color w:val="auto"/>
              </w:rPr>
            </w:pPr>
            <w:r>
              <w:rPr>
                <w:rFonts w:ascii="Arial" w:cs="Arial" w:eastAsia="Arial" w:hAnsi="Arial"/>
                <w:sz w:val="16"/>
                <w:szCs w:val="16"/>
                <w:color w:val="auto"/>
              </w:rPr>
              <w:t>600,000</w:t>
            </w:r>
          </w:p>
        </w:tc>
        <w:tc>
          <w:tcPr>
            <w:tcW w:w="0" w:type="dxa"/>
            <w:vAlign w:val="bottom"/>
          </w:tcPr>
          <w:p>
            <w:pPr>
              <w:spacing w:after="0"/>
              <w:rPr>
                <w:sz w:val="1"/>
                <w:szCs w:val="1"/>
                <w:color w:val="auto"/>
              </w:rPr>
            </w:pPr>
          </w:p>
        </w:tc>
      </w:tr>
    </w:tbl>
    <w:p>
      <w:pPr>
        <w:ind w:left="20" w:right="520" w:hanging="6"/>
        <w:spacing w:after="0" w:line="209" w:lineRule="auto"/>
        <w:tabs>
          <w:tab w:leader="none" w:pos="159"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Mr. McCabe served as our Senior Vice President, General Counsel and Secretary until January 2, 2023 when he transitioned to Special Advisor to the CEO. Pursuant to the terms of his Transition Agreement, he forfeited any annual and long-term incentive payouts to which he was entitled to in exchange for a lump-sum payment.</w:t>
      </w:r>
    </w:p>
    <w:p>
      <w:pPr>
        <w:ind w:left="160" w:hanging="146"/>
        <w:spacing w:after="0" w:line="224" w:lineRule="auto"/>
        <w:tabs>
          <w:tab w:leader="none" w:pos="160"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Adm. McCoy was appointed President, Government Operations on February 18, 2022.</w:t>
      </w:r>
    </w:p>
    <w:p>
      <w:pPr>
        <w:spacing w:after="0" w:line="23" w:lineRule="exact"/>
        <w:rPr>
          <w:rFonts w:ascii="Arial" w:cs="Arial" w:eastAsia="Arial" w:hAnsi="Arial"/>
          <w:sz w:val="17"/>
          <w:szCs w:val="17"/>
          <w:color w:val="auto"/>
          <w:vertAlign w:val="superscript"/>
        </w:rPr>
      </w:pPr>
    </w:p>
    <w:p>
      <w:pPr>
        <w:ind w:left="20" w:right="500" w:hanging="6"/>
        <w:spacing w:after="0" w:line="204" w:lineRule="auto"/>
        <w:tabs>
          <w:tab w:leader="none" w:pos="159" w:val="left"/>
        </w:tabs>
        <w:numPr>
          <w:ilvl w:val="0"/>
          <w:numId w:val="65"/>
        </w:numPr>
        <w:rPr>
          <w:rFonts w:ascii="Arial" w:cs="Arial" w:eastAsia="Arial" w:hAnsi="Arial"/>
          <w:sz w:val="17"/>
          <w:szCs w:val="17"/>
          <w:color w:val="auto"/>
          <w:vertAlign w:val="superscript"/>
        </w:rPr>
      </w:pPr>
      <w:r>
        <w:rPr>
          <w:rFonts w:ascii="Arial" w:cs="Arial" w:eastAsia="Arial" w:hAnsi="Arial"/>
          <w:sz w:val="13"/>
          <w:szCs w:val="13"/>
          <w:color w:val="auto"/>
        </w:rPr>
        <w:t>Mr. Duffy joined the Company as Senior Vice President and Chief Administrative Officer on August 29, 2022 after the annual long-term incentive grant. He received a $1,200,000 sign-on restricted stock unit grant at that time.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BASE SALARY</w:t>
      </w:r>
    </w:p>
    <w:p>
      <w:pPr>
        <w:spacing w:after="0" w:line="96" w:lineRule="exact"/>
        <w:rPr>
          <w:sz w:val="20"/>
          <w:szCs w:val="20"/>
          <w:color w:val="auto"/>
        </w:rPr>
      </w:pPr>
    </w:p>
    <w:p>
      <w:pPr>
        <w:ind w:right="240"/>
        <w:spacing w:after="0" w:line="267" w:lineRule="auto"/>
        <w:rPr>
          <w:sz w:val="20"/>
          <w:szCs w:val="20"/>
          <w:color w:val="auto"/>
        </w:rPr>
      </w:pPr>
      <w:r>
        <w:rPr>
          <w:rFonts w:ascii="Arial" w:cs="Arial" w:eastAsia="Arial" w:hAnsi="Arial"/>
          <w:sz w:val="16"/>
          <w:szCs w:val="16"/>
          <w:color w:val="auto"/>
        </w:rPr>
        <w:t>Our Compensation Committee generally reviews base salaries of our Named Executives on an annual basis with any adjustments to base salary effective April 1 of each year, with occasional reviews during the year to reflect promotions, increases in responsibilities or other compensation-related events. Set forth below are the base salaries for each of our Named Executives, as determined by the Compensation Committee based on its review of comparative market data for each Named Executive. There were no base salary adjustments made in 2022 for the Named Executives.</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ANNUAL BASE SALARY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20" w:type="dxa"/>
            <w:vAlign w:val="bottom"/>
            <w:shd w:val="clear" w:color="auto" w:fill="000000"/>
          </w:tcPr>
          <w:p>
            <w:pPr>
              <w:ind w:left="140"/>
              <w:spacing w:after="0"/>
              <w:rPr>
                <w:sz w:val="20"/>
                <w:szCs w:val="20"/>
                <w:color w:val="auto"/>
              </w:rPr>
            </w:pPr>
            <w:r>
              <w:rPr>
                <w:rFonts w:ascii="Arial" w:cs="Arial" w:eastAsia="Arial" w:hAnsi="Arial"/>
                <w:sz w:val="13"/>
                <w:szCs w:val="13"/>
                <w:b w:val="1"/>
                <w:bCs w:val="1"/>
                <w:color w:val="FFFFFF"/>
              </w:rPr>
              <w:t>Named Executive</w:t>
            </w:r>
          </w:p>
        </w:tc>
        <w:tc>
          <w:tcPr>
            <w:tcW w:w="16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2022 Base Salary ($)</w:t>
            </w:r>
          </w:p>
        </w:tc>
      </w:tr>
      <w:tr>
        <w:trPr>
          <w:trHeight w:val="207"/>
        </w:trPr>
        <w:tc>
          <w:tcPr>
            <w:tcW w:w="9620" w:type="dxa"/>
            <w:vAlign w:val="bottom"/>
          </w:tcPr>
          <w:p>
            <w:pPr>
              <w:ind w:left="20"/>
              <w:spacing w:after="0"/>
              <w:rPr>
                <w:sz w:val="20"/>
                <w:szCs w:val="20"/>
                <w:color w:val="auto"/>
              </w:rPr>
            </w:pPr>
            <w:r>
              <w:rPr>
                <w:rFonts w:ascii="Arial" w:cs="Arial" w:eastAsia="Arial" w:hAnsi="Arial"/>
                <w:sz w:val="16"/>
                <w:szCs w:val="16"/>
                <w:color w:val="auto"/>
              </w:rPr>
              <w:t>Mr. Geveden</w:t>
            </w:r>
          </w:p>
        </w:tc>
        <w:tc>
          <w:tcPr>
            <w:tcW w:w="1640" w:type="dxa"/>
            <w:vAlign w:val="bottom"/>
          </w:tcPr>
          <w:p>
            <w:pPr>
              <w:jc w:val="center"/>
              <w:spacing w:after="0"/>
              <w:rPr>
                <w:sz w:val="20"/>
                <w:szCs w:val="20"/>
                <w:color w:val="auto"/>
              </w:rPr>
            </w:pPr>
            <w:r>
              <w:rPr>
                <w:rFonts w:ascii="Arial" w:cs="Arial" w:eastAsia="Arial" w:hAnsi="Arial"/>
                <w:sz w:val="16"/>
                <w:szCs w:val="16"/>
                <w:color w:val="auto"/>
              </w:rPr>
              <w:t>925,000</w:t>
            </w:r>
          </w:p>
        </w:tc>
      </w:tr>
      <w:tr>
        <w:trPr>
          <w:trHeight w:val="207"/>
        </w:trPr>
        <w:tc>
          <w:tcPr>
            <w:tcW w:w="962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LeMasters</w:t>
            </w:r>
          </w:p>
        </w:tc>
        <w:tc>
          <w:tcPr>
            <w:tcW w:w="16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500,000</w:t>
            </w:r>
          </w:p>
        </w:tc>
      </w:tr>
      <w:tr>
        <w:trPr>
          <w:trHeight w:val="207"/>
        </w:trPr>
        <w:tc>
          <w:tcPr>
            <w:tcW w:w="9620" w:type="dxa"/>
            <w:vAlign w:val="bottom"/>
          </w:tcPr>
          <w:p>
            <w:pPr>
              <w:ind w:left="20"/>
              <w:spacing w:after="0"/>
              <w:rPr>
                <w:sz w:val="20"/>
                <w:szCs w:val="20"/>
                <w:color w:val="auto"/>
              </w:rPr>
            </w:pPr>
            <w:r>
              <w:rPr>
                <w:rFonts w:ascii="Arial" w:cs="Arial" w:eastAsia="Arial" w:hAnsi="Arial"/>
                <w:sz w:val="16"/>
                <w:szCs w:val="16"/>
                <w:color w:val="auto"/>
              </w:rPr>
              <w:t>Mr. McCabe</w:t>
            </w:r>
          </w:p>
        </w:tc>
        <w:tc>
          <w:tcPr>
            <w:tcW w:w="1640" w:type="dxa"/>
            <w:vAlign w:val="bottom"/>
          </w:tcPr>
          <w:p>
            <w:pPr>
              <w:jc w:val="center"/>
              <w:spacing w:after="0"/>
              <w:rPr>
                <w:sz w:val="20"/>
                <w:szCs w:val="20"/>
                <w:color w:val="auto"/>
              </w:rPr>
            </w:pPr>
            <w:r>
              <w:rPr>
                <w:rFonts w:ascii="Arial" w:cs="Arial" w:eastAsia="Arial" w:hAnsi="Arial"/>
                <w:sz w:val="16"/>
                <w:szCs w:val="16"/>
                <w:color w:val="auto"/>
              </w:rPr>
              <w:t>545,000</w:t>
            </w:r>
          </w:p>
        </w:tc>
      </w:tr>
      <w:tr>
        <w:trPr>
          <w:trHeight w:val="207"/>
        </w:trPr>
        <w:tc>
          <w:tcPr>
            <w:tcW w:w="9620" w:type="dxa"/>
            <w:vAlign w:val="bottom"/>
            <w:shd w:val="clear" w:color="auto" w:fill="DBDBDB"/>
          </w:tcPr>
          <w:p>
            <w:pPr>
              <w:ind w:left="20"/>
              <w:spacing w:after="0" w:line="207" w:lineRule="exact"/>
              <w:rPr>
                <w:sz w:val="20"/>
                <w:szCs w:val="20"/>
                <w:color w:val="auto"/>
              </w:rPr>
            </w:pPr>
            <w:r>
              <w:rPr>
                <w:rFonts w:ascii="Arial" w:cs="Arial" w:eastAsia="Arial" w:hAnsi="Arial"/>
                <w:sz w:val="16"/>
                <w:szCs w:val="16"/>
                <w:color w:val="auto"/>
              </w:rPr>
              <w:t>Adm. McCoy</w:t>
            </w:r>
            <w:r>
              <w:rPr>
                <w:rFonts w:ascii="Arial" w:cs="Arial" w:eastAsia="Arial" w:hAnsi="Arial"/>
                <w:sz w:val="21"/>
                <w:szCs w:val="21"/>
                <w:color w:val="auto"/>
                <w:vertAlign w:val="superscript"/>
              </w:rPr>
              <w:t>(1)</w:t>
            </w:r>
          </w:p>
        </w:tc>
        <w:tc>
          <w:tcPr>
            <w:tcW w:w="164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735,000</w:t>
            </w:r>
          </w:p>
        </w:tc>
      </w:tr>
      <w:tr>
        <w:trPr>
          <w:trHeight w:val="216"/>
        </w:trPr>
        <w:tc>
          <w:tcPr>
            <w:tcW w:w="9620" w:type="dxa"/>
            <w:vAlign w:val="bottom"/>
          </w:tcPr>
          <w:p>
            <w:pPr>
              <w:ind w:left="20"/>
              <w:spacing w:after="0" w:line="216" w:lineRule="exact"/>
              <w:rPr>
                <w:sz w:val="20"/>
                <w:szCs w:val="20"/>
                <w:color w:val="auto"/>
              </w:rPr>
            </w:pPr>
            <w:r>
              <w:rPr>
                <w:rFonts w:ascii="Arial" w:cs="Arial" w:eastAsia="Arial" w:hAnsi="Arial"/>
                <w:sz w:val="16"/>
                <w:szCs w:val="16"/>
                <w:color w:val="auto"/>
              </w:rPr>
              <w:t>Mr. Duffy</w:t>
            </w:r>
            <w:r>
              <w:rPr>
                <w:rFonts w:ascii="Arial" w:cs="Arial" w:eastAsia="Arial" w:hAnsi="Arial"/>
                <w:sz w:val="21"/>
                <w:szCs w:val="21"/>
                <w:color w:val="auto"/>
                <w:vertAlign w:val="superscript"/>
              </w:rPr>
              <w:t>(2)</w:t>
            </w:r>
          </w:p>
        </w:tc>
        <w:tc>
          <w:tcPr>
            <w:tcW w:w="1640" w:type="dxa"/>
            <w:vAlign w:val="bottom"/>
          </w:tcPr>
          <w:p>
            <w:pPr>
              <w:jc w:val="center"/>
              <w:spacing w:after="0"/>
              <w:rPr>
                <w:sz w:val="20"/>
                <w:szCs w:val="20"/>
                <w:color w:val="auto"/>
              </w:rPr>
            </w:pPr>
            <w:r>
              <w:rPr>
                <w:rFonts w:ascii="Arial" w:cs="Arial" w:eastAsia="Arial" w:hAnsi="Arial"/>
                <w:sz w:val="16"/>
                <w:szCs w:val="16"/>
                <w:color w:val="auto"/>
              </w:rPr>
              <w:t>400,000</w:t>
            </w:r>
          </w:p>
        </w:tc>
      </w:tr>
    </w:tbl>
    <w:p>
      <w:pPr>
        <w:ind w:left="160" w:hanging="146"/>
        <w:spacing w:after="0" w:line="205" w:lineRule="auto"/>
        <w:tabs>
          <w:tab w:leader="none" w:pos="16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Adm. McCoy was appointed President, Government Operations on February 18, 2022.</w:t>
      </w:r>
    </w:p>
    <w:p>
      <w:pPr>
        <w:spacing w:after="0" w:line="23" w:lineRule="exact"/>
        <w:rPr>
          <w:rFonts w:ascii="Arial" w:cs="Arial" w:eastAsia="Arial" w:hAnsi="Arial"/>
          <w:sz w:val="17"/>
          <w:szCs w:val="17"/>
          <w:color w:val="auto"/>
          <w:vertAlign w:val="superscript"/>
        </w:rPr>
      </w:pPr>
    </w:p>
    <w:p>
      <w:pPr>
        <w:ind w:left="160" w:hanging="146"/>
        <w:spacing w:after="0" w:line="195" w:lineRule="auto"/>
        <w:tabs>
          <w:tab w:leader="none" w:pos="16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Mr. Duffy joined the Company as Senior Vice President and Chief Administrative Officer on August 29, 2022.</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COMPENSATION</w:t>
      </w:r>
    </w:p>
    <w:p>
      <w:pPr>
        <w:spacing w:after="0" w:line="96" w:lineRule="exact"/>
        <w:rPr>
          <w:sz w:val="20"/>
          <w:szCs w:val="20"/>
          <w:color w:val="auto"/>
        </w:rPr>
      </w:pPr>
    </w:p>
    <w:p>
      <w:pPr>
        <w:ind w:right="100"/>
        <w:spacing w:after="0" w:line="274" w:lineRule="auto"/>
        <w:rPr>
          <w:sz w:val="20"/>
          <w:szCs w:val="20"/>
          <w:color w:val="auto"/>
        </w:rPr>
      </w:pPr>
      <w:r>
        <w:rPr>
          <w:rFonts w:ascii="Arial" w:cs="Arial" w:eastAsia="Arial" w:hAnsi="Arial"/>
          <w:sz w:val="16"/>
          <w:szCs w:val="16"/>
          <w:b w:val="1"/>
          <w:bCs w:val="1"/>
          <w:i w:val="1"/>
          <w:iCs w:val="1"/>
          <w:color w:val="auto"/>
        </w:rPr>
        <w:t>Overview and Design</w:t>
      </w:r>
      <w:r>
        <w:rPr>
          <w:rFonts w:ascii="Arial" w:cs="Arial" w:eastAsia="Arial" w:hAnsi="Arial"/>
          <w:sz w:val="16"/>
          <w:szCs w:val="16"/>
          <w:color w:val="auto"/>
        </w:rPr>
        <w:t>. We pay annual incentives to drive the achievement of key business results and to recognize individuals based on their contributions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those results. The Compensation Committee administers cash-based annual incentive compensation for our Named Executives through our Executive Incentive Compensation Plan (“EICP”), which was previously approved by our stockholders.</w:t>
      </w: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41" w:name="page42"/>
    <w:bookmarkEnd w:id="41"/>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right="280"/>
        <w:spacing w:after="0" w:line="274" w:lineRule="auto"/>
        <w:rPr>
          <w:sz w:val="20"/>
          <w:szCs w:val="20"/>
          <w:color w:val="auto"/>
        </w:rPr>
      </w:pPr>
      <w:r>
        <w:rPr>
          <w:rFonts w:ascii="Arial" w:cs="Arial" w:eastAsia="Arial" w:hAnsi="Arial"/>
          <w:sz w:val="16"/>
          <w:szCs w:val="16"/>
          <w:b w:val="1"/>
          <w:bCs w:val="1"/>
          <w:i w:val="1"/>
          <w:iCs w:val="1"/>
          <w:color w:val="auto"/>
        </w:rPr>
        <w:t xml:space="preserve">Analysis of Target Percentage. </w:t>
      </w:r>
      <w:r>
        <w:rPr>
          <w:rFonts w:ascii="Arial" w:cs="Arial" w:eastAsia="Arial" w:hAnsi="Arial"/>
          <w:sz w:val="16"/>
          <w:szCs w:val="16"/>
          <w:color w:val="auto"/>
        </w:rPr>
        <w:t>The Compensation Committee set target percentages indicated in the table below during its annual review of executive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in February 2022 (and for Mr. Duffy in August 2022 in connection with his appointment). The target percentages were not changed for the Named Executives during 2022.</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TARGET ANNUAL INCENTIVE COMPENSATION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70" w:type="dxa"/>
            <w:vAlign w:val="bottom"/>
            <w:vMerge w:val="restart"/>
            <w:shd w:val="clear" w:color="auto" w:fill="000000"/>
          </w:tcPr>
          <w:p>
            <w:pPr>
              <w:ind w:left="80"/>
              <w:spacing w:after="0"/>
              <w:rPr>
                <w:sz w:val="20"/>
                <w:szCs w:val="20"/>
                <w:color w:val="auto"/>
              </w:rPr>
            </w:pPr>
            <w:r>
              <w:rPr>
                <w:rFonts w:ascii="Arial" w:cs="Arial" w:eastAsia="Arial" w:hAnsi="Arial"/>
                <w:sz w:val="16"/>
                <w:szCs w:val="16"/>
                <w:b w:val="1"/>
                <w:bCs w:val="1"/>
                <w:color w:val="FFFFFF"/>
              </w:rPr>
              <w:t>Named Executive</w:t>
            </w:r>
          </w:p>
        </w:tc>
        <w:tc>
          <w:tcPr>
            <w:tcW w:w="90" w:type="dxa"/>
            <w:vAlign w:val="bottom"/>
            <w:shd w:val="clear" w:color="auto" w:fill="000000"/>
          </w:tcPr>
          <w:p>
            <w:pPr>
              <w:spacing w:after="0"/>
              <w:rPr>
                <w:sz w:val="16"/>
                <w:szCs w:val="16"/>
                <w:color w:val="auto"/>
              </w:rPr>
            </w:pPr>
          </w:p>
        </w:tc>
        <w:tc>
          <w:tcPr>
            <w:tcW w:w="210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rPr>
              <w:t>EICP</w:t>
            </w:r>
          </w:p>
        </w:tc>
        <w:tc>
          <w:tcPr>
            <w:tcW w:w="0" w:type="dxa"/>
            <w:vAlign w:val="bottom"/>
          </w:tcPr>
          <w:p>
            <w:pPr>
              <w:spacing w:after="0"/>
              <w:rPr>
                <w:sz w:val="1"/>
                <w:szCs w:val="1"/>
                <w:color w:val="auto"/>
              </w:rPr>
            </w:pPr>
          </w:p>
        </w:tc>
      </w:tr>
      <w:tr>
        <w:trPr>
          <w:trHeight w:val="227"/>
        </w:trPr>
        <w:tc>
          <w:tcPr>
            <w:tcW w:w="9070" w:type="dxa"/>
            <w:vAlign w:val="bottom"/>
            <w:vMerge w:val="continue"/>
            <w:shd w:val="clear" w:color="auto" w:fill="000000"/>
          </w:tcPr>
          <w:p>
            <w:pPr>
              <w:spacing w:after="0"/>
              <w:rPr>
                <w:sz w:val="19"/>
                <w:szCs w:val="19"/>
                <w:color w:val="auto"/>
              </w:rPr>
            </w:pPr>
          </w:p>
        </w:tc>
        <w:tc>
          <w:tcPr>
            <w:tcW w:w="90" w:type="dxa"/>
            <w:vAlign w:val="bottom"/>
            <w:shd w:val="clear" w:color="auto" w:fill="000000"/>
          </w:tcPr>
          <w:p>
            <w:pPr>
              <w:spacing w:after="0"/>
              <w:rPr>
                <w:sz w:val="19"/>
                <w:szCs w:val="19"/>
                <w:color w:val="auto"/>
              </w:rPr>
            </w:pPr>
          </w:p>
        </w:tc>
        <w:tc>
          <w:tcPr>
            <w:tcW w:w="2100" w:type="dxa"/>
            <w:vAlign w:val="bottom"/>
            <w:shd w:val="clear" w:color="auto" w:fill="000000"/>
          </w:tcPr>
          <w:p>
            <w:pPr>
              <w:jc w:val="center"/>
              <w:spacing w:after="0" w:line="215" w:lineRule="exact"/>
              <w:rPr>
                <w:sz w:val="20"/>
                <w:szCs w:val="20"/>
                <w:color w:val="auto"/>
              </w:rPr>
            </w:pPr>
            <w:r>
              <w:rPr>
                <w:rFonts w:ascii="Arial" w:cs="Arial" w:eastAsia="Arial" w:hAnsi="Arial"/>
                <w:sz w:val="16"/>
                <w:szCs w:val="16"/>
                <w:b w:val="1"/>
                <w:bCs w:val="1"/>
                <w:color w:val="FFFFFF"/>
                <w:w w:val="96"/>
              </w:rPr>
              <w:t>Target %</w:t>
            </w:r>
            <w:r>
              <w:rPr>
                <w:rFonts w:ascii="Arial" w:cs="Arial" w:eastAsia="Arial" w:hAnsi="Arial"/>
                <w:sz w:val="21"/>
                <w:szCs w:val="21"/>
                <w:b w:val="1"/>
                <w:bCs w:val="1"/>
                <w:color w:val="FFFFFF"/>
                <w:w w:val="96"/>
                <w:vertAlign w:val="superscript"/>
              </w:rPr>
              <w:t>(1)</w:t>
            </w:r>
          </w:p>
        </w:tc>
        <w:tc>
          <w:tcPr>
            <w:tcW w:w="0" w:type="dxa"/>
            <w:vAlign w:val="bottom"/>
          </w:tcPr>
          <w:p>
            <w:pPr>
              <w:spacing w:after="0"/>
              <w:rPr>
                <w:sz w:val="1"/>
                <w:szCs w:val="1"/>
                <w:color w:val="auto"/>
              </w:rPr>
            </w:pPr>
          </w:p>
        </w:tc>
      </w:tr>
      <w:tr>
        <w:trPr>
          <w:trHeight w:val="207"/>
        </w:trPr>
        <w:tc>
          <w:tcPr>
            <w:tcW w:w="9160" w:type="dxa"/>
            <w:vAlign w:val="bottom"/>
            <w:gridSpan w:val="2"/>
          </w:tcPr>
          <w:p>
            <w:pPr>
              <w:ind w:left="120"/>
              <w:spacing w:after="0"/>
              <w:rPr>
                <w:sz w:val="20"/>
                <w:szCs w:val="20"/>
                <w:color w:val="auto"/>
              </w:rPr>
            </w:pPr>
            <w:r>
              <w:rPr>
                <w:rFonts w:ascii="Arial" w:cs="Arial" w:eastAsia="Arial" w:hAnsi="Arial"/>
                <w:sz w:val="16"/>
                <w:szCs w:val="16"/>
                <w:color w:val="auto"/>
              </w:rPr>
              <w:t>Mr. Geveden</w:t>
            </w:r>
          </w:p>
        </w:tc>
        <w:tc>
          <w:tcPr>
            <w:tcW w:w="2100" w:type="dxa"/>
            <w:vAlign w:val="bottom"/>
          </w:tcPr>
          <w:p>
            <w:pPr>
              <w:jc w:val="center"/>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07"/>
        </w:trPr>
        <w:tc>
          <w:tcPr>
            <w:tcW w:w="91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Mr. LeMasters</w:t>
            </w:r>
          </w:p>
        </w:tc>
        <w:tc>
          <w:tcPr>
            <w:tcW w:w="2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70%</w:t>
            </w:r>
          </w:p>
        </w:tc>
        <w:tc>
          <w:tcPr>
            <w:tcW w:w="0" w:type="dxa"/>
            <w:vAlign w:val="bottom"/>
          </w:tcPr>
          <w:p>
            <w:pPr>
              <w:spacing w:after="0"/>
              <w:rPr>
                <w:sz w:val="1"/>
                <w:szCs w:val="1"/>
                <w:color w:val="auto"/>
              </w:rPr>
            </w:pPr>
          </w:p>
        </w:tc>
      </w:tr>
      <w:tr>
        <w:trPr>
          <w:trHeight w:val="207"/>
        </w:trPr>
        <w:tc>
          <w:tcPr>
            <w:tcW w:w="9160" w:type="dxa"/>
            <w:vAlign w:val="bottom"/>
            <w:gridSpan w:val="2"/>
          </w:tcPr>
          <w:p>
            <w:pPr>
              <w:ind w:left="120"/>
              <w:spacing w:after="0"/>
              <w:rPr>
                <w:sz w:val="20"/>
                <w:szCs w:val="20"/>
                <w:color w:val="auto"/>
              </w:rPr>
            </w:pPr>
            <w:r>
              <w:rPr>
                <w:rFonts w:ascii="Arial" w:cs="Arial" w:eastAsia="Arial" w:hAnsi="Arial"/>
                <w:sz w:val="16"/>
                <w:szCs w:val="16"/>
                <w:color w:val="auto"/>
              </w:rPr>
              <w:t>Mr. McCabe</w:t>
            </w: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65%</w:t>
            </w:r>
          </w:p>
        </w:tc>
        <w:tc>
          <w:tcPr>
            <w:tcW w:w="0" w:type="dxa"/>
            <w:vAlign w:val="bottom"/>
          </w:tcPr>
          <w:p>
            <w:pPr>
              <w:spacing w:after="0"/>
              <w:rPr>
                <w:sz w:val="1"/>
                <w:szCs w:val="1"/>
                <w:color w:val="auto"/>
              </w:rPr>
            </w:pPr>
          </w:p>
        </w:tc>
      </w:tr>
      <w:tr>
        <w:trPr>
          <w:trHeight w:val="207"/>
        </w:trPr>
        <w:tc>
          <w:tcPr>
            <w:tcW w:w="9160" w:type="dxa"/>
            <w:vAlign w:val="bottom"/>
            <w:gridSpan w:val="2"/>
            <w:shd w:val="clear" w:color="auto" w:fill="DBDBDB"/>
          </w:tcPr>
          <w:p>
            <w:pPr>
              <w:ind w:left="120"/>
              <w:spacing w:after="0"/>
              <w:rPr>
                <w:sz w:val="20"/>
                <w:szCs w:val="20"/>
                <w:color w:val="auto"/>
              </w:rPr>
            </w:pPr>
            <w:r>
              <w:rPr>
                <w:rFonts w:ascii="Arial" w:cs="Arial" w:eastAsia="Arial" w:hAnsi="Arial"/>
                <w:sz w:val="16"/>
                <w:szCs w:val="16"/>
                <w:color w:val="auto"/>
              </w:rPr>
              <w:t>Adm. McCoy</w:t>
            </w:r>
          </w:p>
        </w:tc>
        <w:tc>
          <w:tcPr>
            <w:tcW w:w="210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9"/>
              </w:rPr>
              <w:t>65%</w:t>
            </w:r>
          </w:p>
        </w:tc>
        <w:tc>
          <w:tcPr>
            <w:tcW w:w="0" w:type="dxa"/>
            <w:vAlign w:val="bottom"/>
          </w:tcPr>
          <w:p>
            <w:pPr>
              <w:spacing w:after="0"/>
              <w:rPr>
                <w:sz w:val="1"/>
                <w:szCs w:val="1"/>
                <w:color w:val="auto"/>
              </w:rPr>
            </w:pPr>
          </w:p>
        </w:tc>
      </w:tr>
      <w:tr>
        <w:trPr>
          <w:trHeight w:val="287"/>
        </w:trPr>
        <w:tc>
          <w:tcPr>
            <w:tcW w:w="9160" w:type="dxa"/>
            <w:vAlign w:val="bottom"/>
            <w:gridSpan w:val="2"/>
          </w:tcPr>
          <w:p>
            <w:pPr>
              <w:ind w:left="120"/>
              <w:spacing w:after="0"/>
              <w:rPr>
                <w:sz w:val="20"/>
                <w:szCs w:val="20"/>
                <w:color w:val="auto"/>
              </w:rPr>
            </w:pPr>
            <w:r>
              <w:rPr>
                <w:rFonts w:ascii="Arial" w:cs="Arial" w:eastAsia="Arial" w:hAnsi="Arial"/>
                <w:sz w:val="16"/>
                <w:szCs w:val="16"/>
                <w:color w:val="auto"/>
              </w:rPr>
              <w:t>Mr. Duffy</w:t>
            </w:r>
            <w:r>
              <w:rPr>
                <w:rFonts w:ascii="Arial" w:cs="Arial" w:eastAsia="Arial" w:hAnsi="Arial"/>
                <w:sz w:val="21"/>
                <w:szCs w:val="21"/>
                <w:color w:val="auto"/>
                <w:vertAlign w:val="superscript"/>
              </w:rPr>
              <w:t>(2)</w:t>
            </w:r>
          </w:p>
        </w:tc>
        <w:tc>
          <w:tcPr>
            <w:tcW w:w="2100" w:type="dxa"/>
            <w:vAlign w:val="bottom"/>
          </w:tcPr>
          <w:p>
            <w:pPr>
              <w:jc w:val="center"/>
              <w:spacing w:after="0"/>
              <w:rPr>
                <w:sz w:val="20"/>
                <w:szCs w:val="20"/>
                <w:color w:val="auto"/>
              </w:rPr>
            </w:pPr>
            <w:r>
              <w:rPr>
                <w:rFonts w:ascii="Arial" w:cs="Arial" w:eastAsia="Arial" w:hAnsi="Arial"/>
                <w:sz w:val="16"/>
                <w:szCs w:val="16"/>
                <w:color w:val="auto"/>
                <w:w w:val="99"/>
              </w:rPr>
              <w:t>50%</w:t>
            </w:r>
          </w:p>
        </w:tc>
        <w:tc>
          <w:tcPr>
            <w:tcW w:w="0" w:type="dxa"/>
            <w:vAlign w:val="bottom"/>
          </w:tcPr>
          <w:p>
            <w:pPr>
              <w:spacing w:after="0"/>
              <w:rPr>
                <w:sz w:val="1"/>
                <w:szCs w:val="1"/>
                <w:color w:val="auto"/>
              </w:rPr>
            </w:pPr>
          </w:p>
        </w:tc>
      </w:tr>
    </w:tbl>
    <w:p>
      <w:pPr>
        <w:ind w:left="400" w:right="640" w:hanging="293"/>
        <w:spacing w:after="0" w:line="262" w:lineRule="auto"/>
        <w:tabs>
          <w:tab w:leader="none" w:pos="388" w:val="left"/>
        </w:tabs>
        <w:numPr>
          <w:ilvl w:val="0"/>
          <w:numId w:val="67"/>
        </w:numPr>
        <w:rPr>
          <w:rFonts w:ascii="Arial" w:cs="Arial" w:eastAsia="Arial" w:hAnsi="Arial"/>
          <w:sz w:val="13"/>
          <w:szCs w:val="13"/>
          <w:color w:val="auto"/>
        </w:rPr>
      </w:pPr>
      <w:r>
        <w:rPr>
          <w:rFonts w:ascii="Arial" w:cs="Arial" w:eastAsia="Arial" w:hAnsi="Arial"/>
          <w:sz w:val="13"/>
          <w:szCs w:val="13"/>
          <w:color w:val="auto"/>
        </w:rPr>
        <w:t>Each Named Executive’s EICP target compensation was calculated by multiplying the applicable EICP Target % by the applicable projected earnings from salary during 2022. See “Compensation of Executive Officers – Summary Compensation Table” for each Named Executives’ earnings from salary during 2022.</w:t>
      </w:r>
    </w:p>
    <w:p>
      <w:pPr>
        <w:ind w:left="380" w:hanging="273"/>
        <w:spacing w:after="0"/>
        <w:tabs>
          <w:tab w:leader="none" w:pos="380" w:val="left"/>
        </w:tabs>
        <w:numPr>
          <w:ilvl w:val="0"/>
          <w:numId w:val="67"/>
        </w:numPr>
        <w:rPr>
          <w:rFonts w:ascii="Arial" w:cs="Arial" w:eastAsia="Arial" w:hAnsi="Arial"/>
          <w:sz w:val="13"/>
          <w:szCs w:val="13"/>
          <w:color w:val="auto"/>
        </w:rPr>
      </w:pPr>
      <w:r>
        <w:rPr>
          <w:rFonts w:ascii="Arial" w:cs="Arial" w:eastAsia="Arial" w:hAnsi="Arial"/>
          <w:sz w:val="13"/>
          <w:szCs w:val="13"/>
          <w:color w:val="auto"/>
        </w:rPr>
        <w:t>As a result of his mid-year appointment, Mr. Duffy's EICP target was based on his earnings from August 29, 2022 through December 31, 2022.</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provides details on the performance metrics selected by our Compensation Committee for our 2022 EICP.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172085</wp:posOffset>
            </wp:positionV>
            <wp:extent cx="7153275" cy="1390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275" cy="13906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Financial (90%)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Income (75%)</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6"/>
          <w:szCs w:val="16"/>
          <w:color w:val="auto"/>
        </w:rPr>
        <w:t>Operating Cash Flow (15%)</w:t>
      </w:r>
    </w:p>
    <w:p>
      <w:pPr>
        <w:spacing w:after="0" w:line="20" w:lineRule="exact"/>
        <w:rPr>
          <w:sz w:val="20"/>
          <w:szCs w:val="20"/>
          <w:color w:val="auto"/>
        </w:rPr>
      </w:pPr>
      <w:r>
        <w:rPr>
          <w:sz w:val="20"/>
          <w:szCs w:val="20"/>
          <w:color w:val="auto"/>
        </w:rPr>
        <w:br w:type="column"/>
      </w:r>
    </w:p>
    <w:p>
      <w:pPr>
        <w:spacing w:after="0" w:line="259" w:lineRule="exact"/>
        <w:rPr>
          <w:sz w:val="20"/>
          <w:szCs w:val="20"/>
          <w:color w:val="auto"/>
        </w:rPr>
      </w:pPr>
    </w:p>
    <w:p>
      <w:pPr>
        <w:ind w:left="1580"/>
        <w:spacing w:after="0"/>
        <w:rPr>
          <w:sz w:val="20"/>
          <w:szCs w:val="20"/>
          <w:color w:val="auto"/>
        </w:rPr>
      </w:pPr>
      <w:r>
        <w:rPr>
          <w:rFonts w:ascii="Arial" w:cs="Arial" w:eastAsia="Arial" w:hAnsi="Arial"/>
          <w:sz w:val="16"/>
          <w:szCs w:val="16"/>
          <w:b w:val="1"/>
          <w:bCs w:val="1"/>
          <w:color w:val="FFFFFF"/>
        </w:rPr>
        <w:t>2022 EICP Performance Metrics</w:t>
      </w:r>
    </w:p>
    <w:p>
      <w:pPr>
        <w:spacing w:after="0" w:line="7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Rationale: </w:t>
      </w:r>
      <w:r>
        <w:rPr>
          <w:rFonts w:ascii="Arial" w:cs="Arial" w:eastAsia="Arial" w:hAnsi="Arial"/>
          <w:sz w:val="16"/>
          <w:szCs w:val="16"/>
          <w:color w:val="auto"/>
        </w:rPr>
        <w:t>Operating income is our primary measure of profitability, which we believe is a strong driver of</w:t>
      </w:r>
    </w:p>
    <w:p>
      <w:pPr>
        <w:spacing w:after="0" w:line="3" w:lineRule="exact"/>
        <w:rPr>
          <w:sz w:val="20"/>
          <w:szCs w:val="20"/>
          <w:color w:val="auto"/>
        </w:rPr>
      </w:pPr>
    </w:p>
    <w:p>
      <w:pPr>
        <w:ind w:right="160"/>
        <w:spacing w:after="0" w:line="233" w:lineRule="auto"/>
        <w:rPr>
          <w:sz w:val="20"/>
          <w:szCs w:val="20"/>
          <w:color w:val="auto"/>
        </w:rPr>
      </w:pPr>
      <w:r>
        <w:rPr>
          <w:rFonts w:ascii="Arial" w:cs="Arial" w:eastAsia="Arial" w:hAnsi="Arial"/>
          <w:sz w:val="16"/>
          <w:szCs w:val="16"/>
          <w:color w:val="auto"/>
        </w:rPr>
        <w:t>shareholder value; Operating cash flow promotes management focus on strong cash flow generation to support our balanced capital deployment strategy between dividends, mergers and acquisitions and share repurchases.</w:t>
      </w:r>
    </w:p>
    <w:p>
      <w:pPr>
        <w:spacing w:after="0" w:line="90" w:lineRule="exact"/>
        <w:rPr>
          <w:sz w:val="20"/>
          <w:szCs w:val="20"/>
          <w:color w:val="auto"/>
        </w:rPr>
      </w:pPr>
    </w:p>
    <w:p>
      <w:pPr>
        <w:ind w:right="440"/>
        <w:spacing w:after="0" w:line="262" w:lineRule="auto"/>
        <w:rPr>
          <w:sz w:val="20"/>
          <w:szCs w:val="20"/>
          <w:color w:val="auto"/>
        </w:rPr>
      </w:pPr>
      <w:r>
        <w:rPr>
          <w:rFonts w:ascii="Arial" w:cs="Arial" w:eastAsia="Arial" w:hAnsi="Arial"/>
          <w:sz w:val="16"/>
          <w:szCs w:val="16"/>
          <w:b w:val="1"/>
          <w:bCs w:val="1"/>
          <w:i w:val="1"/>
          <w:iCs w:val="1"/>
          <w:color w:val="auto"/>
        </w:rPr>
        <w:t xml:space="preserve">Key Features: </w:t>
      </w:r>
      <w:r>
        <w:rPr>
          <w:rFonts w:ascii="Arial" w:cs="Arial" w:eastAsia="Arial" w:hAnsi="Arial"/>
          <w:sz w:val="16"/>
          <w:szCs w:val="16"/>
          <w:color w:val="auto"/>
        </w:rPr>
        <w:t>No pay-out unless at least threshold BWXT consolidated operating income performance goal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achieved; financial performance determines the maximum amount a Named Executive can earn.</w:t>
      </w:r>
    </w:p>
    <w:p>
      <w:pPr>
        <w:spacing w:after="0" w:line="73"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b w:val="1"/>
          <w:bCs w:val="1"/>
          <w:i w:val="1"/>
          <w:iCs w:val="1"/>
          <w:color w:val="auto"/>
        </w:rPr>
        <w:t xml:space="preserve">Payout Calculation: </w:t>
      </w:r>
      <w:r>
        <w:rPr>
          <w:rFonts w:ascii="Arial" w:cs="Arial" w:eastAsia="Arial" w:hAnsi="Arial"/>
          <w:sz w:val="16"/>
          <w:szCs w:val="16"/>
          <w:color w:val="auto"/>
        </w:rPr>
        <w:t>Ranges from 0% - 200% based on achievement of goals; result is referred to as the “Financial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Multiplier.”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-3810</wp:posOffset>
            </wp:positionV>
            <wp:extent cx="714565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5655" cy="7620"/>
                    </a:xfrm>
                    <a:prstGeom prst="rect">
                      <a:avLst/>
                    </a:prstGeom>
                    <a:noFill/>
                  </pic:spPr>
                </pic:pic>
              </a:graphicData>
            </a:graphic>
          </wp:anchor>
        </w:drawing>
        <w:drawing>
          <wp:anchor simplePos="0" relativeHeight="251657728" behindDoc="1" locked="0" layoutInCell="0" allowOverlap="1">
            <wp:simplePos x="0" y="0"/>
            <wp:positionH relativeFrom="column">
              <wp:posOffset>-1804670</wp:posOffset>
            </wp:positionH>
            <wp:positionV relativeFrom="paragraph">
              <wp:posOffset>127000</wp:posOffset>
            </wp:positionV>
            <wp:extent cx="7153275" cy="1390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275" cy="13906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20" w:space="720"/>
            <w:col w:w="8420"/>
          </w:cols>
          <w:pgMar w:left="320" w:top="123" w:right="319" w:bottom="1440" w:gutter="0" w:footer="0" w:header="0"/>
          <w:type w:val="continuous"/>
        </w:sectPr>
      </w:pPr>
    </w:p>
    <w:p>
      <w:pPr>
        <w:spacing w:after="0" w:line="2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Individual (10%)</w:t>
      </w:r>
    </w:p>
    <w:p>
      <w:pPr>
        <w:spacing w:after="0" w:line="60" w:lineRule="exact"/>
        <w:rPr>
          <w:sz w:val="20"/>
          <w:szCs w:val="20"/>
          <w:color w:val="auto"/>
        </w:rPr>
      </w:pPr>
    </w:p>
    <w:p>
      <w:pPr>
        <w:ind w:left="20"/>
        <w:spacing w:after="0"/>
        <w:rPr>
          <w:sz w:val="20"/>
          <w:szCs w:val="20"/>
          <w:color w:val="auto"/>
        </w:rPr>
      </w:pPr>
      <w:r>
        <w:rPr>
          <w:rFonts w:ascii="Arial" w:cs="Arial" w:eastAsia="Arial" w:hAnsi="Arial"/>
          <w:sz w:val="16"/>
          <w:szCs w:val="16"/>
          <w:color w:val="auto"/>
        </w:rPr>
        <w:t>Safety</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Arial" w:cs="Arial" w:eastAsia="Arial" w:hAnsi="Arial"/>
          <w:sz w:val="16"/>
          <w:szCs w:val="16"/>
          <w:b w:val="1"/>
          <w:bCs w:val="1"/>
          <w:color w:val="FFFFFF"/>
        </w:rPr>
        <w:t>2022 EICP Performance Metrics (cont'd)</w:t>
      </w:r>
    </w:p>
    <w:p>
      <w:pPr>
        <w:spacing w:after="0" w:line="72" w:lineRule="exact"/>
        <w:rPr>
          <w:sz w:val="20"/>
          <w:szCs w:val="20"/>
          <w:color w:val="auto"/>
        </w:rPr>
      </w:pPr>
    </w:p>
    <w:p>
      <w:pPr>
        <w:ind w:right="140"/>
        <w:spacing w:after="0" w:line="218" w:lineRule="auto"/>
        <w:rPr>
          <w:sz w:val="20"/>
          <w:szCs w:val="20"/>
          <w:color w:val="auto"/>
        </w:rPr>
      </w:pPr>
      <w:r>
        <w:rPr>
          <w:rFonts w:ascii="Arial" w:cs="Arial" w:eastAsia="Arial" w:hAnsi="Arial"/>
          <w:sz w:val="16"/>
          <w:szCs w:val="16"/>
          <w:b w:val="1"/>
          <w:bCs w:val="1"/>
          <w:i w:val="1"/>
          <w:iCs w:val="1"/>
          <w:color w:val="auto"/>
        </w:rPr>
        <w:t xml:space="preserve">Rationale: </w:t>
      </w:r>
      <w:r>
        <w:rPr>
          <w:rFonts w:ascii="Arial" w:cs="Arial" w:eastAsia="Arial" w:hAnsi="Arial"/>
          <w:sz w:val="16"/>
          <w:szCs w:val="16"/>
          <w:color w:val="auto"/>
        </w:rPr>
        <w:t>Allows our CEO (or the Compensation Committee, in the case of Mr. Geveden) to differentiate incentive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pay-outs among our Named Executives by exercising discretion on the target amount of each Named Executive’s individual performance component, based on the assessment of each Named Executive’s individual performance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during 2022.</w:t>
      </w:r>
    </w:p>
    <w:p>
      <w:pPr>
        <w:spacing w:after="0" w:line="104" w:lineRule="exact"/>
        <w:rPr>
          <w:sz w:val="20"/>
          <w:szCs w:val="20"/>
          <w:color w:val="auto"/>
        </w:rPr>
      </w:pPr>
    </w:p>
    <w:p>
      <w:pPr>
        <w:ind w:right="20"/>
        <w:spacing w:after="0" w:line="224" w:lineRule="auto"/>
        <w:rPr>
          <w:sz w:val="20"/>
          <w:szCs w:val="20"/>
          <w:color w:val="auto"/>
        </w:rPr>
      </w:pPr>
      <w:r>
        <w:rPr>
          <w:rFonts w:ascii="Arial" w:cs="Arial" w:eastAsia="Arial" w:hAnsi="Arial"/>
          <w:sz w:val="16"/>
          <w:szCs w:val="16"/>
          <w:b w:val="1"/>
          <w:bCs w:val="1"/>
          <w:i w:val="1"/>
          <w:iCs w:val="1"/>
          <w:color w:val="auto"/>
        </w:rPr>
        <w:t xml:space="preserve">Safety Component: </w:t>
      </w:r>
      <w:r>
        <w:rPr>
          <w:rFonts w:ascii="Arial" w:cs="Arial" w:eastAsia="Arial" w:hAnsi="Arial"/>
          <w:sz w:val="16"/>
          <w:szCs w:val="16"/>
          <w:color w:val="auto"/>
        </w:rPr>
        <w:t>A key component of the success of our business is safety, and TRIR and DART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targets are included in the individual goal to focus attention on day-to-day operational safety by measuring (i) the rate</w:t>
      </w:r>
    </w:p>
    <w:p>
      <w:pPr>
        <w:spacing w:after="0" w:line="1" w:lineRule="exact"/>
        <w:rPr>
          <w:sz w:val="20"/>
          <w:szCs w:val="20"/>
          <w:color w:val="auto"/>
        </w:rPr>
      </w:pPr>
    </w:p>
    <w:p>
      <w:pPr>
        <w:ind w:right="400"/>
        <w:spacing w:after="0" w:line="233" w:lineRule="auto"/>
        <w:rPr>
          <w:sz w:val="20"/>
          <w:szCs w:val="20"/>
          <w:color w:val="auto"/>
        </w:rPr>
      </w:pPr>
      <w:r>
        <w:rPr>
          <w:rFonts w:ascii="Arial" w:cs="Arial" w:eastAsia="Arial" w:hAnsi="Arial"/>
          <w:sz w:val="16"/>
          <w:szCs w:val="16"/>
          <w:color w:val="auto"/>
        </w:rPr>
        <w:t>of recordable workplace injuries and (ii) the severity of injuries, respectively. There is a deduction for each of the TRIR and DART safety metrics if the target is not achieved.</w:t>
      </w:r>
    </w:p>
    <w:p>
      <w:pPr>
        <w:spacing w:after="0" w:line="90" w:lineRule="exact"/>
        <w:rPr>
          <w:sz w:val="20"/>
          <w:szCs w:val="20"/>
          <w:color w:val="auto"/>
        </w:rPr>
      </w:pPr>
    </w:p>
    <w:p>
      <w:pPr>
        <w:ind w:right="180"/>
        <w:spacing w:after="0" w:line="262" w:lineRule="auto"/>
        <w:rPr>
          <w:sz w:val="20"/>
          <w:szCs w:val="20"/>
          <w:color w:val="auto"/>
        </w:rPr>
      </w:pPr>
      <w:r>
        <w:rPr>
          <w:rFonts w:ascii="Arial" w:cs="Arial" w:eastAsia="Arial" w:hAnsi="Arial"/>
          <w:sz w:val="16"/>
          <w:szCs w:val="16"/>
          <w:b w:val="1"/>
          <w:bCs w:val="1"/>
          <w:i w:val="1"/>
          <w:iCs w:val="1"/>
          <w:color w:val="auto"/>
        </w:rPr>
        <w:t xml:space="preserve">Payout Calculation: </w:t>
      </w:r>
      <w:r>
        <w:rPr>
          <w:rFonts w:ascii="Arial" w:cs="Arial" w:eastAsia="Arial" w:hAnsi="Arial"/>
          <w:sz w:val="16"/>
          <w:szCs w:val="16"/>
          <w:color w:val="auto"/>
        </w:rPr>
        <w:t>Ranges from 0% - 200%, multiplied by the “Financial Multiplier;” referred to as the “Individual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-1804670</wp:posOffset>
            </wp:positionH>
            <wp:positionV relativeFrom="paragraph">
              <wp:posOffset>-12065</wp:posOffset>
            </wp:positionV>
            <wp:extent cx="7145655"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195" w:lineRule="exact"/>
        <w:rPr>
          <w:sz w:val="20"/>
          <w:szCs w:val="20"/>
          <w:color w:val="auto"/>
        </w:rPr>
      </w:pPr>
    </w:p>
    <w:p>
      <w:pPr>
        <w:sectPr>
          <w:pgSz w:w="11900" w:h="16838" w:orient="portrait"/>
          <w:cols w:equalWidth="0" w:num="2">
            <w:col w:w="2120" w:space="720"/>
            <w:col w:w="8420"/>
          </w:cols>
          <w:pgMar w:left="320" w:top="123" w:right="319" w:bottom="1440" w:gutter="0" w:footer="0" w:header="0"/>
          <w:type w:val="continuous"/>
        </w:sectPr>
      </w:pPr>
    </w:p>
    <w:p>
      <w:pPr>
        <w:spacing w:after="0"/>
        <w:rPr>
          <w:sz w:val="20"/>
          <w:szCs w:val="20"/>
          <w:color w:val="auto"/>
        </w:rPr>
      </w:pPr>
      <w:r>
        <w:rPr>
          <w:rFonts w:ascii="Arial" w:cs="Arial" w:eastAsia="Arial" w:hAnsi="Arial"/>
          <w:sz w:val="16"/>
          <w:szCs w:val="16"/>
          <w:b w:val="1"/>
          <w:bCs w:val="1"/>
          <w:i w:val="1"/>
          <w:iCs w:val="1"/>
          <w:color w:val="auto"/>
        </w:rPr>
        <w:t xml:space="preserve">Summary of EICP Payouts. </w:t>
      </w:r>
      <w:r>
        <w:rPr>
          <w:rFonts w:ascii="Arial" w:cs="Arial" w:eastAsia="Arial" w:hAnsi="Arial"/>
          <w:sz w:val="16"/>
          <w:szCs w:val="16"/>
          <w:color w:val="auto"/>
        </w:rPr>
        <w:t>The total payout percentage represents the combined results of applicable financial, individual and safety performance for each</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Named Executive. The amount paid under the EICP for 2022 can be illustrated by the following formula:</w:t>
      </w:r>
    </w:p>
    <w:p>
      <w:pPr>
        <w:spacing w:after="0" w:line="141" w:lineRule="exact"/>
        <w:rPr>
          <w:sz w:val="20"/>
          <w:szCs w:val="20"/>
          <w:color w:val="auto"/>
        </w:rPr>
      </w:pPr>
    </w:p>
    <w:p>
      <w:pPr>
        <w:ind w:left="2380"/>
        <w:spacing w:after="0"/>
        <w:rPr>
          <w:sz w:val="20"/>
          <w:szCs w:val="20"/>
          <w:color w:val="auto"/>
        </w:rPr>
      </w:pPr>
      <w:r>
        <w:rPr>
          <w:rFonts w:ascii="Arial" w:cs="Arial" w:eastAsia="Arial" w:hAnsi="Arial"/>
          <w:sz w:val="16"/>
          <w:szCs w:val="16"/>
          <w:b w:val="1"/>
          <w:bCs w:val="1"/>
          <w:color w:val="auto"/>
        </w:rPr>
        <w:t>Total Cash Award = Earnings from Salary x Target % x Total Payout % (0 – 200%)</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Total Payout % is the sum of the Financial Multiplier and Individual Performance Result.</w:t>
      </w:r>
    </w:p>
    <w:p>
      <w:pPr>
        <w:spacing w:after="0" w:line="96" w:lineRule="exact"/>
        <w:rPr>
          <w:sz w:val="20"/>
          <w:szCs w:val="20"/>
          <w:color w:val="auto"/>
        </w:rPr>
      </w:pPr>
    </w:p>
    <w:p>
      <w:pPr>
        <w:ind w:right="200"/>
        <w:spacing w:after="0" w:line="274" w:lineRule="auto"/>
        <w:rPr>
          <w:sz w:val="20"/>
          <w:szCs w:val="20"/>
          <w:color w:val="auto"/>
        </w:rPr>
      </w:pPr>
      <w:r>
        <w:rPr>
          <w:rFonts w:ascii="Arial" w:cs="Arial" w:eastAsia="Arial" w:hAnsi="Arial"/>
          <w:sz w:val="16"/>
          <w:szCs w:val="16"/>
          <w:color w:val="auto"/>
        </w:rPr>
        <w:t>At the time the Compensation Committee established the 2022 financial goals, it designed the 2022 annual incentive plan to exclude from actual operating income and operating cash flow results the effect of certain pre-established items that it believed would not reflect operating performance, including (1) expenses associated with</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30 </w:t>
      </w:r>
      <w:r>
        <w:rPr>
          <w:sz w:val="1"/>
          <w:szCs w:val="1"/>
          <w:color w:val="auto"/>
        </w:rPr>
        <w:drawing>
          <wp:inline distT="0" distB="0" distL="0" distR="0">
            <wp:extent cx="401955" cy="1625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42" w:name="page43"/>
    <w:bookmarkEnd w:id="42"/>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color w:val="auto"/>
        </w:rPr>
        <w:t>restructuring activity or asset acquisitions or dispositions, (2) pension accounting mark-to-market losses, (3) losses in respect of legal proceedings, divestitures, and impairment to assets, (4) acquisition-related amortization, (5) currency fluctuations, (6) acts of God, and (7) other unusual or non-recurring items.</w:t>
      </w:r>
    </w:p>
    <w:p>
      <w:pPr>
        <w:spacing w:after="0" w:line="28"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Regardless of the level of performance achieved, the Compensation Committee retains the right to adjust the amount of annual incentive compensation payable in its discretion.</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2022 EICP Performance Goals. </w:t>
      </w:r>
      <w:r>
        <w:rPr>
          <w:rFonts w:ascii="Arial" w:cs="Arial" w:eastAsia="Arial" w:hAnsi="Arial"/>
          <w:sz w:val="16"/>
          <w:szCs w:val="16"/>
          <w:color w:val="auto"/>
        </w:rPr>
        <w:t>The Compensation Committee established the following financial and safety performance goals for 2022.</w:t>
      </w:r>
    </w:p>
    <w:p>
      <w:pPr>
        <w:spacing w:after="0" w:line="20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2022 EICP FINANCIAL GOALS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40" w:type="dxa"/>
            <w:vAlign w:val="bottom"/>
            <w:shd w:val="clear" w:color="auto" w:fill="000000"/>
          </w:tcPr>
          <w:p>
            <w:pPr>
              <w:ind w:left="1200"/>
              <w:spacing w:after="0"/>
              <w:rPr>
                <w:sz w:val="20"/>
                <w:szCs w:val="20"/>
                <w:color w:val="auto"/>
              </w:rPr>
            </w:pPr>
            <w:r>
              <w:rPr>
                <w:rFonts w:ascii="Arial" w:cs="Arial" w:eastAsia="Arial" w:hAnsi="Arial"/>
                <w:sz w:val="13"/>
                <w:szCs w:val="13"/>
                <w:b w:val="1"/>
                <w:bCs w:val="1"/>
                <w:color w:val="FFFFFF"/>
              </w:rPr>
              <w:t>Metric (Weight)</w:t>
            </w:r>
          </w:p>
        </w:tc>
        <w:tc>
          <w:tcPr>
            <w:tcW w:w="18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Threshold Goal</w:t>
            </w:r>
          </w:p>
        </w:tc>
        <w:tc>
          <w:tcPr>
            <w:tcW w:w="18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Target Goal</w:t>
            </w:r>
          </w:p>
        </w:tc>
        <w:tc>
          <w:tcPr>
            <w:tcW w:w="18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Maximum Goal</w:t>
            </w:r>
          </w:p>
        </w:tc>
        <w:tc>
          <w:tcPr>
            <w:tcW w:w="18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4"/>
              </w:rPr>
              <w:t>Actual</w:t>
            </w:r>
            <w:r>
              <w:rPr>
                <w:rFonts w:ascii="Arial" w:cs="Arial" w:eastAsia="Arial" w:hAnsi="Arial"/>
                <w:sz w:val="16"/>
                <w:szCs w:val="16"/>
                <w:b w:val="1"/>
                <w:bCs w:val="1"/>
                <w:color w:val="FFFFFF"/>
                <w:w w:val="94"/>
                <w:vertAlign w:val="superscript"/>
              </w:rPr>
              <w:t>(1)</w:t>
            </w:r>
          </w:p>
        </w:tc>
        <w:tc>
          <w:tcPr>
            <w:tcW w:w="20" w:type="dxa"/>
            <w:vAlign w:val="bottom"/>
            <w:shd w:val="clear" w:color="auto" w:fill="000000"/>
          </w:tcPr>
          <w:p>
            <w:pPr>
              <w:spacing w:after="0"/>
              <w:rPr>
                <w:sz w:val="16"/>
                <w:szCs w:val="16"/>
                <w:color w:val="auto"/>
              </w:rPr>
            </w:pPr>
          </w:p>
        </w:tc>
      </w:tr>
      <w:tr>
        <w:trPr>
          <w:trHeight w:val="122"/>
        </w:trPr>
        <w:tc>
          <w:tcPr>
            <w:tcW w:w="3340" w:type="dxa"/>
            <w:vAlign w:val="bottom"/>
            <w:shd w:val="clear" w:color="auto" w:fill="000000"/>
          </w:tcPr>
          <w:p>
            <w:pPr>
              <w:spacing w:after="0"/>
              <w:rPr>
                <w:sz w:val="10"/>
                <w:szCs w:val="10"/>
                <w:color w:val="auto"/>
              </w:rPr>
            </w:pPr>
          </w:p>
        </w:tc>
        <w:tc>
          <w:tcPr>
            <w:tcW w:w="1840" w:type="dxa"/>
            <w:vAlign w:val="bottom"/>
            <w:shd w:val="clear" w:color="auto" w:fill="000000"/>
          </w:tcPr>
          <w:p>
            <w:pPr>
              <w:jc w:val="center"/>
              <w:spacing w:after="0" w:line="110" w:lineRule="exact"/>
              <w:rPr>
                <w:sz w:val="20"/>
                <w:szCs w:val="20"/>
                <w:color w:val="auto"/>
              </w:rPr>
            </w:pPr>
            <w:r>
              <w:rPr>
                <w:rFonts w:ascii="Arial" w:cs="Arial" w:eastAsia="Arial" w:hAnsi="Arial"/>
                <w:sz w:val="12"/>
                <w:szCs w:val="12"/>
                <w:b w:val="1"/>
                <w:bCs w:val="1"/>
                <w:i w:val="1"/>
                <w:iCs w:val="1"/>
                <w:color w:val="FFFFFF"/>
              </w:rPr>
              <w:t>50% Payout</w:t>
            </w:r>
          </w:p>
        </w:tc>
        <w:tc>
          <w:tcPr>
            <w:tcW w:w="1860" w:type="dxa"/>
            <w:vAlign w:val="bottom"/>
            <w:shd w:val="clear" w:color="auto" w:fill="000000"/>
          </w:tcPr>
          <w:p>
            <w:pPr>
              <w:jc w:val="center"/>
              <w:spacing w:after="0" w:line="110" w:lineRule="exact"/>
              <w:rPr>
                <w:sz w:val="20"/>
                <w:szCs w:val="20"/>
                <w:color w:val="auto"/>
              </w:rPr>
            </w:pPr>
            <w:r>
              <w:rPr>
                <w:rFonts w:ascii="Arial" w:cs="Arial" w:eastAsia="Arial" w:hAnsi="Arial"/>
                <w:sz w:val="12"/>
                <w:szCs w:val="12"/>
                <w:b w:val="1"/>
                <w:bCs w:val="1"/>
                <w:i w:val="1"/>
                <w:iCs w:val="1"/>
                <w:color w:val="FFFFFF"/>
              </w:rPr>
              <w:t>100% Payout</w:t>
            </w:r>
          </w:p>
        </w:tc>
        <w:tc>
          <w:tcPr>
            <w:tcW w:w="1840" w:type="dxa"/>
            <w:vAlign w:val="bottom"/>
            <w:shd w:val="clear" w:color="auto" w:fill="000000"/>
          </w:tcPr>
          <w:p>
            <w:pPr>
              <w:jc w:val="center"/>
              <w:spacing w:after="0" w:line="110" w:lineRule="exact"/>
              <w:rPr>
                <w:sz w:val="20"/>
                <w:szCs w:val="20"/>
                <w:color w:val="auto"/>
              </w:rPr>
            </w:pPr>
            <w:r>
              <w:rPr>
                <w:rFonts w:ascii="Arial" w:cs="Arial" w:eastAsia="Arial" w:hAnsi="Arial"/>
                <w:sz w:val="12"/>
                <w:szCs w:val="12"/>
                <w:b w:val="1"/>
                <w:bCs w:val="1"/>
                <w:i w:val="1"/>
                <w:iCs w:val="1"/>
                <w:color w:val="FFFFFF"/>
              </w:rPr>
              <w:t>200% Payout</w:t>
            </w:r>
          </w:p>
        </w:tc>
        <w:tc>
          <w:tcPr>
            <w:tcW w:w="1880" w:type="dxa"/>
            <w:vAlign w:val="bottom"/>
            <w:shd w:val="clear" w:color="auto" w:fill="000000"/>
          </w:tcPr>
          <w:p>
            <w:pPr>
              <w:spacing w:after="0"/>
              <w:rPr>
                <w:sz w:val="10"/>
                <w:szCs w:val="10"/>
                <w:color w:val="auto"/>
              </w:rPr>
            </w:pPr>
          </w:p>
        </w:tc>
        <w:tc>
          <w:tcPr>
            <w:tcW w:w="20" w:type="dxa"/>
            <w:vAlign w:val="bottom"/>
            <w:shd w:val="clear" w:color="auto" w:fill="000000"/>
          </w:tcPr>
          <w:p>
            <w:pPr>
              <w:spacing w:after="0"/>
              <w:rPr>
                <w:sz w:val="10"/>
                <w:szCs w:val="10"/>
                <w:color w:val="auto"/>
              </w:rPr>
            </w:pPr>
          </w:p>
        </w:tc>
      </w:tr>
      <w:tr>
        <w:trPr>
          <w:trHeight w:val="195"/>
        </w:trPr>
        <w:tc>
          <w:tcPr>
            <w:tcW w:w="3340" w:type="dxa"/>
            <w:vAlign w:val="bottom"/>
          </w:tcPr>
          <w:p>
            <w:pPr>
              <w:ind w:left="20"/>
              <w:spacing w:after="0" w:line="195" w:lineRule="exact"/>
              <w:rPr>
                <w:sz w:val="20"/>
                <w:szCs w:val="20"/>
                <w:color w:val="auto"/>
              </w:rPr>
            </w:pPr>
            <w:r>
              <w:rPr>
                <w:rFonts w:ascii="Arial" w:cs="Arial" w:eastAsia="Arial" w:hAnsi="Arial"/>
                <w:sz w:val="15"/>
                <w:szCs w:val="15"/>
                <w:b w:val="1"/>
                <w:bCs w:val="1"/>
                <w:color w:val="auto"/>
              </w:rPr>
              <w:t>Operating Income</w:t>
            </w:r>
            <w:r>
              <w:rPr>
                <w:rFonts w:ascii="Arial" w:cs="Arial" w:eastAsia="Arial" w:hAnsi="Arial"/>
                <w:sz w:val="18"/>
                <w:szCs w:val="18"/>
                <w:b w:val="1"/>
                <w:bCs w:val="1"/>
                <w:color w:val="auto"/>
                <w:vertAlign w:val="superscript"/>
              </w:rPr>
              <w:t>(2)</w:t>
            </w:r>
            <w:r>
              <w:rPr>
                <w:rFonts w:ascii="Arial" w:cs="Arial" w:eastAsia="Arial" w:hAnsi="Arial"/>
                <w:sz w:val="15"/>
                <w:szCs w:val="15"/>
                <w:b w:val="1"/>
                <w:bCs w:val="1"/>
                <w:color w:val="auto"/>
              </w:rPr>
              <w:t xml:space="preserve"> (75%)</w:t>
            </w:r>
          </w:p>
        </w:tc>
        <w:tc>
          <w:tcPr>
            <w:tcW w:w="1840" w:type="dxa"/>
            <w:vAlign w:val="bottom"/>
          </w:tcPr>
          <w:p>
            <w:pPr>
              <w:jc w:val="center"/>
              <w:spacing w:after="0"/>
              <w:rPr>
                <w:sz w:val="20"/>
                <w:szCs w:val="20"/>
                <w:color w:val="auto"/>
              </w:rPr>
            </w:pPr>
            <w:r>
              <w:rPr>
                <w:rFonts w:ascii="Arial" w:cs="Arial" w:eastAsia="Arial" w:hAnsi="Arial"/>
                <w:sz w:val="15"/>
                <w:szCs w:val="15"/>
                <w:color w:val="auto"/>
                <w:w w:val="99"/>
              </w:rPr>
              <w:t>$287.3 million</w:t>
            </w:r>
          </w:p>
        </w:tc>
        <w:tc>
          <w:tcPr>
            <w:tcW w:w="18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7"/>
              </w:rPr>
              <w:t>$359.1 million</w:t>
            </w:r>
          </w:p>
        </w:tc>
        <w:tc>
          <w:tcPr>
            <w:tcW w:w="1840" w:type="dxa"/>
            <w:vAlign w:val="bottom"/>
          </w:tcPr>
          <w:p>
            <w:pPr>
              <w:jc w:val="center"/>
              <w:spacing w:after="0"/>
              <w:rPr>
                <w:sz w:val="20"/>
                <w:szCs w:val="20"/>
                <w:color w:val="auto"/>
              </w:rPr>
            </w:pPr>
            <w:r>
              <w:rPr>
                <w:rFonts w:ascii="Arial" w:cs="Arial" w:eastAsia="Arial" w:hAnsi="Arial"/>
                <w:sz w:val="15"/>
                <w:szCs w:val="15"/>
                <w:color w:val="auto"/>
                <w:w w:val="97"/>
              </w:rPr>
              <w:t>$430.9 million</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w w:val="97"/>
              </w:rPr>
              <w:t>$367.5 million</w:t>
            </w:r>
          </w:p>
        </w:tc>
        <w:tc>
          <w:tcPr>
            <w:tcW w:w="20" w:type="dxa"/>
            <w:vAlign w:val="bottom"/>
          </w:tcPr>
          <w:p>
            <w:pPr>
              <w:spacing w:after="0"/>
              <w:rPr>
                <w:sz w:val="16"/>
                <w:szCs w:val="16"/>
                <w:color w:val="auto"/>
              </w:rPr>
            </w:pPr>
          </w:p>
        </w:tc>
      </w:tr>
      <w:tr>
        <w:trPr>
          <w:trHeight w:val="195"/>
        </w:trPr>
        <w:tc>
          <w:tcPr>
            <w:tcW w:w="3340" w:type="dxa"/>
            <w:vAlign w:val="bottom"/>
          </w:tcPr>
          <w:p>
            <w:pPr>
              <w:ind w:left="20"/>
              <w:spacing w:after="0"/>
              <w:rPr>
                <w:sz w:val="20"/>
                <w:szCs w:val="20"/>
                <w:color w:val="auto"/>
              </w:rPr>
            </w:pPr>
            <w:r>
              <w:rPr>
                <w:rFonts w:ascii="Arial" w:cs="Arial" w:eastAsia="Arial" w:hAnsi="Arial"/>
                <w:sz w:val="15"/>
                <w:szCs w:val="15"/>
                <w:b w:val="1"/>
                <w:bCs w:val="1"/>
                <w:color w:val="auto"/>
              </w:rPr>
              <w:t>Operating Cash Flow (15%)</w:t>
            </w:r>
          </w:p>
        </w:tc>
        <w:tc>
          <w:tcPr>
            <w:tcW w:w="1840" w:type="dxa"/>
            <w:vAlign w:val="bottom"/>
          </w:tcPr>
          <w:p>
            <w:pPr>
              <w:jc w:val="center"/>
              <w:spacing w:after="0"/>
              <w:rPr>
                <w:sz w:val="20"/>
                <w:szCs w:val="20"/>
                <w:color w:val="auto"/>
              </w:rPr>
            </w:pPr>
            <w:r>
              <w:rPr>
                <w:rFonts w:ascii="Arial" w:cs="Arial" w:eastAsia="Arial" w:hAnsi="Arial"/>
                <w:sz w:val="15"/>
                <w:szCs w:val="15"/>
                <w:color w:val="auto"/>
                <w:w w:val="99"/>
              </w:rPr>
              <w:t>$207.0 million</w:t>
            </w:r>
          </w:p>
        </w:tc>
        <w:tc>
          <w:tcPr>
            <w:tcW w:w="186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7"/>
              </w:rPr>
              <w:t>$258.7 million</w:t>
            </w:r>
          </w:p>
        </w:tc>
        <w:tc>
          <w:tcPr>
            <w:tcW w:w="1840" w:type="dxa"/>
            <w:vAlign w:val="bottom"/>
          </w:tcPr>
          <w:p>
            <w:pPr>
              <w:jc w:val="center"/>
              <w:spacing w:after="0"/>
              <w:rPr>
                <w:sz w:val="20"/>
                <w:szCs w:val="20"/>
                <w:color w:val="auto"/>
              </w:rPr>
            </w:pPr>
            <w:r>
              <w:rPr>
                <w:rFonts w:ascii="Arial" w:cs="Arial" w:eastAsia="Arial" w:hAnsi="Arial"/>
                <w:sz w:val="15"/>
                <w:szCs w:val="15"/>
                <w:color w:val="auto"/>
                <w:w w:val="97"/>
              </w:rPr>
              <w:t>$310.4 million</w:t>
            </w:r>
          </w:p>
        </w:tc>
        <w:tc>
          <w:tcPr>
            <w:tcW w:w="1880" w:type="dxa"/>
            <w:vAlign w:val="bottom"/>
            <w:shd w:val="clear" w:color="auto" w:fill="DBDBDB"/>
          </w:tcPr>
          <w:p>
            <w:pPr>
              <w:jc w:val="center"/>
              <w:spacing w:after="0"/>
              <w:rPr>
                <w:sz w:val="20"/>
                <w:szCs w:val="20"/>
                <w:color w:val="auto"/>
              </w:rPr>
            </w:pPr>
            <w:r>
              <w:rPr>
                <w:rFonts w:ascii="Arial" w:cs="Arial" w:eastAsia="Arial" w:hAnsi="Arial"/>
                <w:sz w:val="15"/>
                <w:szCs w:val="15"/>
                <w:b w:val="1"/>
                <w:bCs w:val="1"/>
                <w:color w:val="auto"/>
                <w:w w:val="97"/>
              </w:rPr>
              <w:t>$250.6 million</w:t>
            </w:r>
          </w:p>
        </w:tc>
        <w:tc>
          <w:tcPr>
            <w:tcW w:w="20" w:type="dxa"/>
            <w:vAlign w:val="bottom"/>
          </w:tcPr>
          <w:p>
            <w:pPr>
              <w:spacing w:after="0"/>
              <w:rPr>
                <w:sz w:val="16"/>
                <w:szCs w:val="16"/>
                <w:color w:val="auto"/>
              </w:rPr>
            </w:pPr>
          </w:p>
        </w:tc>
      </w:tr>
    </w:tbl>
    <w:p>
      <w:pPr>
        <w:ind w:left="160" w:hanging="146"/>
        <w:spacing w:after="0" w:line="216" w:lineRule="auto"/>
        <w:tabs>
          <w:tab w:leader="none" w:pos="160" w:val="left"/>
        </w:tabs>
        <w:numPr>
          <w:ilvl w:val="0"/>
          <w:numId w:val="68"/>
        </w:numPr>
        <w:rPr>
          <w:rFonts w:ascii="Arial" w:cs="Arial" w:eastAsia="Arial" w:hAnsi="Arial"/>
          <w:sz w:val="17"/>
          <w:szCs w:val="17"/>
          <w:color w:val="auto"/>
          <w:vertAlign w:val="superscript"/>
        </w:rPr>
      </w:pPr>
      <w:r>
        <w:rPr>
          <w:rFonts w:ascii="Arial" w:cs="Arial" w:eastAsia="Arial" w:hAnsi="Arial"/>
          <w:sz w:val="13"/>
          <w:szCs w:val="13"/>
          <w:color w:val="auto"/>
        </w:rPr>
        <w:t>See "Analysis of Financial Performance" below for more information.</w:t>
      </w:r>
    </w:p>
    <w:p>
      <w:pPr>
        <w:spacing w:after="0" w:line="23" w:lineRule="exact"/>
        <w:rPr>
          <w:rFonts w:ascii="Arial" w:cs="Arial" w:eastAsia="Arial" w:hAnsi="Arial"/>
          <w:sz w:val="17"/>
          <w:szCs w:val="17"/>
          <w:color w:val="auto"/>
          <w:vertAlign w:val="superscript"/>
        </w:rPr>
      </w:pPr>
    </w:p>
    <w:p>
      <w:pPr>
        <w:ind w:left="20" w:right="960" w:hanging="6"/>
        <w:spacing w:after="0" w:line="204" w:lineRule="auto"/>
        <w:tabs>
          <w:tab w:leader="none" w:pos="159" w:val="left"/>
        </w:tabs>
        <w:numPr>
          <w:ilvl w:val="0"/>
          <w:numId w:val="68"/>
        </w:numPr>
        <w:rPr>
          <w:rFonts w:ascii="Arial" w:cs="Arial" w:eastAsia="Arial" w:hAnsi="Arial"/>
          <w:sz w:val="17"/>
          <w:szCs w:val="17"/>
          <w:color w:val="auto"/>
          <w:vertAlign w:val="superscript"/>
        </w:rPr>
      </w:pPr>
      <w:r>
        <w:rPr>
          <w:rFonts w:ascii="Arial" w:cs="Arial" w:eastAsia="Arial" w:hAnsi="Arial"/>
          <w:sz w:val="13"/>
          <w:szCs w:val="13"/>
          <w:color w:val="auto"/>
        </w:rPr>
        <w:t>The financial performance for all Named Executives is based on BWXT consolidated financial results, except for Adm. McCoy, for whom operating income (75% of 2022 EICP) is measured 40% on BWXT consolidated results and 35% on the Government Operations segment results.</w:t>
      </w:r>
    </w:p>
    <w:p>
      <w:pPr>
        <w:spacing w:after="0" w:line="33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2022 SAFETY GOALS</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40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Safety Metric</w:t>
            </w:r>
          </w:p>
        </w:tc>
        <w:tc>
          <w:tcPr>
            <w:tcW w:w="2180" w:type="dxa"/>
            <w:vAlign w:val="bottom"/>
            <w:shd w:val="clear" w:color="auto" w:fill="000000"/>
          </w:tcPr>
          <w:p>
            <w:pPr>
              <w:jc w:val="center"/>
              <w:ind w:left="83"/>
              <w:spacing w:after="0"/>
              <w:rPr>
                <w:sz w:val="20"/>
                <w:szCs w:val="20"/>
                <w:color w:val="auto"/>
              </w:rPr>
            </w:pPr>
            <w:r>
              <w:rPr>
                <w:rFonts w:ascii="Arial" w:cs="Arial" w:eastAsia="Arial" w:hAnsi="Arial"/>
                <w:sz w:val="13"/>
                <w:szCs w:val="13"/>
                <w:b w:val="1"/>
                <w:bCs w:val="1"/>
                <w:color w:val="FFFFFF"/>
                <w:w w:val="98"/>
              </w:rPr>
              <w:t>Threshold</w:t>
            </w:r>
          </w:p>
        </w:tc>
        <w:tc>
          <w:tcPr>
            <w:tcW w:w="20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Target</w:t>
            </w:r>
          </w:p>
        </w:tc>
        <w:tc>
          <w:tcPr>
            <w:tcW w:w="204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Maximum</w:t>
            </w:r>
          </w:p>
        </w:tc>
        <w:tc>
          <w:tcPr>
            <w:tcW w:w="208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5"/>
              </w:rPr>
              <w:t>Actual</w:t>
            </w:r>
          </w:p>
        </w:tc>
        <w:tc>
          <w:tcPr>
            <w:tcW w:w="20" w:type="dxa"/>
            <w:vAlign w:val="bottom"/>
            <w:shd w:val="clear" w:color="auto" w:fill="00497F"/>
          </w:tcPr>
          <w:p>
            <w:pPr>
              <w:spacing w:after="0"/>
              <w:rPr>
                <w:sz w:val="14"/>
                <w:szCs w:val="14"/>
                <w:color w:val="auto"/>
              </w:rPr>
            </w:pPr>
          </w:p>
        </w:tc>
      </w:tr>
      <w:tr>
        <w:trPr>
          <w:trHeight w:val="202"/>
        </w:trPr>
        <w:tc>
          <w:tcPr>
            <w:tcW w:w="2400" w:type="dxa"/>
            <w:vAlign w:val="bottom"/>
          </w:tcPr>
          <w:p>
            <w:pPr>
              <w:ind w:left="20"/>
              <w:spacing w:after="0"/>
              <w:rPr>
                <w:sz w:val="20"/>
                <w:szCs w:val="20"/>
                <w:color w:val="auto"/>
              </w:rPr>
            </w:pPr>
            <w:r>
              <w:rPr>
                <w:rFonts w:ascii="Arial" w:cs="Arial" w:eastAsia="Arial" w:hAnsi="Arial"/>
                <w:sz w:val="16"/>
                <w:szCs w:val="16"/>
                <w:color w:val="auto"/>
              </w:rPr>
              <w:t>TRIR</w:t>
            </w:r>
          </w:p>
        </w:tc>
        <w:tc>
          <w:tcPr>
            <w:tcW w:w="2180" w:type="dxa"/>
            <w:vAlign w:val="bottom"/>
          </w:tcPr>
          <w:p>
            <w:pPr>
              <w:jc w:val="center"/>
              <w:ind w:left="63"/>
              <w:spacing w:after="0"/>
              <w:rPr>
                <w:sz w:val="20"/>
                <w:szCs w:val="20"/>
                <w:color w:val="auto"/>
              </w:rPr>
            </w:pPr>
            <w:r>
              <w:rPr>
                <w:rFonts w:ascii="Arial" w:cs="Arial" w:eastAsia="Arial" w:hAnsi="Arial"/>
                <w:sz w:val="16"/>
                <w:szCs w:val="16"/>
                <w:color w:val="auto"/>
              </w:rPr>
              <w:t>0.86</w:t>
            </w:r>
          </w:p>
        </w:tc>
        <w:tc>
          <w:tcPr>
            <w:tcW w:w="2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0.68</w:t>
            </w:r>
          </w:p>
        </w:tc>
        <w:tc>
          <w:tcPr>
            <w:tcW w:w="2040" w:type="dxa"/>
            <w:vAlign w:val="bottom"/>
          </w:tcPr>
          <w:p>
            <w:pPr>
              <w:jc w:val="center"/>
              <w:spacing w:after="0"/>
              <w:rPr>
                <w:sz w:val="20"/>
                <w:szCs w:val="20"/>
                <w:color w:val="auto"/>
              </w:rPr>
            </w:pPr>
            <w:r>
              <w:rPr>
                <w:rFonts w:ascii="Arial" w:cs="Arial" w:eastAsia="Arial" w:hAnsi="Arial"/>
                <w:sz w:val="16"/>
                <w:szCs w:val="16"/>
                <w:color w:val="auto"/>
              </w:rPr>
              <w:t>0.58</w:t>
            </w:r>
          </w:p>
        </w:tc>
        <w:tc>
          <w:tcPr>
            <w:tcW w:w="2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0.67</w:t>
            </w:r>
          </w:p>
        </w:tc>
        <w:tc>
          <w:tcPr>
            <w:tcW w:w="20" w:type="dxa"/>
            <w:vAlign w:val="bottom"/>
          </w:tcPr>
          <w:p>
            <w:pPr>
              <w:spacing w:after="0"/>
              <w:rPr>
                <w:sz w:val="17"/>
                <w:szCs w:val="17"/>
                <w:color w:val="auto"/>
              </w:rPr>
            </w:pPr>
          </w:p>
        </w:tc>
      </w:tr>
      <w:tr>
        <w:trPr>
          <w:trHeight w:val="207"/>
        </w:trPr>
        <w:tc>
          <w:tcPr>
            <w:tcW w:w="2400" w:type="dxa"/>
            <w:vAlign w:val="bottom"/>
          </w:tcPr>
          <w:p>
            <w:pPr>
              <w:ind w:left="20"/>
              <w:spacing w:after="0"/>
              <w:rPr>
                <w:sz w:val="20"/>
                <w:szCs w:val="20"/>
                <w:color w:val="auto"/>
              </w:rPr>
            </w:pPr>
            <w:r>
              <w:rPr>
                <w:rFonts w:ascii="Arial" w:cs="Arial" w:eastAsia="Arial" w:hAnsi="Arial"/>
                <w:sz w:val="16"/>
                <w:szCs w:val="16"/>
                <w:color w:val="auto"/>
              </w:rPr>
              <w:t>DART</w:t>
            </w:r>
          </w:p>
        </w:tc>
        <w:tc>
          <w:tcPr>
            <w:tcW w:w="2180" w:type="dxa"/>
            <w:vAlign w:val="bottom"/>
          </w:tcPr>
          <w:p>
            <w:pPr>
              <w:jc w:val="center"/>
              <w:ind w:left="63"/>
              <w:spacing w:after="0"/>
              <w:rPr>
                <w:sz w:val="20"/>
                <w:szCs w:val="20"/>
                <w:color w:val="auto"/>
              </w:rPr>
            </w:pPr>
            <w:r>
              <w:rPr>
                <w:rFonts w:ascii="Arial" w:cs="Arial" w:eastAsia="Arial" w:hAnsi="Arial"/>
                <w:sz w:val="16"/>
                <w:szCs w:val="16"/>
                <w:color w:val="auto"/>
              </w:rPr>
              <w:t>0.32</w:t>
            </w:r>
          </w:p>
        </w:tc>
        <w:tc>
          <w:tcPr>
            <w:tcW w:w="2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0.26</w:t>
            </w:r>
          </w:p>
        </w:tc>
        <w:tc>
          <w:tcPr>
            <w:tcW w:w="2040" w:type="dxa"/>
            <w:vAlign w:val="bottom"/>
          </w:tcPr>
          <w:p>
            <w:pPr>
              <w:jc w:val="center"/>
              <w:spacing w:after="0"/>
              <w:rPr>
                <w:sz w:val="20"/>
                <w:szCs w:val="20"/>
                <w:color w:val="auto"/>
              </w:rPr>
            </w:pPr>
            <w:r>
              <w:rPr>
                <w:rFonts w:ascii="Arial" w:cs="Arial" w:eastAsia="Arial" w:hAnsi="Arial"/>
                <w:sz w:val="16"/>
                <w:szCs w:val="16"/>
                <w:color w:val="auto"/>
              </w:rPr>
              <w:t>0.22</w:t>
            </w:r>
          </w:p>
        </w:tc>
        <w:tc>
          <w:tcPr>
            <w:tcW w:w="2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0.29</w:t>
            </w:r>
          </w:p>
        </w:tc>
        <w:tc>
          <w:tcPr>
            <w:tcW w:w="20" w:type="dxa"/>
            <w:vAlign w:val="bottom"/>
          </w:tcPr>
          <w:p>
            <w:pPr>
              <w:spacing w:after="0"/>
              <w:rPr>
                <w:sz w:val="18"/>
                <w:szCs w:val="18"/>
                <w:color w:val="auto"/>
              </w:rPr>
            </w:pPr>
          </w:p>
        </w:tc>
      </w:tr>
      <w:tr>
        <w:trPr>
          <w:trHeight w:val="212"/>
        </w:trPr>
        <w:tc>
          <w:tcPr>
            <w:tcW w:w="2400" w:type="dxa"/>
            <w:vAlign w:val="bottom"/>
          </w:tcPr>
          <w:p>
            <w:pPr>
              <w:ind w:left="20"/>
              <w:spacing w:after="0"/>
              <w:rPr>
                <w:sz w:val="20"/>
                <w:szCs w:val="20"/>
                <w:color w:val="auto"/>
              </w:rPr>
            </w:pPr>
            <w:r>
              <w:rPr>
                <w:rFonts w:ascii="Arial" w:cs="Arial" w:eastAsia="Arial" w:hAnsi="Arial"/>
                <w:sz w:val="16"/>
                <w:szCs w:val="16"/>
                <w:color w:val="auto"/>
              </w:rPr>
              <w:t>Total Safety Multiplier</w:t>
            </w:r>
          </w:p>
        </w:tc>
        <w:tc>
          <w:tcPr>
            <w:tcW w:w="2180" w:type="dxa"/>
            <w:vAlign w:val="bottom"/>
          </w:tcPr>
          <w:p>
            <w:pPr>
              <w:jc w:val="center"/>
              <w:ind w:left="63"/>
              <w:spacing w:after="0"/>
              <w:rPr>
                <w:sz w:val="20"/>
                <w:szCs w:val="20"/>
                <w:color w:val="auto"/>
              </w:rPr>
            </w:pPr>
            <w:r>
              <w:rPr>
                <w:rFonts w:ascii="Arial" w:cs="Arial" w:eastAsia="Arial" w:hAnsi="Arial"/>
                <w:sz w:val="16"/>
                <w:szCs w:val="16"/>
                <w:color w:val="auto"/>
              </w:rPr>
              <w:t>0.50</w:t>
            </w:r>
          </w:p>
        </w:tc>
        <w:tc>
          <w:tcPr>
            <w:tcW w:w="2060" w:type="dxa"/>
            <w:vAlign w:val="bottom"/>
            <w:shd w:val="clear" w:color="auto" w:fill="DBDBDB"/>
          </w:tcPr>
          <w:p>
            <w:pPr>
              <w:jc w:val="center"/>
              <w:spacing w:after="0"/>
              <w:rPr>
                <w:sz w:val="20"/>
                <w:szCs w:val="20"/>
                <w:color w:val="auto"/>
              </w:rPr>
            </w:pPr>
            <w:r>
              <w:rPr>
                <w:rFonts w:ascii="Arial" w:cs="Arial" w:eastAsia="Arial" w:hAnsi="Arial"/>
                <w:sz w:val="16"/>
                <w:szCs w:val="16"/>
                <w:color w:val="auto"/>
                <w:w w:val="96"/>
              </w:rPr>
              <w:t>1.00</w:t>
            </w:r>
          </w:p>
        </w:tc>
        <w:tc>
          <w:tcPr>
            <w:tcW w:w="2040" w:type="dxa"/>
            <w:vAlign w:val="bottom"/>
          </w:tcPr>
          <w:p>
            <w:pPr>
              <w:jc w:val="center"/>
              <w:spacing w:after="0"/>
              <w:rPr>
                <w:sz w:val="20"/>
                <w:szCs w:val="20"/>
                <w:color w:val="auto"/>
              </w:rPr>
            </w:pPr>
            <w:r>
              <w:rPr>
                <w:rFonts w:ascii="Arial" w:cs="Arial" w:eastAsia="Arial" w:hAnsi="Arial"/>
                <w:sz w:val="16"/>
                <w:szCs w:val="16"/>
                <w:color w:val="auto"/>
              </w:rPr>
              <w:t>2.00</w:t>
            </w:r>
          </w:p>
        </w:tc>
        <w:tc>
          <w:tcPr>
            <w:tcW w:w="2080" w:type="dxa"/>
            <w:vAlign w:val="bottom"/>
            <w:shd w:val="clear" w:color="auto" w:fill="DBDBDB"/>
          </w:tcPr>
          <w:p>
            <w:pPr>
              <w:jc w:val="center"/>
              <w:spacing w:after="0"/>
              <w:rPr>
                <w:sz w:val="20"/>
                <w:szCs w:val="20"/>
                <w:color w:val="auto"/>
              </w:rPr>
            </w:pPr>
            <w:r>
              <w:rPr>
                <w:rFonts w:ascii="Arial" w:cs="Arial" w:eastAsia="Arial" w:hAnsi="Arial"/>
                <w:sz w:val="16"/>
                <w:szCs w:val="16"/>
                <w:color w:val="auto"/>
              </w:rPr>
              <w:t>0.93</w:t>
            </w:r>
          </w:p>
        </w:tc>
        <w:tc>
          <w:tcPr>
            <w:tcW w:w="20" w:type="dxa"/>
            <w:vAlign w:val="bottom"/>
          </w:tcPr>
          <w:p>
            <w:pPr>
              <w:spacing w:after="0"/>
              <w:rPr>
                <w:sz w:val="18"/>
                <w:szCs w:val="18"/>
                <w:color w:val="auto"/>
              </w:rPr>
            </w:pPr>
          </w:p>
        </w:tc>
      </w:tr>
    </w:tbl>
    <w:p>
      <w:pPr>
        <w:spacing w:after="0" w:line="215"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b w:val="1"/>
          <w:bCs w:val="1"/>
          <w:i w:val="1"/>
          <w:iCs w:val="1"/>
          <w:color w:val="auto"/>
        </w:rPr>
        <w:t xml:space="preserve">2022 EICP Performance Results. </w:t>
      </w:r>
      <w:r>
        <w:rPr>
          <w:rFonts w:ascii="Arial" w:cs="Arial" w:eastAsia="Arial" w:hAnsi="Arial"/>
          <w:sz w:val="16"/>
          <w:szCs w:val="16"/>
          <w:color w:val="auto"/>
        </w:rPr>
        <w:t>The following table summarizes the level of financial performance and safety results, included in the individual goals,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relative to the target goals before the application of negative discretion by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1614805</wp:posOffset>
            </wp:positionH>
            <wp:positionV relativeFrom="paragraph">
              <wp:posOffset>-27305</wp:posOffset>
            </wp:positionV>
            <wp:extent cx="3912870" cy="19564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912870" cy="1956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b w:val="1"/>
          <w:bCs w:val="1"/>
          <w:i w:val="1"/>
          <w:iCs w:val="1"/>
          <w:color w:val="auto"/>
        </w:rPr>
        <w:t xml:space="preserve">Analysis of Financial Performance. </w:t>
      </w:r>
      <w:r>
        <w:rPr>
          <w:rFonts w:ascii="Arial" w:cs="Arial" w:eastAsia="Arial" w:hAnsi="Arial"/>
          <w:sz w:val="16"/>
          <w:szCs w:val="16"/>
          <w:color w:val="auto"/>
        </w:rPr>
        <w:t>The adjusted financial performance results for the 2022 performance period achieved a 108% payout level for each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Named Executives (99% for Adm. McCoy). These results included mandatory, pre-established adjustments from our GAAP operating income and operating cash flow results for the items discussed on the previous page.</w:t>
      </w:r>
    </w:p>
    <w:p>
      <w:pPr>
        <w:spacing w:after="0" w:line="28" w:lineRule="exact"/>
        <w:rPr>
          <w:sz w:val="20"/>
          <w:szCs w:val="20"/>
          <w:color w:val="auto"/>
        </w:rPr>
      </w:pPr>
    </w:p>
    <w:p>
      <w:pPr>
        <w:jc w:val="both"/>
        <w:ind w:right="120"/>
        <w:spacing w:after="0" w:line="274" w:lineRule="auto"/>
        <w:rPr>
          <w:sz w:val="20"/>
          <w:szCs w:val="20"/>
          <w:color w:val="auto"/>
        </w:rPr>
      </w:pPr>
      <w:r>
        <w:rPr>
          <w:rFonts w:ascii="Arial" w:cs="Arial" w:eastAsia="Arial" w:hAnsi="Arial"/>
          <w:sz w:val="16"/>
          <w:szCs w:val="16"/>
          <w:b w:val="1"/>
          <w:bCs w:val="1"/>
          <w:i w:val="1"/>
          <w:iCs w:val="1"/>
          <w:color w:val="auto"/>
        </w:rPr>
        <w:t xml:space="preserve">Analysis of Safety and Individual Performance. </w:t>
      </w:r>
      <w:r>
        <w:rPr>
          <w:rFonts w:ascii="Arial" w:cs="Arial" w:eastAsia="Arial" w:hAnsi="Arial"/>
          <w:sz w:val="16"/>
          <w:szCs w:val="16"/>
          <w:color w:val="auto"/>
        </w:rPr>
        <w:t>The table above sets forth the target goals applicable to each safety metric and the level of achievement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2022. The Company exceeded its TRIR target, but was below its DART target in 2022, which resulted in a payout at 100% of target for this component of the 2022 EICP.</w:t>
      </w:r>
    </w:p>
    <w:p>
      <w:pPr>
        <w:spacing w:after="0" w:line="28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3" w:name="page44"/>
    <w:bookmarkEnd w:id="43"/>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200"/>
        <w:spacing w:after="0" w:line="267" w:lineRule="auto"/>
        <w:rPr>
          <w:sz w:val="20"/>
          <w:szCs w:val="20"/>
          <w:color w:val="auto"/>
        </w:rPr>
      </w:pPr>
      <w:r>
        <w:rPr>
          <w:rFonts w:ascii="Arial" w:cs="Arial" w:eastAsia="Arial" w:hAnsi="Arial"/>
          <w:sz w:val="16"/>
          <w:szCs w:val="16"/>
          <w:color w:val="auto"/>
        </w:rPr>
        <w:t>Our Named Executives are also evaluated on pre-established individual performance goals. For Mr. Geveden, the Compensation Committee evaluates his individual performance based on the following criteria: (1) leadership; (2) strategic planning; (3) financial results; (4) succession planning; (5) communications; and (6) Board relations. Our other Named Executives are evaluated on performance goals specific to their respective roles and responsibilities.</w:t>
      </w:r>
    </w:p>
    <w:p>
      <w:pPr>
        <w:spacing w:after="0" w:line="3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b w:val="1"/>
          <w:bCs w:val="1"/>
          <w:i w:val="1"/>
          <w:iCs w:val="1"/>
          <w:color w:val="auto"/>
        </w:rPr>
        <w:t xml:space="preserve">Analysis of EICP Payouts. </w:t>
      </w:r>
      <w:r>
        <w:rPr>
          <w:rFonts w:ascii="Arial" w:cs="Arial" w:eastAsia="Arial" w:hAnsi="Arial"/>
          <w:sz w:val="16"/>
          <w:szCs w:val="16"/>
          <w:color w:val="auto"/>
        </w:rPr>
        <w:t>The following table indicates the amount earned under the EICP by our Named Executives based for the 2022 performance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(January 1, 2022 – December 31, 2022). For each Named Executive, the performance result (the "Weighted Performance Percentage") established the maximum eligible amount of EICP for 2022 (the "Eligible Amount"), subject to the final discretion of the Compensation Committee. Mr. McCabe transitioned to Special Advisor to the CEO on January 2, 2023, and pursuant to the terms of his Transition Agreement, was not eligible to receive a 2022 EICP payout.</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EICP PAYOUTS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60" w:type="dxa"/>
            <w:vAlign w:val="bottom"/>
            <w:shd w:val="clear" w:color="auto" w:fill="000000"/>
          </w:tcPr>
          <w:p>
            <w:pPr>
              <w:spacing w:after="0"/>
              <w:rPr>
                <w:sz w:val="18"/>
                <w:szCs w:val="18"/>
                <w:color w:val="auto"/>
              </w:rPr>
            </w:pPr>
          </w:p>
        </w:tc>
        <w:tc>
          <w:tcPr>
            <w:tcW w:w="260" w:type="dxa"/>
            <w:vAlign w:val="bottom"/>
            <w:shd w:val="clear" w:color="auto" w:fill="000000"/>
          </w:tcPr>
          <w:p>
            <w:pPr>
              <w:spacing w:after="0"/>
              <w:rPr>
                <w:sz w:val="18"/>
                <w:szCs w:val="18"/>
                <w:color w:val="auto"/>
              </w:rPr>
            </w:pPr>
          </w:p>
        </w:tc>
        <w:tc>
          <w:tcPr>
            <w:tcW w:w="1320" w:type="dxa"/>
            <w:vAlign w:val="bottom"/>
            <w:gridSpan w:val="2"/>
            <w:shd w:val="clear" w:color="auto" w:fill="000000"/>
          </w:tcPr>
          <w:p>
            <w:pPr>
              <w:jc w:val="right"/>
              <w:ind w:right="327"/>
              <w:spacing w:after="0"/>
              <w:rPr>
                <w:sz w:val="20"/>
                <w:szCs w:val="20"/>
                <w:color w:val="auto"/>
              </w:rPr>
            </w:pPr>
            <w:r>
              <w:rPr>
                <w:rFonts w:ascii="Arial" w:cs="Arial" w:eastAsia="Arial" w:hAnsi="Arial"/>
                <w:sz w:val="13"/>
                <w:szCs w:val="13"/>
                <w:b w:val="1"/>
                <w:bCs w:val="1"/>
                <w:color w:val="FFFFFF"/>
              </w:rPr>
              <w:t>Mr. Geveden</w:t>
            </w:r>
          </w:p>
        </w:tc>
        <w:tc>
          <w:tcPr>
            <w:tcW w:w="220" w:type="dxa"/>
            <w:vAlign w:val="bottom"/>
            <w:shd w:val="clear" w:color="auto" w:fill="000000"/>
          </w:tcPr>
          <w:p>
            <w:pPr>
              <w:spacing w:after="0"/>
              <w:rPr>
                <w:sz w:val="18"/>
                <w:szCs w:val="18"/>
                <w:color w:val="auto"/>
              </w:rPr>
            </w:pPr>
          </w:p>
        </w:tc>
        <w:tc>
          <w:tcPr>
            <w:tcW w:w="1380" w:type="dxa"/>
            <w:vAlign w:val="bottom"/>
            <w:shd w:val="clear" w:color="auto" w:fill="000000"/>
          </w:tcPr>
          <w:p>
            <w:pPr>
              <w:jc w:val="right"/>
              <w:ind w:right="288"/>
              <w:spacing w:after="0"/>
              <w:rPr>
                <w:sz w:val="20"/>
                <w:szCs w:val="20"/>
                <w:color w:val="auto"/>
              </w:rPr>
            </w:pPr>
            <w:r>
              <w:rPr>
                <w:rFonts w:ascii="Arial" w:cs="Arial" w:eastAsia="Arial" w:hAnsi="Arial"/>
                <w:sz w:val="13"/>
                <w:szCs w:val="13"/>
                <w:b w:val="1"/>
                <w:bCs w:val="1"/>
                <w:color w:val="FFFFFF"/>
              </w:rPr>
              <w:t>Mr. LeMasters</w:t>
            </w:r>
          </w:p>
        </w:tc>
        <w:tc>
          <w:tcPr>
            <w:tcW w:w="240" w:type="dxa"/>
            <w:vAlign w:val="bottom"/>
            <w:shd w:val="clear" w:color="auto" w:fill="000000"/>
          </w:tcPr>
          <w:p>
            <w:pPr>
              <w:spacing w:after="0"/>
              <w:rPr>
                <w:sz w:val="18"/>
                <w:szCs w:val="18"/>
                <w:color w:val="auto"/>
              </w:rPr>
            </w:pPr>
          </w:p>
        </w:tc>
        <w:tc>
          <w:tcPr>
            <w:tcW w:w="1300" w:type="dxa"/>
            <w:vAlign w:val="bottom"/>
            <w:gridSpan w:val="2"/>
            <w:shd w:val="clear" w:color="auto" w:fill="000000"/>
          </w:tcPr>
          <w:p>
            <w:pPr>
              <w:jc w:val="right"/>
              <w:ind w:right="267"/>
              <w:spacing w:after="0"/>
              <w:rPr>
                <w:sz w:val="20"/>
                <w:szCs w:val="20"/>
                <w:color w:val="auto"/>
              </w:rPr>
            </w:pPr>
            <w:r>
              <w:rPr>
                <w:rFonts w:ascii="Arial" w:cs="Arial" w:eastAsia="Arial" w:hAnsi="Arial"/>
                <w:sz w:val="13"/>
                <w:szCs w:val="13"/>
                <w:b w:val="1"/>
                <w:bCs w:val="1"/>
                <w:color w:val="FFFFFF"/>
              </w:rPr>
              <w:t>Mr. McCabe</w:t>
            </w:r>
            <w:r>
              <w:rPr>
                <w:rFonts w:ascii="Arial" w:cs="Arial" w:eastAsia="Arial" w:hAnsi="Arial"/>
                <w:sz w:val="16"/>
                <w:szCs w:val="16"/>
                <w:b w:val="1"/>
                <w:bCs w:val="1"/>
                <w:color w:val="FFFFFF"/>
                <w:vertAlign w:val="superscript"/>
              </w:rPr>
              <w:t>(1)</w:t>
            </w:r>
          </w:p>
        </w:tc>
        <w:tc>
          <w:tcPr>
            <w:tcW w:w="220" w:type="dxa"/>
            <w:vAlign w:val="bottom"/>
            <w:shd w:val="clear" w:color="auto" w:fill="000000"/>
          </w:tcPr>
          <w:p>
            <w:pPr>
              <w:spacing w:after="0"/>
              <w:rPr>
                <w:sz w:val="18"/>
                <w:szCs w:val="18"/>
                <w:color w:val="auto"/>
              </w:rPr>
            </w:pPr>
          </w:p>
        </w:tc>
        <w:tc>
          <w:tcPr>
            <w:tcW w:w="1360" w:type="dxa"/>
            <w:vAlign w:val="bottom"/>
            <w:shd w:val="clear" w:color="auto" w:fill="000000"/>
          </w:tcPr>
          <w:p>
            <w:pPr>
              <w:jc w:val="right"/>
              <w:ind w:right="268"/>
              <w:spacing w:after="0"/>
              <w:rPr>
                <w:sz w:val="20"/>
                <w:szCs w:val="20"/>
                <w:color w:val="auto"/>
              </w:rPr>
            </w:pPr>
            <w:r>
              <w:rPr>
                <w:rFonts w:ascii="Arial" w:cs="Arial" w:eastAsia="Arial" w:hAnsi="Arial"/>
                <w:sz w:val="13"/>
                <w:szCs w:val="13"/>
                <w:b w:val="1"/>
                <w:bCs w:val="1"/>
                <w:color w:val="FFFFFF"/>
              </w:rPr>
              <w:t>Adm. McCoy</w:t>
            </w:r>
            <w:r>
              <w:rPr>
                <w:rFonts w:ascii="Arial" w:cs="Arial" w:eastAsia="Arial" w:hAnsi="Arial"/>
                <w:sz w:val="16"/>
                <w:szCs w:val="16"/>
                <w:b w:val="1"/>
                <w:bCs w:val="1"/>
                <w:color w:val="FFFFFF"/>
                <w:vertAlign w:val="superscript"/>
              </w:rPr>
              <w:t>(2)</w:t>
            </w:r>
          </w:p>
        </w:tc>
        <w:tc>
          <w:tcPr>
            <w:tcW w:w="300" w:type="dxa"/>
            <w:vAlign w:val="bottom"/>
            <w:shd w:val="clear" w:color="auto" w:fill="000000"/>
          </w:tcPr>
          <w:p>
            <w:pPr>
              <w:spacing w:after="0"/>
              <w:rPr>
                <w:sz w:val="18"/>
                <w:szCs w:val="18"/>
                <w:color w:val="auto"/>
              </w:rPr>
            </w:pPr>
          </w:p>
        </w:tc>
        <w:tc>
          <w:tcPr>
            <w:tcW w:w="1220" w:type="dxa"/>
            <w:vAlign w:val="bottom"/>
            <w:gridSpan w:val="2"/>
            <w:shd w:val="clear" w:color="auto" w:fill="000000"/>
          </w:tcPr>
          <w:p>
            <w:pPr>
              <w:jc w:val="right"/>
              <w:ind w:right="407"/>
              <w:spacing w:after="0"/>
              <w:rPr>
                <w:sz w:val="20"/>
                <w:szCs w:val="20"/>
                <w:color w:val="auto"/>
              </w:rPr>
            </w:pPr>
            <w:r>
              <w:rPr>
                <w:rFonts w:ascii="Arial" w:cs="Arial" w:eastAsia="Arial" w:hAnsi="Arial"/>
                <w:sz w:val="13"/>
                <w:szCs w:val="13"/>
                <w:b w:val="1"/>
                <w:bCs w:val="1"/>
                <w:color w:val="FFFFFF"/>
              </w:rPr>
              <w:t>Mr. Duffy</w:t>
            </w:r>
          </w:p>
        </w:tc>
      </w:tr>
      <w:tr>
        <w:trPr>
          <w:trHeight w:val="192"/>
        </w:trPr>
        <w:tc>
          <w:tcPr>
            <w:tcW w:w="3260" w:type="dxa"/>
            <w:vAlign w:val="bottom"/>
          </w:tcPr>
          <w:p>
            <w:pPr>
              <w:ind w:left="20"/>
              <w:spacing w:after="0"/>
              <w:rPr>
                <w:sz w:val="20"/>
                <w:szCs w:val="20"/>
                <w:color w:val="auto"/>
              </w:rPr>
            </w:pPr>
            <w:r>
              <w:rPr>
                <w:rFonts w:ascii="Arial" w:cs="Arial" w:eastAsia="Arial" w:hAnsi="Arial"/>
                <w:sz w:val="15"/>
                <w:szCs w:val="15"/>
                <w:color w:val="auto"/>
              </w:rPr>
              <w:t>Earnings from Salary</w:t>
            </w:r>
          </w:p>
        </w:tc>
        <w:tc>
          <w:tcPr>
            <w:tcW w:w="260" w:type="dxa"/>
            <w:vAlign w:val="bottom"/>
            <w:shd w:val="clear" w:color="auto" w:fill="DBDBDB"/>
          </w:tcPr>
          <w:p>
            <w:pPr>
              <w:jc w:val="right"/>
              <w:ind w:right="87"/>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925,000</w:t>
            </w:r>
          </w:p>
        </w:tc>
        <w:tc>
          <w:tcPr>
            <w:tcW w:w="160" w:type="dxa"/>
            <w:vAlign w:val="bottom"/>
            <w:shd w:val="clear" w:color="auto" w:fill="DBDBDB"/>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8"/>
              <w:spacing w:after="0"/>
              <w:rPr>
                <w:sz w:val="20"/>
                <w:szCs w:val="20"/>
                <w:color w:val="auto"/>
              </w:rPr>
            </w:pPr>
            <w:r>
              <w:rPr>
                <w:rFonts w:ascii="Arial" w:cs="Arial" w:eastAsia="Arial" w:hAnsi="Arial"/>
                <w:sz w:val="15"/>
                <w:szCs w:val="15"/>
                <w:color w:val="auto"/>
              </w:rPr>
              <w:t>500,000</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545,000</w:t>
            </w:r>
          </w:p>
        </w:tc>
        <w:tc>
          <w:tcPr>
            <w:tcW w:w="140" w:type="dxa"/>
            <w:vAlign w:val="bottom"/>
            <w:shd w:val="clear" w:color="auto" w:fill="DBDBDB"/>
          </w:tcPr>
          <w:p>
            <w:pPr>
              <w:spacing w:after="0"/>
              <w:rPr>
                <w:sz w:val="16"/>
                <w:szCs w:val="16"/>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735,000</w:t>
            </w:r>
          </w:p>
        </w:tc>
        <w:tc>
          <w:tcPr>
            <w:tcW w:w="300" w:type="dxa"/>
            <w:vAlign w:val="bottom"/>
            <w:shd w:val="clear" w:color="auto" w:fill="DBDBDB"/>
          </w:tcPr>
          <w:p>
            <w:pPr>
              <w:jc w:val="right"/>
              <w:ind w:right="127"/>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137,500</w:t>
            </w:r>
          </w:p>
        </w:tc>
        <w:tc>
          <w:tcPr>
            <w:tcW w:w="140" w:type="dxa"/>
            <w:vAlign w:val="bottom"/>
            <w:shd w:val="clear" w:color="auto" w:fill="DBDBDB"/>
          </w:tcPr>
          <w:p>
            <w:pPr>
              <w:spacing w:after="0"/>
              <w:rPr>
                <w:sz w:val="16"/>
                <w:szCs w:val="16"/>
                <w:color w:val="auto"/>
              </w:rPr>
            </w:pPr>
          </w:p>
        </w:tc>
      </w:tr>
      <w:tr>
        <w:trPr>
          <w:trHeight w:val="195"/>
        </w:trPr>
        <w:tc>
          <w:tcPr>
            <w:tcW w:w="3260" w:type="dxa"/>
            <w:vAlign w:val="bottom"/>
          </w:tcPr>
          <w:p>
            <w:pPr>
              <w:ind w:left="20"/>
              <w:spacing w:after="0"/>
              <w:rPr>
                <w:sz w:val="20"/>
                <w:szCs w:val="20"/>
                <w:color w:val="auto"/>
              </w:rPr>
            </w:pPr>
            <w:r>
              <w:rPr>
                <w:rFonts w:ascii="Arial" w:cs="Arial" w:eastAsia="Arial" w:hAnsi="Arial"/>
                <w:sz w:val="15"/>
                <w:szCs w:val="15"/>
                <w:color w:val="auto"/>
              </w:rPr>
              <w:t>Target Percentage</w:t>
            </w:r>
          </w:p>
        </w:tc>
        <w:tc>
          <w:tcPr>
            <w:tcW w:w="26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70 %</w:t>
            </w:r>
          </w:p>
        </w:tc>
        <w:tc>
          <w:tcPr>
            <w:tcW w:w="2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65 %</w:t>
            </w:r>
          </w:p>
        </w:tc>
        <w:tc>
          <w:tcPr>
            <w:tcW w:w="30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50</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195"/>
        </w:trPr>
        <w:tc>
          <w:tcPr>
            <w:tcW w:w="3260" w:type="dxa"/>
            <w:vAlign w:val="bottom"/>
          </w:tcPr>
          <w:p>
            <w:pPr>
              <w:ind w:left="20"/>
              <w:spacing w:after="0"/>
              <w:rPr>
                <w:sz w:val="20"/>
                <w:szCs w:val="20"/>
                <w:color w:val="auto"/>
              </w:rPr>
            </w:pPr>
            <w:r>
              <w:rPr>
                <w:rFonts w:ascii="Arial" w:cs="Arial" w:eastAsia="Arial" w:hAnsi="Arial"/>
                <w:sz w:val="15"/>
                <w:szCs w:val="15"/>
                <w:color w:val="auto"/>
              </w:rPr>
              <w:t>Weighted Performance Percentage</w:t>
            </w:r>
          </w:p>
        </w:tc>
        <w:tc>
          <w:tcPr>
            <w:tcW w:w="26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108 %</w:t>
            </w:r>
          </w:p>
        </w:tc>
        <w:tc>
          <w:tcPr>
            <w:tcW w:w="240" w:type="dxa"/>
            <w:vAlign w:val="bottom"/>
            <w:shd w:val="clear" w:color="auto" w:fill="DBDBDB"/>
          </w:tcPr>
          <w:p>
            <w:pPr>
              <w:spacing w:after="0"/>
              <w:rPr>
                <w:sz w:val="16"/>
                <w:szCs w:val="16"/>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89"/>
              </w:rPr>
              <w: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99 %</w:t>
            </w:r>
          </w:p>
        </w:tc>
        <w:tc>
          <w:tcPr>
            <w:tcW w:w="300" w:type="dxa"/>
            <w:vAlign w:val="bottom"/>
            <w:shd w:val="clear" w:color="auto" w:fill="DBDBDB"/>
          </w:tcPr>
          <w:p>
            <w:pPr>
              <w:spacing w:after="0"/>
              <w:rPr>
                <w:sz w:val="16"/>
                <w:szCs w:val="16"/>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108</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w w:val="74"/>
              </w:rPr>
              <w:t>%</w:t>
            </w:r>
          </w:p>
        </w:tc>
      </w:tr>
      <w:tr>
        <w:trPr>
          <w:trHeight w:val="198"/>
        </w:trPr>
        <w:tc>
          <w:tcPr>
            <w:tcW w:w="3260" w:type="dxa"/>
            <w:vAlign w:val="bottom"/>
          </w:tcPr>
          <w:p>
            <w:pPr>
              <w:ind w:left="20"/>
              <w:spacing w:after="0" w:line="198" w:lineRule="exact"/>
              <w:rPr>
                <w:sz w:val="20"/>
                <w:szCs w:val="20"/>
                <w:color w:val="auto"/>
              </w:rPr>
            </w:pPr>
            <w:r>
              <w:rPr>
                <w:rFonts w:ascii="Arial" w:cs="Arial" w:eastAsia="Arial" w:hAnsi="Arial"/>
                <w:sz w:val="15"/>
                <w:szCs w:val="15"/>
                <w:color w:val="auto"/>
              </w:rPr>
              <w:t>Eligible Amount</w:t>
            </w:r>
            <w:r>
              <w:rPr>
                <w:rFonts w:ascii="Arial" w:cs="Arial" w:eastAsia="Arial" w:hAnsi="Arial"/>
                <w:sz w:val="18"/>
                <w:szCs w:val="18"/>
                <w:color w:val="auto"/>
                <w:vertAlign w:val="superscript"/>
              </w:rPr>
              <w:t>(3)</w:t>
            </w:r>
          </w:p>
        </w:tc>
        <w:tc>
          <w:tcPr>
            <w:tcW w:w="260" w:type="dxa"/>
            <w:vAlign w:val="bottom"/>
            <w:shd w:val="clear" w:color="auto" w:fill="DBDBDB"/>
          </w:tcPr>
          <w:p>
            <w:pPr>
              <w:jc w:val="right"/>
              <w:ind w:right="87"/>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999,000</w:t>
            </w:r>
          </w:p>
        </w:tc>
        <w:tc>
          <w:tcPr>
            <w:tcW w:w="160" w:type="dxa"/>
            <w:vAlign w:val="bottom"/>
            <w:shd w:val="clear" w:color="auto" w:fill="DBDBDB"/>
          </w:tcPr>
          <w:p>
            <w:pPr>
              <w:spacing w:after="0"/>
              <w:rPr>
                <w:sz w:val="17"/>
                <w:szCs w:val="17"/>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380" w:type="dxa"/>
            <w:vAlign w:val="bottom"/>
          </w:tcPr>
          <w:p>
            <w:pPr>
              <w:jc w:val="right"/>
              <w:ind w:right="108"/>
              <w:spacing w:after="0"/>
              <w:rPr>
                <w:sz w:val="20"/>
                <w:szCs w:val="20"/>
                <w:color w:val="auto"/>
              </w:rPr>
            </w:pPr>
            <w:r>
              <w:rPr>
                <w:rFonts w:ascii="Arial" w:cs="Arial" w:eastAsia="Arial" w:hAnsi="Arial"/>
                <w:sz w:val="15"/>
                <w:szCs w:val="15"/>
                <w:color w:val="auto"/>
              </w:rPr>
              <w:t>378,000</w:t>
            </w:r>
          </w:p>
        </w:tc>
        <w:tc>
          <w:tcPr>
            <w:tcW w:w="240" w:type="dxa"/>
            <w:vAlign w:val="bottom"/>
            <w:shd w:val="clear" w:color="auto" w:fill="DBDBDB"/>
          </w:tcPr>
          <w:p>
            <w:pPr>
              <w:jc w:val="right"/>
              <w:ind w:right="67"/>
              <w:spacing w:after="0"/>
              <w:rPr>
                <w:sz w:val="20"/>
                <w:szCs w:val="20"/>
                <w:color w:val="auto"/>
              </w:rPr>
            </w:pPr>
            <w:r>
              <w:rPr>
                <w:rFonts w:ascii="Arial" w:cs="Arial" w:eastAsia="Arial" w:hAnsi="Arial"/>
                <w:sz w:val="15"/>
                <w:szCs w:val="15"/>
                <w:color w:val="auto"/>
                <w:w w:val="95"/>
              </w:rPr>
              <w:t>$</w:t>
            </w: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spacing w:after="0"/>
              <w:rPr>
                <w:sz w:val="17"/>
                <w:szCs w:val="17"/>
                <w:color w:val="auto"/>
              </w:rPr>
            </w:pP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Pr>
          <w:p>
            <w:pPr>
              <w:jc w:val="right"/>
              <w:ind w:right="108"/>
              <w:spacing w:after="0"/>
              <w:rPr>
                <w:sz w:val="20"/>
                <w:szCs w:val="20"/>
                <w:color w:val="auto"/>
              </w:rPr>
            </w:pPr>
            <w:r>
              <w:rPr>
                <w:rFonts w:ascii="Arial" w:cs="Arial" w:eastAsia="Arial" w:hAnsi="Arial"/>
                <w:sz w:val="15"/>
                <w:szCs w:val="15"/>
                <w:color w:val="auto"/>
              </w:rPr>
              <w:t>472,973</w:t>
            </w:r>
          </w:p>
        </w:tc>
        <w:tc>
          <w:tcPr>
            <w:tcW w:w="300" w:type="dxa"/>
            <w:vAlign w:val="bottom"/>
            <w:shd w:val="clear" w:color="auto" w:fill="DBDBDB"/>
          </w:tcPr>
          <w:p>
            <w:pPr>
              <w:jc w:val="right"/>
              <w:ind w:right="127"/>
              <w:spacing w:after="0"/>
              <w:rPr>
                <w:sz w:val="20"/>
                <w:szCs w:val="20"/>
                <w:color w:val="auto"/>
              </w:rPr>
            </w:pPr>
            <w:r>
              <w:rPr>
                <w:rFonts w:ascii="Arial" w:cs="Arial" w:eastAsia="Arial" w:hAnsi="Arial"/>
                <w:sz w:val="15"/>
                <w:szCs w:val="15"/>
                <w:color w:val="auto"/>
                <w:w w:val="95"/>
              </w:rPr>
              <w:t>$</w:t>
            </w: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74,250</w:t>
            </w:r>
          </w:p>
        </w:tc>
        <w:tc>
          <w:tcPr>
            <w:tcW w:w="140" w:type="dxa"/>
            <w:vAlign w:val="bottom"/>
            <w:shd w:val="clear" w:color="auto" w:fill="DBDBDB"/>
          </w:tcPr>
          <w:p>
            <w:pPr>
              <w:spacing w:after="0"/>
              <w:rPr>
                <w:sz w:val="17"/>
                <w:szCs w:val="17"/>
                <w:color w:val="auto"/>
              </w:rPr>
            </w:pPr>
          </w:p>
        </w:tc>
      </w:tr>
      <w:tr>
        <w:trPr>
          <w:trHeight w:val="219"/>
        </w:trPr>
        <w:tc>
          <w:tcPr>
            <w:tcW w:w="3260" w:type="dxa"/>
            <w:vAlign w:val="bottom"/>
            <w:shd w:val="clear" w:color="auto" w:fill="000000"/>
          </w:tcPr>
          <w:p>
            <w:pPr>
              <w:ind w:left="20"/>
              <w:spacing w:after="0"/>
              <w:rPr>
                <w:sz w:val="20"/>
                <w:szCs w:val="20"/>
                <w:color w:val="auto"/>
              </w:rPr>
            </w:pPr>
            <w:r>
              <w:rPr>
                <w:rFonts w:ascii="Arial" w:cs="Arial" w:eastAsia="Arial" w:hAnsi="Arial"/>
                <w:sz w:val="15"/>
                <w:szCs w:val="15"/>
                <w:color w:val="FFFFFF"/>
              </w:rPr>
              <w:t>Total 2022 EICP Payout</w:t>
            </w:r>
            <w:r>
              <w:rPr>
                <w:rFonts w:ascii="Arial" w:cs="Arial" w:eastAsia="Arial" w:hAnsi="Arial"/>
                <w:sz w:val="18"/>
                <w:szCs w:val="18"/>
                <w:color w:val="FFFFFF"/>
                <w:vertAlign w:val="superscript"/>
              </w:rPr>
              <w:t>(4)</w:t>
            </w:r>
          </w:p>
        </w:tc>
        <w:tc>
          <w:tcPr>
            <w:tcW w:w="260" w:type="dxa"/>
            <w:vAlign w:val="bottom"/>
            <w:shd w:val="clear" w:color="auto" w:fill="000000"/>
          </w:tcPr>
          <w:p>
            <w:pPr>
              <w:jc w:val="right"/>
              <w:ind w:right="87"/>
              <w:spacing w:after="0"/>
              <w:rPr>
                <w:sz w:val="20"/>
                <w:szCs w:val="20"/>
                <w:color w:val="auto"/>
              </w:rPr>
            </w:pPr>
            <w:r>
              <w:rPr>
                <w:rFonts w:ascii="Arial" w:cs="Arial" w:eastAsia="Arial" w:hAnsi="Arial"/>
                <w:sz w:val="15"/>
                <w:szCs w:val="15"/>
                <w:color w:val="FFFFFF"/>
                <w:w w:val="95"/>
              </w:rPr>
              <w:t>$</w:t>
            </w:r>
          </w:p>
        </w:tc>
        <w:tc>
          <w:tcPr>
            <w:tcW w:w="1160" w:type="dxa"/>
            <w:vAlign w:val="bottom"/>
            <w:shd w:val="clear" w:color="auto" w:fill="000000"/>
          </w:tcPr>
          <w:p>
            <w:pPr>
              <w:jc w:val="right"/>
              <w:spacing w:after="0"/>
              <w:rPr>
                <w:sz w:val="20"/>
                <w:szCs w:val="20"/>
                <w:color w:val="auto"/>
              </w:rPr>
            </w:pPr>
            <w:r>
              <w:rPr>
                <w:rFonts w:ascii="Arial" w:cs="Arial" w:eastAsia="Arial" w:hAnsi="Arial"/>
                <w:sz w:val="15"/>
                <w:szCs w:val="15"/>
                <w:color w:val="FFFFFF"/>
              </w:rPr>
              <w:t>999,000</w:t>
            </w:r>
          </w:p>
        </w:tc>
        <w:tc>
          <w:tcPr>
            <w:tcW w:w="160" w:type="dxa"/>
            <w:vAlign w:val="bottom"/>
            <w:shd w:val="clear" w:color="auto" w:fill="000000"/>
          </w:tcPr>
          <w:p>
            <w:pPr>
              <w:spacing w:after="0"/>
              <w:rPr>
                <w:sz w:val="19"/>
                <w:szCs w:val="19"/>
                <w:color w:val="auto"/>
              </w:rPr>
            </w:pPr>
          </w:p>
        </w:tc>
        <w:tc>
          <w:tcPr>
            <w:tcW w:w="220" w:type="dxa"/>
            <w:vAlign w:val="bottom"/>
            <w:shd w:val="clear" w:color="auto" w:fill="000000"/>
          </w:tcPr>
          <w:p>
            <w:pPr>
              <w:jc w:val="right"/>
              <w:ind w:right="67"/>
              <w:spacing w:after="0"/>
              <w:rPr>
                <w:sz w:val="20"/>
                <w:szCs w:val="20"/>
                <w:color w:val="auto"/>
              </w:rPr>
            </w:pPr>
            <w:r>
              <w:rPr>
                <w:rFonts w:ascii="Arial" w:cs="Arial" w:eastAsia="Arial" w:hAnsi="Arial"/>
                <w:sz w:val="15"/>
                <w:szCs w:val="15"/>
                <w:color w:val="FFFFFF"/>
                <w:w w:val="71"/>
              </w:rPr>
              <w:t>$</w:t>
            </w:r>
          </w:p>
        </w:tc>
        <w:tc>
          <w:tcPr>
            <w:tcW w:w="1380" w:type="dxa"/>
            <w:vAlign w:val="bottom"/>
            <w:shd w:val="clear" w:color="auto" w:fill="000000"/>
          </w:tcPr>
          <w:p>
            <w:pPr>
              <w:jc w:val="right"/>
              <w:ind w:right="108"/>
              <w:spacing w:after="0"/>
              <w:rPr>
                <w:sz w:val="20"/>
                <w:szCs w:val="20"/>
                <w:color w:val="auto"/>
              </w:rPr>
            </w:pPr>
            <w:r>
              <w:rPr>
                <w:rFonts w:ascii="Arial" w:cs="Arial" w:eastAsia="Arial" w:hAnsi="Arial"/>
                <w:sz w:val="15"/>
                <w:szCs w:val="15"/>
                <w:color w:val="FFFFFF"/>
              </w:rPr>
              <w:t>378,000</w:t>
            </w:r>
          </w:p>
        </w:tc>
        <w:tc>
          <w:tcPr>
            <w:tcW w:w="240" w:type="dxa"/>
            <w:vAlign w:val="bottom"/>
            <w:shd w:val="clear" w:color="auto" w:fill="000000"/>
          </w:tcPr>
          <w:p>
            <w:pPr>
              <w:jc w:val="right"/>
              <w:ind w:right="67"/>
              <w:spacing w:after="0"/>
              <w:rPr>
                <w:sz w:val="20"/>
                <w:szCs w:val="20"/>
                <w:color w:val="auto"/>
              </w:rPr>
            </w:pPr>
            <w:r>
              <w:rPr>
                <w:rFonts w:ascii="Arial" w:cs="Arial" w:eastAsia="Arial" w:hAnsi="Arial"/>
                <w:sz w:val="15"/>
                <w:szCs w:val="15"/>
                <w:color w:val="FFFFFF"/>
                <w:w w:val="95"/>
              </w:rPr>
              <w:t>$</w:t>
            </w:r>
          </w:p>
        </w:tc>
        <w:tc>
          <w:tcPr>
            <w:tcW w:w="1300" w:type="dxa"/>
            <w:vAlign w:val="bottom"/>
            <w:gridSpan w:val="2"/>
            <w:shd w:val="clear" w:color="auto" w:fill="000000"/>
          </w:tcPr>
          <w:p>
            <w:pPr>
              <w:jc w:val="right"/>
              <w:ind w:right="107"/>
              <w:spacing w:after="0"/>
              <w:rPr>
                <w:sz w:val="20"/>
                <w:szCs w:val="20"/>
                <w:color w:val="auto"/>
              </w:rPr>
            </w:pPr>
            <w:r>
              <w:rPr>
                <w:rFonts w:ascii="Arial" w:cs="Arial" w:eastAsia="Arial" w:hAnsi="Arial"/>
                <w:sz w:val="15"/>
                <w:szCs w:val="15"/>
                <w:color w:val="FFFFFF"/>
              </w:rPr>
              <w:t>—</w:t>
            </w:r>
          </w:p>
        </w:tc>
        <w:tc>
          <w:tcPr>
            <w:tcW w:w="220" w:type="dxa"/>
            <w:vAlign w:val="bottom"/>
            <w:shd w:val="clear" w:color="auto" w:fill="000000"/>
          </w:tcPr>
          <w:p>
            <w:pPr>
              <w:jc w:val="right"/>
              <w:ind w:right="47"/>
              <w:spacing w:after="0"/>
              <w:rPr>
                <w:sz w:val="20"/>
                <w:szCs w:val="20"/>
                <w:color w:val="auto"/>
              </w:rPr>
            </w:pPr>
            <w:r>
              <w:rPr>
                <w:rFonts w:ascii="Arial" w:cs="Arial" w:eastAsia="Arial" w:hAnsi="Arial"/>
                <w:sz w:val="15"/>
                <w:szCs w:val="15"/>
                <w:color w:val="FFFFFF"/>
                <w:w w:val="95"/>
              </w:rPr>
              <w:t>$</w:t>
            </w:r>
          </w:p>
        </w:tc>
        <w:tc>
          <w:tcPr>
            <w:tcW w:w="1360" w:type="dxa"/>
            <w:vAlign w:val="bottom"/>
            <w:shd w:val="clear" w:color="auto" w:fill="000000"/>
          </w:tcPr>
          <w:p>
            <w:pPr>
              <w:jc w:val="right"/>
              <w:ind w:right="108"/>
              <w:spacing w:after="0"/>
              <w:rPr>
                <w:sz w:val="20"/>
                <w:szCs w:val="20"/>
                <w:color w:val="auto"/>
              </w:rPr>
            </w:pPr>
            <w:r>
              <w:rPr>
                <w:rFonts w:ascii="Arial" w:cs="Arial" w:eastAsia="Arial" w:hAnsi="Arial"/>
                <w:sz w:val="15"/>
                <w:szCs w:val="15"/>
                <w:color w:val="FFFFFF"/>
              </w:rPr>
              <w:t>472,973</w:t>
            </w:r>
          </w:p>
        </w:tc>
        <w:tc>
          <w:tcPr>
            <w:tcW w:w="300" w:type="dxa"/>
            <w:vAlign w:val="bottom"/>
            <w:shd w:val="clear" w:color="auto" w:fill="000000"/>
          </w:tcPr>
          <w:p>
            <w:pPr>
              <w:jc w:val="right"/>
              <w:ind w:right="127"/>
              <w:spacing w:after="0"/>
              <w:rPr>
                <w:sz w:val="20"/>
                <w:szCs w:val="20"/>
                <w:color w:val="auto"/>
              </w:rPr>
            </w:pPr>
            <w:r>
              <w:rPr>
                <w:rFonts w:ascii="Arial" w:cs="Arial" w:eastAsia="Arial" w:hAnsi="Arial"/>
                <w:sz w:val="15"/>
                <w:szCs w:val="15"/>
                <w:color w:val="FFFFFF"/>
                <w:w w:val="95"/>
              </w:rPr>
              <w:t>$</w:t>
            </w:r>
          </w:p>
        </w:tc>
        <w:tc>
          <w:tcPr>
            <w:tcW w:w="1080" w:type="dxa"/>
            <w:vAlign w:val="bottom"/>
            <w:shd w:val="clear" w:color="auto" w:fill="000000"/>
          </w:tcPr>
          <w:p>
            <w:pPr>
              <w:jc w:val="right"/>
              <w:spacing w:after="0"/>
              <w:rPr>
                <w:sz w:val="20"/>
                <w:szCs w:val="20"/>
                <w:color w:val="auto"/>
              </w:rPr>
            </w:pPr>
            <w:r>
              <w:rPr>
                <w:rFonts w:ascii="Arial" w:cs="Arial" w:eastAsia="Arial" w:hAnsi="Arial"/>
                <w:sz w:val="15"/>
                <w:szCs w:val="15"/>
                <w:color w:val="FFFFFF"/>
              </w:rPr>
              <w:t>74,250</w:t>
            </w:r>
          </w:p>
        </w:tc>
        <w:tc>
          <w:tcPr>
            <w:tcW w:w="140" w:type="dxa"/>
            <w:vAlign w:val="bottom"/>
            <w:shd w:val="clear" w:color="auto" w:fill="000000"/>
          </w:tcPr>
          <w:p>
            <w:pPr>
              <w:spacing w:after="0"/>
              <w:rPr>
                <w:sz w:val="19"/>
                <w:szCs w:val="19"/>
                <w:color w:val="auto"/>
              </w:rPr>
            </w:pPr>
          </w:p>
        </w:tc>
      </w:tr>
    </w:tbl>
    <w:p>
      <w:pPr>
        <w:spacing w:after="0" w:line="114" w:lineRule="exact"/>
        <w:rPr>
          <w:sz w:val="20"/>
          <w:szCs w:val="20"/>
          <w:color w:val="auto"/>
        </w:rPr>
      </w:pPr>
    </w:p>
    <w:p>
      <w:pPr>
        <w:ind w:left="460" w:hanging="446"/>
        <w:spacing w:after="0"/>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Mr. McCabe entered into a Transition Agreement that provided him a lump sum payment in lieu of certain annual and long-term incentive payouts.</w:t>
      </w:r>
    </w:p>
    <w:p>
      <w:pPr>
        <w:spacing w:after="0" w:line="33" w:lineRule="exact"/>
        <w:rPr>
          <w:rFonts w:ascii="Arial" w:cs="Arial" w:eastAsia="Arial" w:hAnsi="Arial"/>
          <w:sz w:val="13"/>
          <w:szCs w:val="13"/>
          <w:color w:val="auto"/>
        </w:rPr>
      </w:pPr>
    </w:p>
    <w:p>
      <w:pPr>
        <w:ind w:left="460" w:right="660" w:hanging="446"/>
        <w:spacing w:after="0" w:line="235" w:lineRule="auto"/>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The financial performance for all Named Executives is based on BWXT consolidated financial results, except for Adm. McCoy, for whom operating income (75% of 2022 EICP) is measured 40% on BWXT consolidated results and 35% on Government Operations segment results.</w:t>
      </w:r>
    </w:p>
    <w:p>
      <w:pPr>
        <w:spacing w:after="0" w:line="11" w:lineRule="exact"/>
        <w:rPr>
          <w:rFonts w:ascii="Arial" w:cs="Arial" w:eastAsia="Arial" w:hAnsi="Arial"/>
          <w:sz w:val="13"/>
          <w:szCs w:val="13"/>
          <w:color w:val="auto"/>
        </w:rPr>
      </w:pPr>
    </w:p>
    <w:p>
      <w:pPr>
        <w:ind w:left="460" w:hanging="446"/>
        <w:spacing w:after="0"/>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Amounts may not foot due to rounding.</w:t>
      </w:r>
    </w:p>
    <w:p>
      <w:pPr>
        <w:spacing w:after="0" w:line="33" w:lineRule="exact"/>
        <w:rPr>
          <w:rFonts w:ascii="Arial" w:cs="Arial" w:eastAsia="Arial" w:hAnsi="Arial"/>
          <w:sz w:val="13"/>
          <w:szCs w:val="13"/>
          <w:color w:val="auto"/>
        </w:rPr>
      </w:pPr>
    </w:p>
    <w:p>
      <w:pPr>
        <w:ind w:left="460" w:hanging="446"/>
        <w:spacing w:after="0"/>
        <w:tabs>
          <w:tab w:leader="none" w:pos="460" w:val="left"/>
        </w:tabs>
        <w:numPr>
          <w:ilvl w:val="0"/>
          <w:numId w:val="69"/>
        </w:numPr>
        <w:rPr>
          <w:rFonts w:ascii="Arial" w:cs="Arial" w:eastAsia="Arial" w:hAnsi="Arial"/>
          <w:sz w:val="13"/>
          <w:szCs w:val="13"/>
          <w:color w:val="auto"/>
        </w:rPr>
      </w:pPr>
      <w:r>
        <w:rPr>
          <w:rFonts w:ascii="Arial" w:cs="Arial" w:eastAsia="Arial" w:hAnsi="Arial"/>
          <w:sz w:val="13"/>
          <w:szCs w:val="13"/>
          <w:color w:val="auto"/>
        </w:rPr>
        <w:t>Amount is based upon financial and individual, including safety and performance results.</w:t>
      </w: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LONG-TERM INCENTIVE COMPENSATION</w:t>
      </w:r>
    </w:p>
    <w:p>
      <w:pPr>
        <w:spacing w:after="0" w:line="230"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Value of 2022 Target Long-Term Incentive Compensation</w:t>
      </w:r>
      <w:r>
        <w:rPr>
          <w:rFonts w:ascii="Arial" w:cs="Arial" w:eastAsia="Arial" w:hAnsi="Arial"/>
          <w:sz w:val="16"/>
          <w:szCs w:val="16"/>
          <w:color w:val="auto"/>
        </w:rPr>
        <w:t>. The following table shows the 2022 target long-term incentive compensation for each Named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TARGET LONG-TERM INCENTIVE COMPENSATION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8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Named Executive</w:t>
            </w:r>
          </w:p>
        </w:tc>
        <w:tc>
          <w:tcPr>
            <w:tcW w:w="4400" w:type="dxa"/>
            <w:vAlign w:val="bottom"/>
            <w:shd w:val="clear" w:color="auto" w:fill="000000"/>
          </w:tcPr>
          <w:p>
            <w:pPr>
              <w:spacing w:after="0"/>
              <w:rPr>
                <w:sz w:val="15"/>
                <w:szCs w:val="15"/>
                <w:color w:val="auto"/>
              </w:rPr>
            </w:pPr>
          </w:p>
        </w:tc>
        <w:tc>
          <w:tcPr>
            <w:tcW w:w="1580" w:type="dxa"/>
            <w:vAlign w:val="bottom"/>
            <w:shd w:val="clear" w:color="auto" w:fill="000000"/>
          </w:tcPr>
          <w:p>
            <w:pPr>
              <w:jc w:val="right"/>
              <w:ind w:right="602"/>
              <w:spacing w:after="0"/>
              <w:rPr>
                <w:sz w:val="20"/>
                <w:szCs w:val="20"/>
                <w:color w:val="auto"/>
              </w:rPr>
            </w:pPr>
            <w:r>
              <w:rPr>
                <w:rFonts w:ascii="Arial" w:cs="Arial" w:eastAsia="Arial" w:hAnsi="Arial"/>
                <w:sz w:val="13"/>
                <w:szCs w:val="13"/>
                <w:b w:val="1"/>
                <w:bCs w:val="1"/>
                <w:color w:val="FFFFFF"/>
              </w:rPr>
              <w:t>Target Value</w:t>
            </w:r>
          </w:p>
        </w:tc>
      </w:tr>
      <w:tr>
        <w:trPr>
          <w:trHeight w:val="207"/>
        </w:trPr>
        <w:tc>
          <w:tcPr>
            <w:tcW w:w="5280" w:type="dxa"/>
            <w:vAlign w:val="bottom"/>
          </w:tcPr>
          <w:p>
            <w:pPr>
              <w:ind w:left="20"/>
              <w:spacing w:after="0"/>
              <w:rPr>
                <w:sz w:val="20"/>
                <w:szCs w:val="20"/>
                <w:color w:val="auto"/>
              </w:rPr>
            </w:pPr>
            <w:r>
              <w:rPr>
                <w:rFonts w:ascii="Arial" w:cs="Arial" w:eastAsia="Arial" w:hAnsi="Arial"/>
                <w:sz w:val="16"/>
                <w:szCs w:val="16"/>
                <w:color w:val="auto"/>
              </w:rPr>
              <w:t>Mr. Geveden</w:t>
            </w:r>
          </w:p>
        </w:tc>
        <w:tc>
          <w:tcPr>
            <w:tcW w:w="44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580" w:type="dxa"/>
            <w:vAlign w:val="bottom"/>
          </w:tcPr>
          <w:p>
            <w:pPr>
              <w:jc w:val="right"/>
              <w:ind w:right="442"/>
              <w:spacing w:after="0"/>
              <w:rPr>
                <w:sz w:val="20"/>
                <w:szCs w:val="20"/>
                <w:color w:val="auto"/>
              </w:rPr>
            </w:pPr>
            <w:r>
              <w:rPr>
                <w:rFonts w:ascii="Arial" w:cs="Arial" w:eastAsia="Arial" w:hAnsi="Arial"/>
                <w:sz w:val="16"/>
                <w:szCs w:val="16"/>
                <w:color w:val="auto"/>
              </w:rPr>
              <w:t>3,500,000</w:t>
            </w:r>
          </w:p>
        </w:tc>
      </w:tr>
      <w:tr>
        <w:trPr>
          <w:trHeight w:val="207"/>
        </w:trPr>
        <w:tc>
          <w:tcPr>
            <w:tcW w:w="5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Mr. LeMasters</w:t>
            </w:r>
          </w:p>
        </w:tc>
        <w:tc>
          <w:tcPr>
            <w:tcW w:w="4400" w:type="dxa"/>
            <w:vAlign w:val="bottom"/>
            <w:shd w:val="clear" w:color="auto" w:fill="DBDBDB"/>
          </w:tcPr>
          <w:p>
            <w:pPr>
              <w:spacing w:after="0"/>
              <w:rPr>
                <w:sz w:val="18"/>
                <w:szCs w:val="18"/>
                <w:color w:val="auto"/>
              </w:rPr>
            </w:pPr>
          </w:p>
        </w:tc>
        <w:tc>
          <w:tcPr>
            <w:tcW w:w="1580" w:type="dxa"/>
            <w:vAlign w:val="bottom"/>
            <w:shd w:val="clear" w:color="auto" w:fill="DBDBDB"/>
          </w:tcPr>
          <w:p>
            <w:pPr>
              <w:jc w:val="right"/>
              <w:ind w:right="442"/>
              <w:spacing w:after="0"/>
              <w:rPr>
                <w:sz w:val="20"/>
                <w:szCs w:val="20"/>
                <w:color w:val="auto"/>
              </w:rPr>
            </w:pPr>
            <w:r>
              <w:rPr>
                <w:rFonts w:ascii="Arial" w:cs="Arial" w:eastAsia="Arial" w:hAnsi="Arial"/>
                <w:sz w:val="16"/>
                <w:szCs w:val="16"/>
                <w:color w:val="auto"/>
              </w:rPr>
              <w:t>700,000</w:t>
            </w:r>
          </w:p>
        </w:tc>
      </w:tr>
      <w:tr>
        <w:trPr>
          <w:trHeight w:val="207"/>
        </w:trPr>
        <w:tc>
          <w:tcPr>
            <w:tcW w:w="5280" w:type="dxa"/>
            <w:vAlign w:val="bottom"/>
          </w:tcPr>
          <w:p>
            <w:pPr>
              <w:ind w:left="20"/>
              <w:spacing w:after="0" w:line="207" w:lineRule="exact"/>
              <w:rPr>
                <w:sz w:val="20"/>
                <w:szCs w:val="20"/>
                <w:color w:val="auto"/>
              </w:rPr>
            </w:pPr>
            <w:r>
              <w:rPr>
                <w:rFonts w:ascii="Arial" w:cs="Arial" w:eastAsia="Arial" w:hAnsi="Arial"/>
                <w:sz w:val="16"/>
                <w:szCs w:val="16"/>
                <w:color w:val="auto"/>
              </w:rPr>
              <w:t>Mr. McCabe</w:t>
            </w:r>
            <w:r>
              <w:rPr>
                <w:rFonts w:ascii="Arial" w:cs="Arial" w:eastAsia="Arial" w:hAnsi="Arial"/>
                <w:sz w:val="21"/>
                <w:szCs w:val="21"/>
                <w:color w:val="auto"/>
                <w:vertAlign w:val="superscript"/>
              </w:rPr>
              <w:t>(1)</w:t>
            </w:r>
          </w:p>
        </w:tc>
        <w:tc>
          <w:tcPr>
            <w:tcW w:w="4400" w:type="dxa"/>
            <w:vAlign w:val="bottom"/>
          </w:tcPr>
          <w:p>
            <w:pPr>
              <w:spacing w:after="0"/>
              <w:rPr>
                <w:sz w:val="18"/>
                <w:szCs w:val="18"/>
                <w:color w:val="auto"/>
              </w:rPr>
            </w:pPr>
          </w:p>
        </w:tc>
        <w:tc>
          <w:tcPr>
            <w:tcW w:w="1580" w:type="dxa"/>
            <w:vAlign w:val="bottom"/>
          </w:tcPr>
          <w:p>
            <w:pPr>
              <w:jc w:val="right"/>
              <w:ind w:right="442"/>
              <w:spacing w:after="0"/>
              <w:rPr>
                <w:sz w:val="20"/>
                <w:szCs w:val="20"/>
                <w:color w:val="auto"/>
              </w:rPr>
            </w:pPr>
            <w:r>
              <w:rPr>
                <w:rFonts w:ascii="Arial" w:cs="Arial" w:eastAsia="Arial" w:hAnsi="Arial"/>
                <w:sz w:val="16"/>
                <w:szCs w:val="16"/>
                <w:color w:val="auto"/>
              </w:rPr>
              <w:t>600,000</w:t>
            </w:r>
          </w:p>
        </w:tc>
      </w:tr>
      <w:tr>
        <w:trPr>
          <w:trHeight w:val="207"/>
        </w:trPr>
        <w:tc>
          <w:tcPr>
            <w:tcW w:w="5280" w:type="dxa"/>
            <w:vAlign w:val="bottom"/>
            <w:shd w:val="clear" w:color="auto" w:fill="DBDBDB"/>
          </w:tcPr>
          <w:p>
            <w:pPr>
              <w:ind w:left="20"/>
              <w:spacing w:after="0"/>
              <w:rPr>
                <w:sz w:val="20"/>
                <w:szCs w:val="20"/>
                <w:color w:val="auto"/>
              </w:rPr>
            </w:pPr>
            <w:r>
              <w:rPr>
                <w:rFonts w:ascii="Arial" w:cs="Arial" w:eastAsia="Arial" w:hAnsi="Arial"/>
                <w:sz w:val="16"/>
                <w:szCs w:val="16"/>
                <w:color w:val="auto"/>
              </w:rPr>
              <w:t>Adm. McCoy</w:t>
            </w:r>
          </w:p>
        </w:tc>
        <w:tc>
          <w:tcPr>
            <w:tcW w:w="4400" w:type="dxa"/>
            <w:vAlign w:val="bottom"/>
            <w:shd w:val="clear" w:color="auto" w:fill="DBDBDB"/>
          </w:tcPr>
          <w:p>
            <w:pPr>
              <w:spacing w:after="0"/>
              <w:rPr>
                <w:sz w:val="18"/>
                <w:szCs w:val="18"/>
                <w:color w:val="auto"/>
              </w:rPr>
            </w:pPr>
          </w:p>
        </w:tc>
        <w:tc>
          <w:tcPr>
            <w:tcW w:w="1580" w:type="dxa"/>
            <w:vAlign w:val="bottom"/>
            <w:shd w:val="clear" w:color="auto" w:fill="DBDBDB"/>
          </w:tcPr>
          <w:p>
            <w:pPr>
              <w:jc w:val="right"/>
              <w:ind w:right="442"/>
              <w:spacing w:after="0"/>
              <w:rPr>
                <w:sz w:val="20"/>
                <w:szCs w:val="20"/>
                <w:color w:val="auto"/>
              </w:rPr>
            </w:pPr>
            <w:r>
              <w:rPr>
                <w:rFonts w:ascii="Arial" w:cs="Arial" w:eastAsia="Arial" w:hAnsi="Arial"/>
                <w:sz w:val="16"/>
                <w:szCs w:val="16"/>
                <w:color w:val="auto"/>
              </w:rPr>
              <w:t>350,000</w:t>
            </w:r>
          </w:p>
        </w:tc>
      </w:tr>
      <w:tr>
        <w:trPr>
          <w:trHeight w:val="224"/>
        </w:trPr>
        <w:tc>
          <w:tcPr>
            <w:tcW w:w="5280" w:type="dxa"/>
            <w:vAlign w:val="bottom"/>
          </w:tcPr>
          <w:p>
            <w:pPr>
              <w:ind w:left="20"/>
              <w:spacing w:after="0" w:line="224" w:lineRule="exact"/>
              <w:rPr>
                <w:sz w:val="20"/>
                <w:szCs w:val="20"/>
                <w:color w:val="auto"/>
              </w:rPr>
            </w:pPr>
            <w:r>
              <w:rPr>
                <w:rFonts w:ascii="Arial" w:cs="Arial" w:eastAsia="Arial" w:hAnsi="Arial"/>
                <w:sz w:val="16"/>
                <w:szCs w:val="16"/>
                <w:color w:val="auto"/>
              </w:rPr>
              <w:t>Mr. Duffy</w:t>
            </w:r>
            <w:r>
              <w:rPr>
                <w:rFonts w:ascii="Arial" w:cs="Arial" w:eastAsia="Arial" w:hAnsi="Arial"/>
                <w:sz w:val="21"/>
                <w:szCs w:val="21"/>
                <w:color w:val="auto"/>
                <w:vertAlign w:val="superscript"/>
              </w:rPr>
              <w:t>(2)</w:t>
            </w:r>
          </w:p>
        </w:tc>
        <w:tc>
          <w:tcPr>
            <w:tcW w:w="4400" w:type="dxa"/>
            <w:vAlign w:val="bottom"/>
          </w:tcPr>
          <w:p>
            <w:pPr>
              <w:spacing w:after="0"/>
              <w:rPr>
                <w:sz w:val="19"/>
                <w:szCs w:val="19"/>
                <w:color w:val="auto"/>
              </w:rPr>
            </w:pPr>
          </w:p>
        </w:tc>
        <w:tc>
          <w:tcPr>
            <w:tcW w:w="1580" w:type="dxa"/>
            <w:vAlign w:val="bottom"/>
          </w:tcPr>
          <w:p>
            <w:pPr>
              <w:jc w:val="right"/>
              <w:ind w:right="442"/>
              <w:spacing w:after="0"/>
              <w:rPr>
                <w:sz w:val="20"/>
                <w:szCs w:val="20"/>
                <w:color w:val="auto"/>
              </w:rPr>
            </w:pPr>
            <w:r>
              <w:rPr>
                <w:rFonts w:ascii="Arial" w:cs="Arial" w:eastAsia="Arial" w:hAnsi="Arial"/>
                <w:sz w:val="16"/>
                <w:szCs w:val="16"/>
                <w:color w:val="auto"/>
              </w:rPr>
              <w:t>—</w:t>
            </w:r>
          </w:p>
        </w:tc>
      </w:tr>
    </w:tbl>
    <w:p>
      <w:pPr>
        <w:ind w:left="20" w:right="480" w:hanging="6"/>
        <w:spacing w:after="0" w:line="235" w:lineRule="auto"/>
        <w:tabs>
          <w:tab w:leader="none" w:pos="215" w:val="left"/>
        </w:tabs>
        <w:numPr>
          <w:ilvl w:val="0"/>
          <w:numId w:val="70"/>
        </w:numPr>
        <w:rPr>
          <w:rFonts w:ascii="Arial" w:cs="Arial" w:eastAsia="Arial" w:hAnsi="Arial"/>
          <w:sz w:val="13"/>
          <w:szCs w:val="13"/>
          <w:color w:val="auto"/>
        </w:rPr>
      </w:pPr>
      <w:r>
        <w:rPr>
          <w:rFonts w:ascii="Arial" w:cs="Arial" w:eastAsia="Arial" w:hAnsi="Arial"/>
          <w:sz w:val="13"/>
          <w:szCs w:val="13"/>
          <w:color w:val="auto"/>
        </w:rPr>
        <w:t>Mr. McCabe served as our Senior Vice President, General Counsel and Secretary until January 2, 2023 when he transitioned to Special Advisor to the CEO. Pursuant to the terms of his Transition Agreement, he forfeited this long-term incentive award and other consideration in exchange for a lump-sum payment.</w:t>
      </w:r>
    </w:p>
    <w:p>
      <w:pPr>
        <w:ind w:left="20" w:right="440" w:hanging="6"/>
        <w:spacing w:after="0" w:line="248" w:lineRule="auto"/>
        <w:tabs>
          <w:tab w:leader="none" w:pos="215" w:val="left"/>
        </w:tabs>
        <w:numPr>
          <w:ilvl w:val="0"/>
          <w:numId w:val="70"/>
        </w:numPr>
        <w:rPr>
          <w:rFonts w:ascii="Arial" w:cs="Arial" w:eastAsia="Arial" w:hAnsi="Arial"/>
          <w:sz w:val="13"/>
          <w:szCs w:val="13"/>
          <w:color w:val="auto"/>
        </w:rPr>
      </w:pPr>
      <w:r>
        <w:rPr>
          <w:rFonts w:ascii="Arial" w:cs="Arial" w:eastAsia="Arial" w:hAnsi="Arial"/>
          <w:sz w:val="13"/>
          <w:szCs w:val="13"/>
          <w:color w:val="auto"/>
        </w:rPr>
        <w:t>Mr. Duffy joined the Company as Senior Vice President and Chief Administrative Officer on August 29, 2022 after the annual long-term incentive grant. He received a $1,200,000 sign-on restricted stock unit grant at that time.</w:t>
      </w:r>
    </w:p>
    <w:p>
      <w:pPr>
        <w:spacing w:after="0" w:line="278"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b w:val="1"/>
          <w:bCs w:val="1"/>
          <w:i w:val="1"/>
          <w:iCs w:val="1"/>
          <w:color w:val="auto"/>
        </w:rPr>
        <w:t xml:space="preserve">2022 Target Long-Term Incentive Award Types. </w:t>
      </w:r>
      <w:r>
        <w:rPr>
          <w:rFonts w:ascii="Arial" w:cs="Arial" w:eastAsia="Arial" w:hAnsi="Arial"/>
          <w:sz w:val="16"/>
          <w:szCs w:val="16"/>
          <w:color w:val="auto"/>
        </w:rPr>
        <w:t>In determining the type and mix of stock granted to our Named Executives, the Compensation Committee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seeks to maintain a strong correlation between pay and performance while promoting retention of key employees. The Compensation Committee allocated 2022 long-term incentive compensation as follows.</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32 </w:t>
      </w:r>
      <w:r>
        <w:rPr>
          <w:sz w:val="1"/>
          <w:szCs w:val="1"/>
          <w:color w:val="auto"/>
        </w:rPr>
        <w:drawing>
          <wp:inline distT="0" distB="0" distL="0" distR="0">
            <wp:extent cx="401955" cy="162560"/>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4" w:name="page45"/>
    <w:bookmarkEnd w:id="44"/>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5655" cy="15240"/>
                    </a:xfrm>
                    <a:prstGeom prst="rect">
                      <a:avLst/>
                    </a:prstGeom>
                    <a:noFill/>
                  </pic:spPr>
                </pic:pic>
              </a:graphicData>
            </a:graphic>
          </wp:anchor>
        </w:drawing>
        <w:drawing>
          <wp:anchor simplePos="0" relativeHeight="251657728" behindDoc="1" locked="0" layoutInCell="0" allowOverlap="1">
            <wp:simplePos x="0" y="0"/>
            <wp:positionH relativeFrom="column">
              <wp:posOffset>1931670</wp:posOffset>
            </wp:positionH>
            <wp:positionV relativeFrom="paragraph">
              <wp:posOffset>227330</wp:posOffset>
            </wp:positionV>
            <wp:extent cx="3286760" cy="18484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86760" cy="1848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RESTRICTED STOCK UNITS</w:t>
      </w:r>
    </w:p>
    <w:p>
      <w:pPr>
        <w:spacing w:after="0" w:line="96"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When granting stock, the Compensation Committee targets a dollar value rather than a number of shares or units. The target value was set by the Compensation Committee as previously discussed. The fair market value was the closing price of our common stock on the NYSE on the date of grant.</w:t>
      </w:r>
    </w:p>
    <w:p>
      <w:pPr>
        <w:spacing w:after="0" w:line="12" w:lineRule="exact"/>
        <w:rPr>
          <w:sz w:val="20"/>
          <w:szCs w:val="20"/>
          <w:color w:val="auto"/>
        </w:rPr>
      </w:pPr>
    </w:p>
    <w:p>
      <w:pPr>
        <w:ind w:right="320"/>
        <w:spacing w:after="0" w:line="294" w:lineRule="auto"/>
        <w:rPr>
          <w:sz w:val="20"/>
          <w:szCs w:val="20"/>
          <w:color w:val="auto"/>
        </w:rPr>
      </w:pPr>
      <w:r>
        <w:rPr>
          <w:rFonts w:ascii="Arial" w:cs="Arial" w:eastAsia="Arial" w:hAnsi="Arial"/>
          <w:sz w:val="16"/>
          <w:szCs w:val="16"/>
          <w:color w:val="auto"/>
        </w:rPr>
        <w:t>For more information regarding the 2022 restricted stock units, see the "Grants of Plan-Based Awards" table under “Compensation of Executive Officers” below.</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2022 PERFORMANCE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86995</wp:posOffset>
            </wp:positionV>
            <wp:extent cx="7130415" cy="13906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0415" cy="139065"/>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spacing w:after="0" w:line="145" w:lineRule="exact"/>
        <w:rPr>
          <w:sz w:val="20"/>
          <w:szCs w:val="20"/>
          <w:color w:val="auto"/>
        </w:rPr>
      </w:pPr>
    </w:p>
    <w:p>
      <w:pPr>
        <w:ind w:left="2440"/>
        <w:spacing w:after="0"/>
        <w:rPr>
          <w:sz w:val="20"/>
          <w:szCs w:val="20"/>
          <w:color w:val="auto"/>
        </w:rPr>
      </w:pPr>
      <w:r>
        <w:rPr>
          <w:rFonts w:ascii="Arial" w:cs="Arial" w:eastAsia="Arial" w:hAnsi="Arial"/>
          <w:sz w:val="16"/>
          <w:szCs w:val="16"/>
          <w:b w:val="1"/>
          <w:bCs w:val="1"/>
          <w:color w:val="FFFFFF"/>
        </w:rPr>
        <w:t>Attributes</w:t>
      </w:r>
    </w:p>
    <w:p>
      <w:pPr>
        <w:spacing w:after="0" w:line="72" w:lineRule="exact"/>
        <w:rPr>
          <w:sz w:val="20"/>
          <w:szCs w:val="20"/>
          <w:color w:val="auto"/>
        </w:rPr>
      </w:pPr>
    </w:p>
    <w:p>
      <w:pPr>
        <w:ind w:left="620" w:right="80" w:hanging="296"/>
        <w:spacing w:after="0" w:line="228" w:lineRule="auto"/>
        <w:tabs>
          <w:tab w:leader="none" w:pos="6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Vest between 0% and 200% of the amount of initial shares granted depending on adjusted EBITDA performance (40% weighting), average ROIC performance (40% weighting) and relative TSR (20% weighting) attained during performance period.</w:t>
      </w:r>
    </w:p>
    <w:p>
      <w:pPr>
        <w:spacing w:after="0" w:line="2" w:lineRule="exact"/>
        <w:rPr>
          <w:rFonts w:ascii="Arial" w:cs="Arial" w:eastAsia="Arial" w:hAnsi="Arial"/>
          <w:sz w:val="16"/>
          <w:szCs w:val="16"/>
          <w:color w:val="auto"/>
        </w:rPr>
      </w:pPr>
    </w:p>
    <w:p>
      <w:pPr>
        <w:ind w:left="620" w:right="220" w:hanging="296"/>
        <w:spacing w:after="0" w:line="238" w:lineRule="auto"/>
        <w:tabs>
          <w:tab w:leader="none" w:pos="6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Performance period runs from January 1, 2022 through December 31, 2024.</w:t>
      </w:r>
    </w:p>
    <w:p>
      <w:pPr>
        <w:spacing w:after="0" w:line="4" w:lineRule="exact"/>
        <w:rPr>
          <w:rFonts w:ascii="Arial" w:cs="Arial" w:eastAsia="Arial" w:hAnsi="Arial"/>
          <w:sz w:val="16"/>
          <w:szCs w:val="16"/>
          <w:color w:val="auto"/>
        </w:rPr>
      </w:pPr>
    </w:p>
    <w:p>
      <w:pPr>
        <w:ind w:left="620" w:right="80" w:hanging="296"/>
        <w:spacing w:after="0" w:line="231" w:lineRule="auto"/>
        <w:tabs>
          <w:tab w:leader="none" w:pos="6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each performance metric, results at the threshold, target and maximum goals produce vesting at 50%, 100% and 200%, respectively, of the initial performance restricted stock units granted.</w:t>
      </w:r>
    </w:p>
    <w:p>
      <w:pPr>
        <w:spacing w:after="0" w:line="4" w:lineRule="exact"/>
        <w:rPr>
          <w:rFonts w:ascii="Arial" w:cs="Arial" w:eastAsia="Arial" w:hAnsi="Arial"/>
          <w:sz w:val="16"/>
          <w:szCs w:val="16"/>
          <w:color w:val="auto"/>
        </w:rPr>
      </w:pPr>
    </w:p>
    <w:p>
      <w:pPr>
        <w:ind w:left="620" w:hanging="296"/>
        <w:spacing w:after="0" w:line="228" w:lineRule="auto"/>
        <w:tabs>
          <w:tab w:leader="none" w:pos="616" w:val="left"/>
        </w:tabs>
        <w:numPr>
          <w:ilvl w:val="0"/>
          <w:numId w:val="71"/>
        </w:numPr>
        <w:rPr>
          <w:rFonts w:ascii="Arial" w:cs="Arial" w:eastAsia="Arial" w:hAnsi="Arial"/>
          <w:sz w:val="16"/>
          <w:szCs w:val="16"/>
          <w:color w:val="auto"/>
        </w:rPr>
      </w:pPr>
      <w:r>
        <w:rPr>
          <w:rFonts w:ascii="Arial" w:cs="Arial" w:eastAsia="Arial" w:hAnsi="Arial"/>
          <w:sz w:val="16"/>
          <w:szCs w:val="16"/>
          <w:color w:val="auto"/>
        </w:rPr>
        <w:t>Vesting for performance results between threshold and target or target and maximum is determined by linear interpolation. No amount will vest with respect to any performance metrics unless threshold results are attained.</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jc w:val="center"/>
        <w:ind w:right="320"/>
        <w:spacing w:after="0"/>
        <w:rPr>
          <w:sz w:val="20"/>
          <w:szCs w:val="20"/>
          <w:color w:val="auto"/>
        </w:rPr>
      </w:pPr>
      <w:r>
        <w:rPr>
          <w:rFonts w:ascii="Arial" w:cs="Arial" w:eastAsia="Arial" w:hAnsi="Arial"/>
          <w:sz w:val="16"/>
          <w:szCs w:val="16"/>
          <w:b w:val="1"/>
          <w:bCs w:val="1"/>
          <w:color w:val="FFFFFF"/>
        </w:rPr>
        <w:t>Rationale</w:t>
      </w:r>
    </w:p>
    <w:p>
      <w:pPr>
        <w:spacing w:after="0" w:line="39" w:lineRule="exact"/>
        <w:rPr>
          <w:sz w:val="20"/>
          <w:szCs w:val="20"/>
          <w:color w:val="auto"/>
        </w:rPr>
      </w:pPr>
    </w:p>
    <w:p>
      <w:pPr>
        <w:ind w:left="300" w:right="80" w:hanging="294"/>
        <w:spacing w:after="0" w:line="220" w:lineRule="auto"/>
        <w:tabs>
          <w:tab w:leader="none" w:pos="2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believe that over the long-term, there is a high degree of correlation between our adjusted EBITDA, as a measure of profitability and our stock price performance. The addition of relative TSR was further designed to align incentive payouts with stockholder value creation.</w:t>
      </w:r>
    </w:p>
    <w:p>
      <w:pPr>
        <w:spacing w:after="0" w:line="1" w:lineRule="exact"/>
        <w:rPr>
          <w:rFonts w:ascii="Arial" w:cs="Arial" w:eastAsia="Arial" w:hAnsi="Arial"/>
          <w:sz w:val="16"/>
          <w:szCs w:val="16"/>
          <w:color w:val="auto"/>
        </w:rPr>
      </w:pPr>
    </w:p>
    <w:p>
      <w:pPr>
        <w:ind w:left="300" w:right="500" w:hanging="294"/>
        <w:spacing w:after="0" w:line="233" w:lineRule="auto"/>
        <w:tabs>
          <w:tab w:leader="none" w:pos="2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Accordingly, we use adjusted EBITDA in long-term stock-based compensation to more closely align our goals with stockholder interests.</w:t>
      </w:r>
    </w:p>
    <w:p>
      <w:pPr>
        <w:ind w:left="300" w:right="60" w:hanging="294"/>
        <w:spacing w:after="0" w:line="226" w:lineRule="auto"/>
        <w:tabs>
          <w:tab w:leader="none" w:pos="2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We believe using different performance metrics than in the annual incentive compensation program reduces the focus on a single metric at the expense of others, helping to mitigate risk related to incentive compensation.</w:t>
      </w:r>
    </w:p>
    <w:p>
      <w:pPr>
        <w:spacing w:after="0" w:line="5" w:lineRule="exact"/>
        <w:rPr>
          <w:rFonts w:ascii="Arial" w:cs="Arial" w:eastAsia="Arial" w:hAnsi="Arial"/>
          <w:sz w:val="16"/>
          <w:szCs w:val="16"/>
          <w:color w:val="auto"/>
        </w:rPr>
      </w:pPr>
    </w:p>
    <w:p>
      <w:pPr>
        <w:ind w:left="300" w:right="780" w:hanging="294"/>
        <w:spacing w:after="0" w:line="246" w:lineRule="auto"/>
        <w:tabs>
          <w:tab w:leader="none" w:pos="296"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Including ROIC helps promote management focus on asset utilization.</w:t>
      </w:r>
    </w:p>
    <w:p>
      <w:pPr>
        <w:spacing w:after="0" w:line="147" w:lineRule="exact"/>
        <w:rPr>
          <w:sz w:val="20"/>
          <w:szCs w:val="20"/>
          <w:color w:val="auto"/>
        </w:rPr>
      </w:pPr>
    </w:p>
    <w:p>
      <w:pPr>
        <w:sectPr>
          <w:pgSz w:w="11900" w:h="16838" w:orient="portrait"/>
          <w:cols w:equalWidth="0" w:num="2">
            <w:col w:w="5580" w:space="340"/>
            <w:col w:w="5340"/>
          </w:cols>
          <w:pgMar w:left="320" w:top="123" w:right="319" w:bottom="1440" w:gutter="0" w:footer="0" w:header="0"/>
          <w:type w:val="continuous"/>
        </w:sectPr>
      </w:pPr>
    </w:p>
    <w:p>
      <w:pPr>
        <w:jc w:val="both"/>
        <w:ind w:right="20"/>
        <w:spacing w:after="0" w:line="274" w:lineRule="auto"/>
        <w:rPr>
          <w:sz w:val="20"/>
          <w:szCs w:val="20"/>
          <w:color w:val="auto"/>
        </w:rPr>
      </w:pPr>
      <w:r>
        <w:rPr>
          <w:rFonts w:ascii="Arial" w:cs="Arial" w:eastAsia="Arial" w:hAnsi="Arial"/>
          <w:sz w:val="16"/>
          <w:szCs w:val="16"/>
          <w:color w:val="auto"/>
        </w:rPr>
        <w:t>The Compensation Committee sets target and maximum goals based on the sum of the adjusted EBITDA estimates for each year of the Performance Period. To complement financial results under our annual incentive compensation program, we derived the estimates from the prior year adjusted EBITDA in 2022 and assumed growth rates of 5% and 9% for target and maximum goals, respectively.</w:t>
      </w:r>
    </w:p>
    <w:p>
      <w:pPr>
        <w:spacing w:after="0" w:line="40" w:lineRule="exact"/>
        <w:rPr>
          <w:sz w:val="20"/>
          <w:szCs w:val="20"/>
          <w:color w:val="auto"/>
        </w:rPr>
      </w:pPr>
    </w:p>
    <w:p>
      <w:pPr>
        <w:ind w:right="280"/>
        <w:spacing w:after="0" w:line="267" w:lineRule="auto"/>
        <w:rPr>
          <w:sz w:val="20"/>
          <w:szCs w:val="20"/>
          <w:color w:val="auto"/>
        </w:rPr>
      </w:pPr>
      <w:r>
        <w:rPr>
          <w:rFonts w:ascii="Arial" w:cs="Arial" w:eastAsia="Arial" w:hAnsi="Arial"/>
          <w:sz w:val="16"/>
          <w:szCs w:val="16"/>
          <w:color w:val="auto"/>
        </w:rPr>
        <w:t>We set the threshold goal at 90% of the adjusted EBITDA target, consistent with the structure of annual incentive compensation. We set threshold, target and maximum goals for ROIC at 10.0%, 12.5% and 15.0%, respectively, which the Compensation Committee determined to be appropriate based on management’s projections of the Company’s financial results for the performance period. We set threshold, target and maximum goals for relative TSR at 25th percentile, 50th percentile and 75th percentile, respectively.</w:t>
      </w:r>
    </w:p>
    <w:p>
      <w:pPr>
        <w:spacing w:after="0" w:line="3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For more information regarding the 2022 performance restricted stock units, see the "Grants of Plan-Based Awards" table under “Compensation of Executive Officers” below and disclosures under “Compensation of Executive Officers – Estimated Future Payouts Under Equity Incentive Plan Awards.”</w:t>
      </w: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45" w:name="page46"/>
    <w:bookmarkEnd w:id="45"/>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2020 PERFORMANCE RESTRICTED STOCK UNITS</w:t>
      </w:r>
    </w:p>
    <w:p>
      <w:pPr>
        <w:spacing w:after="0" w:line="84" w:lineRule="exact"/>
        <w:rPr>
          <w:sz w:val="20"/>
          <w:szCs w:val="20"/>
          <w:color w:val="auto"/>
        </w:rPr>
      </w:pPr>
    </w:p>
    <w:p>
      <w:pPr>
        <w:ind w:right="680"/>
        <w:spacing w:after="0" w:line="294" w:lineRule="auto"/>
        <w:rPr>
          <w:sz w:val="20"/>
          <w:szCs w:val="20"/>
          <w:color w:val="auto"/>
        </w:rPr>
      </w:pPr>
      <w:r>
        <w:rPr>
          <w:rFonts w:ascii="Arial" w:cs="Arial" w:eastAsia="Arial" w:hAnsi="Arial"/>
          <w:sz w:val="16"/>
          <w:szCs w:val="16"/>
          <w:color w:val="auto"/>
        </w:rPr>
        <w:t>In 2020, the Committee established the following financial performance goals for the performance restricted stock units over the January 1, 2020 to December 31, 2022 performance period.</w:t>
      </w:r>
    </w:p>
    <w:p>
      <w:pPr>
        <w:spacing w:after="0" w:line="6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2020 Performance Restricted Stock Unit Goals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860" w:type="dxa"/>
            <w:vAlign w:val="bottom"/>
            <w:shd w:val="clear" w:color="auto" w:fill="000000"/>
          </w:tcPr>
          <w:p>
            <w:pPr>
              <w:jc w:val="center"/>
              <w:ind w:right="11"/>
              <w:spacing w:after="0"/>
              <w:rPr>
                <w:sz w:val="20"/>
                <w:szCs w:val="20"/>
                <w:color w:val="auto"/>
              </w:rPr>
            </w:pPr>
            <w:r>
              <w:rPr>
                <w:rFonts w:ascii="Arial" w:cs="Arial" w:eastAsia="Arial" w:hAnsi="Arial"/>
                <w:sz w:val="13"/>
                <w:szCs w:val="13"/>
                <w:b w:val="1"/>
                <w:bCs w:val="1"/>
                <w:color w:val="FFFFFF"/>
                <w:w w:val="99"/>
              </w:rPr>
              <w:t>Metric</w:t>
            </w:r>
          </w:p>
        </w:tc>
        <w:tc>
          <w:tcPr>
            <w:tcW w:w="1780" w:type="dxa"/>
            <w:vAlign w:val="bottom"/>
            <w:shd w:val="clear" w:color="auto" w:fill="000000"/>
          </w:tcPr>
          <w:p>
            <w:pPr>
              <w:jc w:val="center"/>
              <w:ind w:right="31"/>
              <w:spacing w:after="0"/>
              <w:rPr>
                <w:sz w:val="20"/>
                <w:szCs w:val="20"/>
                <w:color w:val="auto"/>
              </w:rPr>
            </w:pPr>
            <w:r>
              <w:rPr>
                <w:rFonts w:ascii="Arial" w:cs="Arial" w:eastAsia="Arial" w:hAnsi="Arial"/>
                <w:sz w:val="13"/>
                <w:szCs w:val="13"/>
                <w:b w:val="1"/>
                <w:bCs w:val="1"/>
                <w:color w:val="FFFFFF"/>
              </w:rPr>
              <w:t>Threshold Goal</w:t>
            </w:r>
          </w:p>
        </w:tc>
        <w:tc>
          <w:tcPr>
            <w:tcW w:w="18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6"/>
              </w:rPr>
              <w:t>Target Goal</w:t>
            </w:r>
          </w:p>
        </w:tc>
        <w:tc>
          <w:tcPr>
            <w:tcW w:w="186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Maximum Goal</w:t>
            </w:r>
          </w:p>
        </w:tc>
        <w:tc>
          <w:tcPr>
            <w:tcW w:w="1860" w:type="dxa"/>
            <w:vAlign w:val="bottom"/>
            <w:vMerge w:val="restart"/>
            <w:shd w:val="clear" w:color="auto" w:fill="000000"/>
          </w:tcPr>
          <w:p>
            <w:pPr>
              <w:ind w:left="740"/>
              <w:spacing w:after="0"/>
              <w:rPr>
                <w:sz w:val="20"/>
                <w:szCs w:val="20"/>
                <w:color w:val="auto"/>
              </w:rPr>
            </w:pPr>
            <w:r>
              <w:rPr>
                <w:rFonts w:ascii="Arial" w:cs="Arial" w:eastAsia="Arial" w:hAnsi="Arial"/>
                <w:sz w:val="13"/>
                <w:szCs w:val="13"/>
                <w:b w:val="1"/>
                <w:bCs w:val="1"/>
                <w:color w:val="FFFFFF"/>
              </w:rPr>
              <w:t>Actual</w:t>
            </w:r>
          </w:p>
        </w:tc>
        <w:tc>
          <w:tcPr>
            <w:tcW w:w="0" w:type="dxa"/>
            <w:vAlign w:val="bottom"/>
          </w:tcPr>
          <w:p>
            <w:pPr>
              <w:spacing w:after="0"/>
              <w:rPr>
                <w:sz w:val="1"/>
                <w:szCs w:val="1"/>
                <w:color w:val="auto"/>
              </w:rPr>
            </w:pPr>
          </w:p>
        </w:tc>
      </w:tr>
      <w:tr>
        <w:trPr>
          <w:trHeight w:val="104"/>
        </w:trPr>
        <w:tc>
          <w:tcPr>
            <w:tcW w:w="3860" w:type="dxa"/>
            <w:vAlign w:val="bottom"/>
            <w:vMerge w:val="restart"/>
            <w:shd w:val="clear" w:color="auto" w:fill="000000"/>
          </w:tcPr>
          <w:p>
            <w:pPr>
              <w:jc w:val="center"/>
              <w:ind w:right="31"/>
              <w:spacing w:after="0"/>
              <w:rPr>
                <w:sz w:val="20"/>
                <w:szCs w:val="20"/>
                <w:color w:val="auto"/>
              </w:rPr>
            </w:pPr>
            <w:r>
              <w:rPr>
                <w:rFonts w:ascii="Arial" w:cs="Arial" w:eastAsia="Arial" w:hAnsi="Arial"/>
                <w:sz w:val="13"/>
                <w:szCs w:val="13"/>
                <w:b w:val="1"/>
                <w:bCs w:val="1"/>
                <w:color w:val="FFFFFF"/>
                <w:w w:val="99"/>
              </w:rPr>
              <w:t>(Weight)</w:t>
            </w:r>
          </w:p>
        </w:tc>
        <w:tc>
          <w:tcPr>
            <w:tcW w:w="1780" w:type="dxa"/>
            <w:vAlign w:val="bottom"/>
            <w:vMerge w:val="restart"/>
            <w:shd w:val="clear" w:color="auto" w:fill="000000"/>
          </w:tcPr>
          <w:p>
            <w:pPr>
              <w:jc w:val="center"/>
              <w:ind w:right="31"/>
              <w:spacing w:after="0"/>
              <w:rPr>
                <w:sz w:val="20"/>
                <w:szCs w:val="20"/>
                <w:color w:val="auto"/>
              </w:rPr>
            </w:pPr>
            <w:r>
              <w:rPr>
                <w:rFonts w:ascii="Arial" w:cs="Arial" w:eastAsia="Arial" w:hAnsi="Arial"/>
                <w:sz w:val="13"/>
                <w:szCs w:val="13"/>
                <w:b w:val="1"/>
                <w:bCs w:val="1"/>
                <w:i w:val="1"/>
                <w:iCs w:val="1"/>
                <w:color w:val="FFFFFF"/>
                <w:w w:val="98"/>
              </w:rPr>
              <w:t>50% Payout</w:t>
            </w:r>
          </w:p>
        </w:tc>
        <w:tc>
          <w:tcPr>
            <w:tcW w:w="18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i w:val="1"/>
                <w:iCs w:val="1"/>
                <w:color w:val="FFFFFF"/>
                <w:w w:val="99"/>
              </w:rPr>
              <w:t>100% Payout</w:t>
            </w:r>
          </w:p>
        </w:tc>
        <w:tc>
          <w:tcPr>
            <w:tcW w:w="18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i w:val="1"/>
                <w:iCs w:val="1"/>
                <w:color w:val="FFFFFF"/>
                <w:w w:val="99"/>
              </w:rPr>
              <w:t>200% Payout</w:t>
            </w:r>
          </w:p>
        </w:tc>
        <w:tc>
          <w:tcPr>
            <w:tcW w:w="1860" w:type="dxa"/>
            <w:vAlign w:val="bottom"/>
            <w:vMerge w:val="continue"/>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62"/>
        </w:trPr>
        <w:tc>
          <w:tcPr>
            <w:tcW w:w="3860" w:type="dxa"/>
            <w:vAlign w:val="bottom"/>
            <w:vMerge w:val="continue"/>
            <w:shd w:val="clear" w:color="auto" w:fill="000000"/>
          </w:tcPr>
          <w:p>
            <w:pPr>
              <w:spacing w:after="0"/>
              <w:rPr>
                <w:sz w:val="5"/>
                <w:szCs w:val="5"/>
                <w:color w:val="auto"/>
              </w:rPr>
            </w:pPr>
          </w:p>
        </w:tc>
        <w:tc>
          <w:tcPr>
            <w:tcW w:w="1780" w:type="dxa"/>
            <w:vAlign w:val="bottom"/>
            <w:vMerge w:val="continue"/>
            <w:shd w:val="clear" w:color="auto" w:fill="000000"/>
          </w:tcPr>
          <w:p>
            <w:pPr>
              <w:spacing w:after="0"/>
              <w:rPr>
                <w:sz w:val="5"/>
                <w:szCs w:val="5"/>
                <w:color w:val="auto"/>
              </w:rPr>
            </w:pPr>
          </w:p>
        </w:tc>
        <w:tc>
          <w:tcPr>
            <w:tcW w:w="1860" w:type="dxa"/>
            <w:vAlign w:val="bottom"/>
            <w:vMerge w:val="continue"/>
            <w:shd w:val="clear" w:color="auto" w:fill="000000"/>
          </w:tcPr>
          <w:p>
            <w:pPr>
              <w:spacing w:after="0"/>
              <w:rPr>
                <w:sz w:val="5"/>
                <w:szCs w:val="5"/>
                <w:color w:val="auto"/>
              </w:rPr>
            </w:pPr>
          </w:p>
        </w:tc>
        <w:tc>
          <w:tcPr>
            <w:tcW w:w="1860" w:type="dxa"/>
            <w:vAlign w:val="bottom"/>
            <w:vMerge w:val="continue"/>
            <w:shd w:val="clear" w:color="auto" w:fill="000000"/>
          </w:tcPr>
          <w:p>
            <w:pPr>
              <w:spacing w:after="0"/>
              <w:rPr>
                <w:sz w:val="5"/>
                <w:szCs w:val="5"/>
                <w:color w:val="auto"/>
              </w:rPr>
            </w:pPr>
          </w:p>
        </w:tc>
        <w:tc>
          <w:tcPr>
            <w:tcW w:w="186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Three-Year Cumulative Earnings per Share (50%)</w:t>
            </w:r>
          </w:p>
        </w:tc>
        <w:tc>
          <w:tcPr>
            <w:tcW w:w="1780" w:type="dxa"/>
            <w:vAlign w:val="bottom"/>
            <w:tcBorders>
              <w:bottom w:val="single" w:sz="8" w:color="auto"/>
            </w:tcBorders>
          </w:tcPr>
          <w:p>
            <w:pPr>
              <w:jc w:val="right"/>
              <w:ind w:right="691"/>
              <w:spacing w:after="0"/>
              <w:rPr>
                <w:sz w:val="20"/>
                <w:szCs w:val="20"/>
                <w:color w:val="auto"/>
              </w:rPr>
            </w:pPr>
            <w:r>
              <w:rPr>
                <w:rFonts w:ascii="Arial" w:cs="Arial" w:eastAsia="Arial" w:hAnsi="Arial"/>
                <w:sz w:val="15"/>
                <w:szCs w:val="15"/>
                <w:color w:val="auto"/>
              </w:rPr>
              <w:t>$7.99</w:t>
            </w:r>
          </w:p>
        </w:tc>
        <w:tc>
          <w:tcPr>
            <w:tcW w:w="1860" w:type="dxa"/>
            <w:vAlign w:val="bottom"/>
            <w:tcBorders>
              <w:bottom w:val="single" w:sz="8" w:color="auto"/>
            </w:tcBorders>
            <w:shd w:val="clear" w:color="auto" w:fill="DBDBDB"/>
          </w:tcPr>
          <w:p>
            <w:pPr>
              <w:jc w:val="right"/>
              <w:ind w:right="671"/>
              <w:spacing w:after="0"/>
              <w:rPr>
                <w:sz w:val="20"/>
                <w:szCs w:val="20"/>
                <w:color w:val="auto"/>
              </w:rPr>
            </w:pPr>
            <w:r>
              <w:rPr>
                <w:rFonts w:ascii="Arial" w:cs="Arial" w:eastAsia="Arial" w:hAnsi="Arial"/>
                <w:sz w:val="15"/>
                <w:szCs w:val="15"/>
                <w:color w:val="auto"/>
              </w:rPr>
              <w:t>$8.87</w:t>
            </w:r>
          </w:p>
        </w:tc>
        <w:tc>
          <w:tcPr>
            <w:tcW w:w="1860" w:type="dxa"/>
            <w:vAlign w:val="bottom"/>
            <w:tcBorders>
              <w:bottom w:val="single" w:sz="8" w:color="auto"/>
            </w:tcBorders>
          </w:tcPr>
          <w:p>
            <w:pPr>
              <w:jc w:val="right"/>
              <w:ind w:right="671"/>
              <w:spacing w:after="0"/>
              <w:rPr>
                <w:sz w:val="20"/>
                <w:szCs w:val="20"/>
                <w:color w:val="auto"/>
              </w:rPr>
            </w:pPr>
            <w:r>
              <w:rPr>
                <w:rFonts w:ascii="Arial" w:cs="Arial" w:eastAsia="Arial" w:hAnsi="Arial"/>
                <w:sz w:val="15"/>
                <w:szCs w:val="15"/>
                <w:color w:val="auto"/>
              </w:rPr>
              <w:t>$9.31</w:t>
            </w:r>
          </w:p>
        </w:tc>
        <w:tc>
          <w:tcPr>
            <w:tcW w:w="1860" w:type="dxa"/>
            <w:vAlign w:val="bottom"/>
            <w:tcBorders>
              <w:bottom w:val="single" w:sz="8" w:color="auto"/>
            </w:tcBorders>
            <w:shd w:val="clear" w:color="auto" w:fill="DBDBDB"/>
          </w:tcPr>
          <w:p>
            <w:pPr>
              <w:jc w:val="right"/>
              <w:ind w:right="670"/>
              <w:spacing w:after="0"/>
              <w:rPr>
                <w:sz w:val="20"/>
                <w:szCs w:val="20"/>
                <w:color w:val="auto"/>
              </w:rPr>
            </w:pPr>
            <w:r>
              <w:rPr>
                <w:rFonts w:ascii="Arial" w:cs="Arial" w:eastAsia="Arial" w:hAnsi="Arial"/>
                <w:sz w:val="15"/>
                <w:szCs w:val="15"/>
                <w:b w:val="1"/>
                <w:bCs w:val="1"/>
                <w:color w:val="auto"/>
              </w:rPr>
              <w:t>$9.23</w:t>
            </w:r>
          </w:p>
        </w:tc>
        <w:tc>
          <w:tcPr>
            <w:tcW w:w="0" w:type="dxa"/>
            <w:vAlign w:val="bottom"/>
          </w:tcPr>
          <w:p>
            <w:pPr>
              <w:spacing w:after="0"/>
              <w:rPr>
                <w:sz w:val="1"/>
                <w:szCs w:val="1"/>
                <w:color w:val="auto"/>
              </w:rPr>
            </w:pPr>
          </w:p>
        </w:tc>
      </w:tr>
      <w:tr>
        <w:trPr>
          <w:trHeight w:val="187"/>
        </w:trPr>
        <w:tc>
          <w:tcPr>
            <w:tcW w:w="3860" w:type="dxa"/>
            <w:vAlign w:val="bottom"/>
            <w:tcBorders>
              <w:bottom w:val="single" w:sz="8" w:color="auto"/>
            </w:tcBorders>
          </w:tcPr>
          <w:p>
            <w:pPr>
              <w:ind w:left="80"/>
              <w:spacing w:after="0"/>
              <w:rPr>
                <w:sz w:val="20"/>
                <w:szCs w:val="20"/>
                <w:color w:val="auto"/>
              </w:rPr>
            </w:pPr>
            <w:r>
              <w:rPr>
                <w:rFonts w:ascii="Arial" w:cs="Arial" w:eastAsia="Arial" w:hAnsi="Arial"/>
                <w:sz w:val="15"/>
                <w:szCs w:val="15"/>
                <w:b w:val="1"/>
                <w:bCs w:val="1"/>
                <w:color w:val="auto"/>
              </w:rPr>
              <w:t>Return on Invested Capital (50%)</w:t>
            </w:r>
          </w:p>
        </w:tc>
        <w:tc>
          <w:tcPr>
            <w:tcW w:w="1780" w:type="dxa"/>
            <w:vAlign w:val="bottom"/>
            <w:tcBorders>
              <w:bottom w:val="single" w:sz="8" w:color="auto"/>
            </w:tcBorders>
          </w:tcPr>
          <w:p>
            <w:pPr>
              <w:jc w:val="right"/>
              <w:ind w:right="671"/>
              <w:spacing w:after="0"/>
              <w:rPr>
                <w:sz w:val="20"/>
                <w:szCs w:val="20"/>
                <w:color w:val="auto"/>
              </w:rPr>
            </w:pPr>
            <w:r>
              <w:rPr>
                <w:rFonts w:ascii="Arial" w:cs="Arial" w:eastAsia="Arial" w:hAnsi="Arial"/>
                <w:sz w:val="15"/>
                <w:szCs w:val="15"/>
                <w:color w:val="auto"/>
              </w:rPr>
              <w:t>11.2%</w:t>
            </w:r>
          </w:p>
        </w:tc>
        <w:tc>
          <w:tcPr>
            <w:tcW w:w="1860" w:type="dxa"/>
            <w:vAlign w:val="bottom"/>
            <w:tcBorders>
              <w:bottom w:val="single" w:sz="8" w:color="auto"/>
            </w:tcBorders>
            <w:shd w:val="clear" w:color="auto" w:fill="DBDBDB"/>
          </w:tcPr>
          <w:p>
            <w:pPr>
              <w:jc w:val="right"/>
              <w:ind w:right="651"/>
              <w:spacing w:after="0"/>
              <w:rPr>
                <w:sz w:val="20"/>
                <w:szCs w:val="20"/>
                <w:color w:val="auto"/>
              </w:rPr>
            </w:pPr>
            <w:r>
              <w:rPr>
                <w:rFonts w:ascii="Arial" w:cs="Arial" w:eastAsia="Arial" w:hAnsi="Arial"/>
                <w:sz w:val="15"/>
                <w:szCs w:val="15"/>
                <w:color w:val="auto"/>
              </w:rPr>
              <w:t>14.0%</w:t>
            </w:r>
          </w:p>
        </w:tc>
        <w:tc>
          <w:tcPr>
            <w:tcW w:w="1860" w:type="dxa"/>
            <w:vAlign w:val="bottom"/>
            <w:tcBorders>
              <w:bottom w:val="single" w:sz="8" w:color="auto"/>
            </w:tcBorders>
          </w:tcPr>
          <w:p>
            <w:pPr>
              <w:jc w:val="right"/>
              <w:ind w:right="651"/>
              <w:spacing w:after="0"/>
              <w:rPr>
                <w:sz w:val="20"/>
                <w:szCs w:val="20"/>
                <w:color w:val="auto"/>
              </w:rPr>
            </w:pPr>
            <w:r>
              <w:rPr>
                <w:rFonts w:ascii="Arial" w:cs="Arial" w:eastAsia="Arial" w:hAnsi="Arial"/>
                <w:sz w:val="15"/>
                <w:szCs w:val="15"/>
                <w:color w:val="auto"/>
              </w:rPr>
              <w:t>16.8%</w:t>
            </w:r>
          </w:p>
        </w:tc>
        <w:tc>
          <w:tcPr>
            <w:tcW w:w="1860" w:type="dxa"/>
            <w:vAlign w:val="bottom"/>
            <w:tcBorders>
              <w:bottom w:val="single" w:sz="8" w:color="auto"/>
            </w:tcBorders>
            <w:shd w:val="clear" w:color="auto" w:fill="DBDBDB"/>
          </w:tcPr>
          <w:p>
            <w:pPr>
              <w:jc w:val="right"/>
              <w:ind w:right="650"/>
              <w:spacing w:after="0"/>
              <w:rPr>
                <w:sz w:val="20"/>
                <w:szCs w:val="20"/>
                <w:color w:val="auto"/>
              </w:rPr>
            </w:pPr>
            <w:r>
              <w:rPr>
                <w:rFonts w:ascii="Arial" w:cs="Arial" w:eastAsia="Arial" w:hAnsi="Arial"/>
                <w:sz w:val="15"/>
                <w:szCs w:val="15"/>
                <w:b w:val="1"/>
                <w:bCs w:val="1"/>
                <w:color w:val="auto"/>
              </w:rPr>
              <w:t>15.0%</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b w:val="1"/>
          <w:bCs w:val="1"/>
          <w:i w:val="1"/>
          <w:iCs w:val="1"/>
          <w:color w:val="auto"/>
        </w:rPr>
        <w:t xml:space="preserve">Analysis of Financial Performance. </w:t>
      </w:r>
      <w:r>
        <w:rPr>
          <w:rFonts w:ascii="Arial" w:cs="Arial" w:eastAsia="Arial" w:hAnsi="Arial"/>
          <w:sz w:val="16"/>
          <w:szCs w:val="16"/>
          <w:color w:val="auto"/>
        </w:rPr>
        <w:t>Based on exceeding the three-year cumulative earnings per share and return on invested capital goals,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determined the weighted financial performance was 158% of target under the 2020 Performance Restricted Stock Unit Award in February 2023. The following table indicates the shares earned under the LTIP by our Named Executives for the January 1, 2020 to December 31, 2022 performance period. Adm. McCoy and Mr. Duffy were not participants in the 2020 Performance Restricted Stock Unit awards and did not receive any payouts.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ANALYSIS OF 2020 PERFORMANCE RESTRICTED STOCK UNIT PAYOUT</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shd w:val="clear" w:color="auto" w:fill="000000"/>
          </w:tcPr>
          <w:p>
            <w:pPr>
              <w:spacing w:after="0"/>
              <w:rPr>
                <w:sz w:val="17"/>
                <w:szCs w:val="17"/>
                <w:color w:val="auto"/>
              </w:rPr>
            </w:pPr>
          </w:p>
        </w:tc>
        <w:tc>
          <w:tcPr>
            <w:tcW w:w="1340" w:type="dxa"/>
            <w:vAlign w:val="bottom"/>
            <w:gridSpan w:val="2"/>
            <w:shd w:val="clear" w:color="auto" w:fill="000000"/>
          </w:tcPr>
          <w:p>
            <w:pPr>
              <w:jc w:val="right"/>
              <w:ind w:right="207"/>
              <w:spacing w:after="0"/>
              <w:rPr>
                <w:sz w:val="20"/>
                <w:szCs w:val="20"/>
                <w:color w:val="auto"/>
              </w:rPr>
            </w:pPr>
            <w:r>
              <w:rPr>
                <w:rFonts w:ascii="Arial" w:cs="Arial" w:eastAsia="Arial" w:hAnsi="Arial"/>
                <w:sz w:val="13"/>
                <w:szCs w:val="13"/>
                <w:b w:val="1"/>
                <w:bCs w:val="1"/>
                <w:color w:val="FFFFFF"/>
              </w:rPr>
              <w:t>Mr. Geveden</w:t>
            </w:r>
          </w:p>
        </w:tc>
        <w:tc>
          <w:tcPr>
            <w:tcW w:w="1460" w:type="dxa"/>
            <w:vAlign w:val="bottom"/>
            <w:shd w:val="clear" w:color="auto" w:fill="000000"/>
          </w:tcPr>
          <w:p>
            <w:pPr>
              <w:jc w:val="right"/>
              <w:ind w:right="229"/>
              <w:spacing w:after="0"/>
              <w:rPr>
                <w:sz w:val="20"/>
                <w:szCs w:val="20"/>
                <w:color w:val="auto"/>
              </w:rPr>
            </w:pPr>
            <w:r>
              <w:rPr>
                <w:rFonts w:ascii="Arial" w:cs="Arial" w:eastAsia="Arial" w:hAnsi="Arial"/>
                <w:sz w:val="13"/>
                <w:szCs w:val="13"/>
                <w:b w:val="1"/>
                <w:bCs w:val="1"/>
                <w:color w:val="FFFFFF"/>
              </w:rPr>
              <w:t>Mr. LeMasters</w:t>
            </w:r>
          </w:p>
        </w:tc>
        <w:tc>
          <w:tcPr>
            <w:tcW w:w="1360" w:type="dxa"/>
            <w:vAlign w:val="bottom"/>
            <w:gridSpan w:val="2"/>
            <w:shd w:val="clear" w:color="auto" w:fill="000000"/>
          </w:tcPr>
          <w:p>
            <w:pPr>
              <w:jc w:val="right"/>
              <w:ind w:right="187"/>
              <w:spacing w:after="0"/>
              <w:rPr>
                <w:sz w:val="20"/>
                <w:szCs w:val="20"/>
                <w:color w:val="auto"/>
              </w:rPr>
            </w:pPr>
            <w:r>
              <w:rPr>
                <w:rFonts w:ascii="Arial" w:cs="Arial" w:eastAsia="Arial" w:hAnsi="Arial"/>
                <w:sz w:val="13"/>
                <w:szCs w:val="13"/>
                <w:b w:val="1"/>
                <w:bCs w:val="1"/>
                <w:color w:val="FFFFFF"/>
              </w:rPr>
              <w:t>Mr. McCabe</w:t>
            </w:r>
            <w:r>
              <w:rPr>
                <w:rFonts w:ascii="Arial" w:cs="Arial" w:eastAsia="Arial" w:hAnsi="Arial"/>
                <w:sz w:val="18"/>
                <w:szCs w:val="18"/>
                <w:b w:val="1"/>
                <w:bCs w:val="1"/>
                <w:color w:val="FFFFFF"/>
                <w:vertAlign w:val="superscript"/>
              </w:rPr>
              <w:t>(1)</w:t>
            </w:r>
          </w:p>
        </w:tc>
        <w:tc>
          <w:tcPr>
            <w:tcW w:w="1160" w:type="dxa"/>
            <w:vAlign w:val="bottom"/>
            <w:shd w:val="clear" w:color="auto" w:fill="000000"/>
          </w:tcPr>
          <w:p>
            <w:pPr>
              <w:ind w:left="360"/>
              <w:spacing w:after="0"/>
              <w:rPr>
                <w:sz w:val="20"/>
                <w:szCs w:val="20"/>
                <w:color w:val="auto"/>
              </w:rPr>
            </w:pPr>
            <w:r>
              <w:rPr>
                <w:rFonts w:ascii="Arial" w:cs="Arial" w:eastAsia="Arial" w:hAnsi="Arial"/>
                <w:sz w:val="13"/>
                <w:szCs w:val="13"/>
                <w:b w:val="1"/>
                <w:bCs w:val="1"/>
                <w:color w:val="FFFFFF"/>
                <w:w w:val="99"/>
              </w:rPr>
              <w:t>Adm. McCoy</w:t>
            </w:r>
          </w:p>
        </w:tc>
        <w:tc>
          <w:tcPr>
            <w:tcW w:w="340" w:type="dxa"/>
            <w:vAlign w:val="bottom"/>
            <w:shd w:val="clear" w:color="auto" w:fill="000000"/>
          </w:tcPr>
          <w:p>
            <w:pPr>
              <w:spacing w:after="0"/>
              <w:rPr>
                <w:sz w:val="17"/>
                <w:szCs w:val="17"/>
                <w:color w:val="auto"/>
              </w:rPr>
            </w:pPr>
          </w:p>
        </w:tc>
        <w:tc>
          <w:tcPr>
            <w:tcW w:w="1380" w:type="dxa"/>
            <w:vAlign w:val="bottom"/>
            <w:gridSpan w:val="2"/>
            <w:shd w:val="clear" w:color="auto" w:fill="000000"/>
          </w:tcPr>
          <w:p>
            <w:pPr>
              <w:ind w:left="420"/>
              <w:spacing w:after="0"/>
              <w:rPr>
                <w:sz w:val="20"/>
                <w:szCs w:val="20"/>
                <w:color w:val="auto"/>
              </w:rPr>
            </w:pPr>
            <w:r>
              <w:rPr>
                <w:rFonts w:ascii="Arial" w:cs="Arial" w:eastAsia="Arial" w:hAnsi="Arial"/>
                <w:sz w:val="13"/>
                <w:szCs w:val="13"/>
                <w:b w:val="1"/>
                <w:bCs w:val="1"/>
                <w:color w:val="FFFFFF"/>
              </w:rPr>
              <w:t>Mr. Duffy</w:t>
            </w:r>
          </w:p>
        </w:tc>
      </w:tr>
      <w:tr>
        <w:trPr>
          <w:trHeight w:val="186"/>
        </w:trPr>
        <w:tc>
          <w:tcPr>
            <w:tcW w:w="4000" w:type="dxa"/>
            <w:vAlign w:val="bottom"/>
          </w:tcPr>
          <w:p>
            <w:pPr>
              <w:ind w:left="20"/>
              <w:spacing w:after="0"/>
              <w:rPr>
                <w:sz w:val="20"/>
                <w:szCs w:val="20"/>
                <w:color w:val="auto"/>
              </w:rPr>
            </w:pPr>
            <w:r>
              <w:rPr>
                <w:rFonts w:ascii="Arial" w:cs="Arial" w:eastAsia="Arial" w:hAnsi="Arial"/>
                <w:sz w:val="15"/>
                <w:szCs w:val="15"/>
                <w:color w:val="auto"/>
              </w:rPr>
              <w:t>Target Award (in Shares)</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32,763</w:t>
            </w:r>
          </w:p>
        </w:tc>
        <w:tc>
          <w:tcPr>
            <w:tcW w:w="160" w:type="dxa"/>
            <w:vAlign w:val="bottom"/>
            <w:shd w:val="clear" w:color="auto" w:fill="DBDBDB"/>
          </w:tcPr>
          <w:p>
            <w:pPr>
              <w:spacing w:after="0"/>
              <w:rPr>
                <w:sz w:val="16"/>
                <w:szCs w:val="16"/>
                <w:color w:val="auto"/>
              </w:rPr>
            </w:pPr>
          </w:p>
        </w:tc>
        <w:tc>
          <w:tcPr>
            <w:tcW w:w="1460" w:type="dxa"/>
            <w:vAlign w:val="bottom"/>
          </w:tcPr>
          <w:p>
            <w:pPr>
              <w:jc w:val="right"/>
              <w:ind w:right="129"/>
              <w:spacing w:after="0"/>
              <w:rPr>
                <w:sz w:val="20"/>
                <w:szCs w:val="20"/>
                <w:color w:val="auto"/>
              </w:rPr>
            </w:pPr>
            <w:r>
              <w:rPr>
                <w:rFonts w:ascii="Arial" w:cs="Arial" w:eastAsia="Arial" w:hAnsi="Arial"/>
                <w:sz w:val="15"/>
                <w:szCs w:val="15"/>
                <w:color w:val="auto"/>
              </w:rPr>
              <w:t>3,190</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6,340</w:t>
            </w:r>
          </w:p>
        </w:tc>
        <w:tc>
          <w:tcPr>
            <w:tcW w:w="140" w:type="dxa"/>
            <w:vAlign w:val="bottom"/>
            <w:shd w:val="clear" w:color="auto" w:fill="DBDBDB"/>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20"/>
                <w:szCs w:val="20"/>
                <w:color w:val="auto"/>
              </w:rPr>
            </w:pPr>
            <w:r>
              <w:rPr>
                <w:rFonts w:ascii="Arial" w:cs="Arial" w:eastAsia="Arial" w:hAnsi="Arial"/>
                <w:sz w:val="15"/>
                <w:szCs w:val="15"/>
                <w:color w:val="auto"/>
              </w:rPr>
              <w:t>—</w:t>
            </w:r>
          </w:p>
        </w:tc>
        <w:tc>
          <w:tcPr>
            <w:tcW w:w="1220" w:type="dxa"/>
            <w:vAlign w:val="bottom"/>
            <w:shd w:val="clear" w:color="auto" w:fill="DBDBDB"/>
          </w:tcPr>
          <w:p>
            <w:pPr>
              <w:ind w:left="104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6"/>
                <w:szCs w:val="16"/>
                <w:color w:val="auto"/>
              </w:rPr>
            </w:pPr>
          </w:p>
        </w:tc>
      </w:tr>
      <w:tr>
        <w:trPr>
          <w:trHeight w:val="204"/>
        </w:trPr>
        <w:tc>
          <w:tcPr>
            <w:tcW w:w="4000" w:type="dxa"/>
            <w:vAlign w:val="bottom"/>
          </w:tcPr>
          <w:p>
            <w:pPr>
              <w:ind w:left="20"/>
              <w:spacing w:after="0" w:line="204" w:lineRule="exact"/>
              <w:rPr>
                <w:sz w:val="20"/>
                <w:szCs w:val="20"/>
                <w:color w:val="auto"/>
              </w:rPr>
            </w:pPr>
            <w:r>
              <w:rPr>
                <w:rFonts w:ascii="Arial" w:cs="Arial" w:eastAsia="Arial" w:hAnsi="Arial"/>
                <w:sz w:val="15"/>
                <w:szCs w:val="15"/>
                <w:color w:val="auto"/>
              </w:rPr>
              <w:t>Weighted Financial Performance Percentage</w:t>
            </w:r>
            <w:r>
              <w:rPr>
                <w:rFonts w:ascii="Arial" w:cs="Arial" w:eastAsia="Arial" w:hAnsi="Arial"/>
                <w:sz w:val="18"/>
                <w:szCs w:val="18"/>
                <w:color w:val="auto"/>
                <w:vertAlign w:val="superscript"/>
              </w:rPr>
              <w:t>(2)</w:t>
            </w:r>
          </w:p>
        </w:tc>
        <w:tc>
          <w:tcPr>
            <w:tcW w:w="11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158</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highlight w:val="lightGray"/>
                <w:w w:val="89"/>
              </w:rPr>
              <w:t>%</w:t>
            </w:r>
          </w:p>
        </w:tc>
        <w:tc>
          <w:tcPr>
            <w:tcW w:w="1460" w:type="dxa"/>
            <w:vAlign w:val="bottom"/>
          </w:tcPr>
          <w:p>
            <w:pPr>
              <w:jc w:val="right"/>
              <w:spacing w:after="0"/>
              <w:rPr>
                <w:sz w:val="20"/>
                <w:szCs w:val="20"/>
                <w:color w:val="auto"/>
              </w:rPr>
            </w:pPr>
            <w:r>
              <w:rPr>
                <w:rFonts w:ascii="Arial" w:cs="Arial" w:eastAsia="Arial" w:hAnsi="Arial"/>
                <w:sz w:val="15"/>
                <w:szCs w:val="15"/>
                <w:color w:val="auto"/>
              </w:rPr>
              <w:t>158 %</w:t>
            </w:r>
          </w:p>
        </w:tc>
        <w:tc>
          <w:tcPr>
            <w:tcW w:w="122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DBDBDB"/>
          </w:tcPr>
          <w:p>
            <w:pPr>
              <w:jc w:val="right"/>
              <w:spacing w:after="0"/>
              <w:rPr>
                <w:sz w:val="20"/>
                <w:szCs w:val="20"/>
                <w:color w:val="auto"/>
              </w:rPr>
            </w:pPr>
            <w:r>
              <w:rPr>
                <w:rFonts w:ascii="Arial" w:cs="Arial" w:eastAsia="Arial" w:hAnsi="Arial"/>
                <w:sz w:val="15"/>
                <w:szCs w:val="15"/>
                <w:color w:val="auto"/>
                <w:highlight w:val="lightGray"/>
                <w:w w:val="89"/>
              </w:rPr>
              <w:t>%</w:t>
            </w:r>
          </w:p>
        </w:tc>
        <w:tc>
          <w:tcPr>
            <w:tcW w:w="1160" w:type="dxa"/>
            <w:vAlign w:val="bottom"/>
          </w:tcPr>
          <w:p>
            <w:pPr>
              <w:spacing w:after="0"/>
              <w:rPr>
                <w:sz w:val="17"/>
                <w:szCs w:val="17"/>
                <w:color w:val="auto"/>
              </w:rPr>
            </w:pPr>
          </w:p>
        </w:tc>
        <w:tc>
          <w:tcPr>
            <w:tcW w:w="340" w:type="dxa"/>
            <w:vAlign w:val="bottom"/>
          </w:tcPr>
          <w:p>
            <w:pPr>
              <w:spacing w:after="0"/>
              <w:rPr>
                <w:sz w:val="20"/>
                <w:szCs w:val="20"/>
                <w:color w:val="auto"/>
              </w:rPr>
            </w:pPr>
            <w:r>
              <w:rPr>
                <w:rFonts w:ascii="Arial" w:cs="Arial" w:eastAsia="Arial" w:hAnsi="Arial"/>
                <w:sz w:val="15"/>
                <w:szCs w:val="15"/>
                <w:color w:val="auto"/>
                <w:w w:val="98"/>
              </w:rPr>
              <w:t>— %</w:t>
            </w:r>
          </w:p>
        </w:tc>
        <w:tc>
          <w:tcPr>
            <w:tcW w:w="1220" w:type="dxa"/>
            <w:vAlign w:val="bottom"/>
            <w:shd w:val="clear" w:color="auto" w:fill="DBDBDB"/>
          </w:tcPr>
          <w:p>
            <w:pPr>
              <w:ind w:left="104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jc w:val="right"/>
              <w:spacing w:after="0"/>
              <w:rPr>
                <w:sz w:val="20"/>
                <w:szCs w:val="20"/>
                <w:color w:val="auto"/>
              </w:rPr>
            </w:pPr>
            <w:r>
              <w:rPr>
                <w:rFonts w:ascii="Arial" w:cs="Arial" w:eastAsia="Arial" w:hAnsi="Arial"/>
                <w:sz w:val="15"/>
                <w:szCs w:val="15"/>
                <w:color w:val="auto"/>
                <w:highlight w:val="lightGray"/>
                <w:w w:val="89"/>
              </w:rPr>
              <w:t>%</w:t>
            </w:r>
          </w:p>
        </w:tc>
      </w:tr>
      <w:tr>
        <w:trPr>
          <w:trHeight w:val="207"/>
        </w:trPr>
        <w:tc>
          <w:tcPr>
            <w:tcW w:w="4000" w:type="dxa"/>
            <w:vAlign w:val="bottom"/>
            <w:shd w:val="clear" w:color="auto" w:fill="000000"/>
          </w:tcPr>
          <w:p>
            <w:pPr>
              <w:ind w:left="20"/>
              <w:spacing w:after="0"/>
              <w:rPr>
                <w:sz w:val="20"/>
                <w:szCs w:val="20"/>
                <w:color w:val="auto"/>
              </w:rPr>
            </w:pPr>
            <w:r>
              <w:rPr>
                <w:rFonts w:ascii="Arial" w:cs="Arial" w:eastAsia="Arial" w:hAnsi="Arial"/>
                <w:sz w:val="15"/>
                <w:szCs w:val="15"/>
                <w:color w:val="FFFFFF"/>
              </w:rPr>
              <w:t>Total Earned Shares</w:t>
            </w:r>
          </w:p>
        </w:tc>
        <w:tc>
          <w:tcPr>
            <w:tcW w:w="1180" w:type="dxa"/>
            <w:vAlign w:val="bottom"/>
            <w:shd w:val="clear" w:color="auto" w:fill="000000"/>
          </w:tcPr>
          <w:p>
            <w:pPr>
              <w:jc w:val="right"/>
              <w:spacing w:after="0"/>
              <w:rPr>
                <w:sz w:val="20"/>
                <w:szCs w:val="20"/>
                <w:color w:val="auto"/>
              </w:rPr>
            </w:pPr>
            <w:r>
              <w:rPr>
                <w:rFonts w:ascii="Arial" w:cs="Arial" w:eastAsia="Arial" w:hAnsi="Arial"/>
                <w:sz w:val="15"/>
                <w:szCs w:val="15"/>
                <w:color w:val="FFFFFF"/>
              </w:rPr>
              <w:t>51,766</w:t>
            </w:r>
          </w:p>
        </w:tc>
        <w:tc>
          <w:tcPr>
            <w:tcW w:w="160" w:type="dxa"/>
            <w:vAlign w:val="bottom"/>
            <w:shd w:val="clear" w:color="auto" w:fill="000000"/>
          </w:tcPr>
          <w:p>
            <w:pPr>
              <w:spacing w:after="0"/>
              <w:rPr>
                <w:sz w:val="18"/>
                <w:szCs w:val="18"/>
                <w:color w:val="auto"/>
              </w:rPr>
            </w:pPr>
          </w:p>
        </w:tc>
        <w:tc>
          <w:tcPr>
            <w:tcW w:w="1460" w:type="dxa"/>
            <w:vAlign w:val="bottom"/>
            <w:shd w:val="clear" w:color="auto" w:fill="000000"/>
          </w:tcPr>
          <w:p>
            <w:pPr>
              <w:jc w:val="right"/>
              <w:ind w:right="129"/>
              <w:spacing w:after="0"/>
              <w:rPr>
                <w:sz w:val="20"/>
                <w:szCs w:val="20"/>
                <w:color w:val="auto"/>
              </w:rPr>
            </w:pPr>
            <w:r>
              <w:rPr>
                <w:rFonts w:ascii="Arial" w:cs="Arial" w:eastAsia="Arial" w:hAnsi="Arial"/>
                <w:sz w:val="15"/>
                <w:szCs w:val="15"/>
                <w:color w:val="FFFFFF"/>
              </w:rPr>
              <w:t>5,041</w:t>
            </w:r>
          </w:p>
        </w:tc>
        <w:tc>
          <w:tcPr>
            <w:tcW w:w="1220" w:type="dxa"/>
            <w:vAlign w:val="bottom"/>
            <w:shd w:val="clear" w:color="auto" w:fill="000000"/>
          </w:tcPr>
          <w:p>
            <w:pPr>
              <w:jc w:val="right"/>
              <w:spacing w:after="0"/>
              <w:rPr>
                <w:sz w:val="20"/>
                <w:szCs w:val="20"/>
                <w:color w:val="auto"/>
              </w:rPr>
            </w:pPr>
            <w:r>
              <w:rPr>
                <w:rFonts w:ascii="Arial" w:cs="Arial" w:eastAsia="Arial" w:hAnsi="Arial"/>
                <w:sz w:val="15"/>
                <w:szCs w:val="15"/>
                <w:color w:val="FFFFFF"/>
              </w:rPr>
              <w:t>—</w:t>
            </w:r>
          </w:p>
        </w:tc>
        <w:tc>
          <w:tcPr>
            <w:tcW w:w="140" w:type="dxa"/>
            <w:vAlign w:val="bottom"/>
            <w:shd w:val="clear" w:color="auto" w:fill="000000"/>
          </w:tcPr>
          <w:p>
            <w:pPr>
              <w:spacing w:after="0"/>
              <w:rPr>
                <w:sz w:val="18"/>
                <w:szCs w:val="18"/>
                <w:color w:val="auto"/>
              </w:rPr>
            </w:pPr>
          </w:p>
        </w:tc>
        <w:tc>
          <w:tcPr>
            <w:tcW w:w="1160" w:type="dxa"/>
            <w:vAlign w:val="bottom"/>
            <w:shd w:val="clear" w:color="auto" w:fill="000000"/>
          </w:tcPr>
          <w:p>
            <w:pPr>
              <w:spacing w:after="0"/>
              <w:rPr>
                <w:sz w:val="18"/>
                <w:szCs w:val="18"/>
                <w:color w:val="auto"/>
              </w:rPr>
            </w:pPr>
          </w:p>
        </w:tc>
        <w:tc>
          <w:tcPr>
            <w:tcW w:w="340" w:type="dxa"/>
            <w:vAlign w:val="bottom"/>
            <w:shd w:val="clear" w:color="auto" w:fill="000000"/>
          </w:tcPr>
          <w:p>
            <w:pPr>
              <w:spacing w:after="0"/>
              <w:rPr>
                <w:sz w:val="20"/>
                <w:szCs w:val="20"/>
                <w:color w:val="auto"/>
              </w:rPr>
            </w:pPr>
            <w:r>
              <w:rPr>
                <w:rFonts w:ascii="Arial" w:cs="Arial" w:eastAsia="Arial" w:hAnsi="Arial"/>
                <w:sz w:val="15"/>
                <w:szCs w:val="15"/>
                <w:color w:val="FFFFFF"/>
              </w:rPr>
              <w:t>—</w:t>
            </w:r>
          </w:p>
        </w:tc>
        <w:tc>
          <w:tcPr>
            <w:tcW w:w="1220" w:type="dxa"/>
            <w:vAlign w:val="bottom"/>
            <w:shd w:val="clear" w:color="auto" w:fill="000000"/>
          </w:tcPr>
          <w:p>
            <w:pPr>
              <w:ind w:left="1040"/>
              <w:spacing w:after="0"/>
              <w:rPr>
                <w:sz w:val="20"/>
                <w:szCs w:val="20"/>
                <w:color w:val="auto"/>
              </w:rPr>
            </w:pPr>
            <w:r>
              <w:rPr>
                <w:rFonts w:ascii="Arial" w:cs="Arial" w:eastAsia="Arial" w:hAnsi="Arial"/>
                <w:sz w:val="15"/>
                <w:szCs w:val="15"/>
                <w:color w:val="FFFFFF"/>
              </w:rPr>
              <w:t>—</w:t>
            </w:r>
          </w:p>
        </w:tc>
        <w:tc>
          <w:tcPr>
            <w:tcW w:w="160" w:type="dxa"/>
            <w:vAlign w:val="bottom"/>
            <w:shd w:val="clear" w:color="auto" w:fill="000000"/>
          </w:tcPr>
          <w:p>
            <w:pPr>
              <w:spacing w:after="0"/>
              <w:rPr>
                <w:sz w:val="18"/>
                <w:szCs w:val="18"/>
                <w:color w:val="auto"/>
              </w:rPr>
            </w:pPr>
          </w:p>
        </w:tc>
      </w:tr>
    </w:tbl>
    <w:p>
      <w:pPr>
        <w:spacing w:after="0" w:line="102" w:lineRule="exact"/>
        <w:rPr>
          <w:sz w:val="20"/>
          <w:szCs w:val="20"/>
          <w:color w:val="auto"/>
        </w:rPr>
      </w:pPr>
    </w:p>
    <w:p>
      <w:pPr>
        <w:ind w:left="340" w:right="660" w:hanging="326"/>
        <w:spacing w:after="0" w:line="245"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Mr. McCabe entered into a Transition Agreement that provided him a lump sum payment in lieu of certain annual and long-term incentive payouts, including the 2020 Performance Restricted Stock Units.</w:t>
      </w:r>
    </w:p>
    <w:p>
      <w:pPr>
        <w:ind w:left="340" w:right="420" w:hanging="326"/>
        <w:spacing w:after="0" w:line="248" w:lineRule="auto"/>
        <w:tabs>
          <w:tab w:leader="none" w:pos="340" w:val="left"/>
        </w:tabs>
        <w:numPr>
          <w:ilvl w:val="0"/>
          <w:numId w:val="73"/>
        </w:numPr>
        <w:rPr>
          <w:rFonts w:ascii="Arial" w:cs="Arial" w:eastAsia="Arial" w:hAnsi="Arial"/>
          <w:sz w:val="13"/>
          <w:szCs w:val="13"/>
          <w:color w:val="auto"/>
        </w:rPr>
      </w:pPr>
      <w:r>
        <w:rPr>
          <w:rFonts w:ascii="Arial" w:cs="Arial" w:eastAsia="Arial" w:hAnsi="Arial"/>
          <w:sz w:val="13"/>
          <w:szCs w:val="13"/>
          <w:color w:val="auto"/>
        </w:rPr>
        <w:t>The weighted financial performance is based on BWXT consolidated financial results 50% for three-year cumulative earnings per share and 50% for return on invested capital over the measurement period.</w:t>
      </w:r>
    </w:p>
    <w:p>
      <w:pPr>
        <w:spacing w:after="0" w:line="6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SECTION 4: OTHER BENEFITS AND PRACTICES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TRANSITION ARRANGEMENTS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Chief Administrative Officer Transition</w:t>
      </w:r>
    </w:p>
    <w:p>
      <w:pPr>
        <w:spacing w:after="0" w:line="108" w:lineRule="exact"/>
        <w:rPr>
          <w:sz w:val="20"/>
          <w:szCs w:val="20"/>
          <w:color w:val="auto"/>
        </w:rPr>
      </w:pPr>
    </w:p>
    <w:p>
      <w:pPr>
        <w:ind w:right="220"/>
        <w:spacing w:after="0" w:line="267" w:lineRule="auto"/>
        <w:rPr>
          <w:sz w:val="20"/>
          <w:szCs w:val="20"/>
          <w:color w:val="auto"/>
        </w:rPr>
      </w:pPr>
      <w:r>
        <w:rPr>
          <w:rFonts w:ascii="Arial" w:cs="Arial" w:eastAsia="Arial" w:hAnsi="Arial"/>
          <w:sz w:val="16"/>
          <w:szCs w:val="16"/>
          <w:color w:val="auto"/>
        </w:rPr>
        <w:t>On August 19, 2022, Richard W. Loving, who served as Senior Vice President and Chief Administrative Officer ("CAO") provided notice of his decision to retire from the Company and transitioned to Special Advisor to the CEO, effective August 29, 2022, to assist with the transition of the Chief Administrative Officer role until his retirement from the Company on March 31, 2023. The Company and Mr. Loving entered into a Transition Agreement on August 19, 2022, which provided that Mr. Loving will:</w:t>
      </w:r>
    </w:p>
    <w:p>
      <w:pPr>
        <w:spacing w:after="0" w:line="58" w:lineRule="exact"/>
        <w:rPr>
          <w:sz w:val="20"/>
          <w:szCs w:val="20"/>
          <w:color w:val="auto"/>
        </w:rPr>
      </w:pPr>
    </w:p>
    <w:p>
      <w:pPr>
        <w:ind w:left="580" w:hanging="290"/>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continue to receive his current salary in his role as Special Advisor to the CEO through his retirement date;</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participate in the Company’s annual incentive compensation plan through December 31, 2022;</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not participate in the 2023 annual or long-term incentive plans;</w:t>
      </w:r>
    </w:p>
    <w:p>
      <w:pPr>
        <w:spacing w:after="0" w:line="108" w:lineRule="exact"/>
        <w:rPr>
          <w:rFonts w:ascii="Arial" w:cs="Arial" w:eastAsia="Arial" w:hAnsi="Arial"/>
          <w:sz w:val="16"/>
          <w:szCs w:val="16"/>
          <w:color w:val="auto"/>
        </w:rPr>
      </w:pPr>
    </w:p>
    <w:p>
      <w:pPr>
        <w:ind w:left="580" w:right="180" w:hanging="290"/>
        <w:spacing w:after="0" w:line="294" w:lineRule="auto"/>
        <w:tabs>
          <w:tab w:leader="none" w:pos="576"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receive a cash payment of $485,000 on his retirement in exchange for his assistance with the CAO transition, provided that he executes and does not revoke a release of claims against the Company and that he remains employed with the Company; and</w:t>
      </w:r>
    </w:p>
    <w:p>
      <w:pPr>
        <w:spacing w:after="0" w:line="36" w:lineRule="exact"/>
        <w:rPr>
          <w:rFonts w:ascii="Arial" w:cs="Arial" w:eastAsia="Arial" w:hAnsi="Arial"/>
          <w:sz w:val="16"/>
          <w:szCs w:val="16"/>
          <w:color w:val="auto"/>
        </w:rPr>
      </w:pPr>
    </w:p>
    <w:p>
      <w:pPr>
        <w:ind w:left="580" w:hanging="290"/>
        <w:spacing w:after="0"/>
        <w:tabs>
          <w:tab w:leader="none" w:pos="580" w:val="left"/>
        </w:tabs>
        <w:numPr>
          <w:ilvl w:val="0"/>
          <w:numId w:val="74"/>
        </w:numPr>
        <w:rPr>
          <w:rFonts w:ascii="Arial" w:cs="Arial" w:eastAsia="Arial" w:hAnsi="Arial"/>
          <w:sz w:val="16"/>
          <w:szCs w:val="16"/>
          <w:color w:val="auto"/>
        </w:rPr>
      </w:pPr>
      <w:r>
        <w:rPr>
          <w:rFonts w:ascii="Arial" w:cs="Arial" w:eastAsia="Arial" w:hAnsi="Arial"/>
          <w:sz w:val="16"/>
          <w:szCs w:val="16"/>
          <w:color w:val="auto"/>
        </w:rPr>
        <w:t>continue participation in certain of our employee benefit plans (subject to the terms and conditions of such plans).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Unvested equity awards previously granted to Mr. Loving will continue to vest, subject to the terms set forth in the respective award agreements.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34 </w:t>
      </w:r>
      <w:r>
        <w:rPr>
          <w:sz w:val="1"/>
          <w:szCs w:val="1"/>
          <w:color w:val="auto"/>
        </w:rPr>
        <w:drawing>
          <wp:inline distT="0" distB="0" distL="0" distR="0">
            <wp:extent cx="401955" cy="16256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46" w:name="page47"/>
    <w:bookmarkEnd w:id="46"/>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 Counsel Transition</w:t>
      </w:r>
    </w:p>
    <w:p>
      <w:pPr>
        <w:spacing w:after="0" w:line="108"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On December 29, 2022, Thomas E. McCabe, who served as Senior Vice President, General Counsel, Chief Compliance Officer and Secretary, provided notice of his decision to retire from the Company. Mr. McCabe continued in his role through January 2, 2023, after which he has served as Special Advisor to the CEO to assist with the transition of the General Counsel role until his retirement from the Company on August 1, 2023. The Company and Mr. McCabe entered into a Transition Agreement on December 29, 2022, which provided that Mr. McCabe will:</w:t>
      </w:r>
    </w:p>
    <w:p>
      <w:pPr>
        <w:spacing w:after="0" w:line="58" w:lineRule="exact"/>
        <w:rPr>
          <w:sz w:val="20"/>
          <w:szCs w:val="20"/>
          <w:color w:val="auto"/>
        </w:rPr>
      </w:pPr>
    </w:p>
    <w:p>
      <w:pPr>
        <w:ind w:left="580" w:hanging="290"/>
        <w:spacing w:after="0"/>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receive a salary of $3,000 per month in his role as Special Advisor to the CEO from January 2, 2023 through his retirement date;</w:t>
      </w:r>
    </w:p>
    <w:p>
      <w:pPr>
        <w:spacing w:after="0" w:line="108" w:lineRule="exact"/>
        <w:rPr>
          <w:rFonts w:ascii="Arial" w:cs="Arial" w:eastAsia="Arial" w:hAnsi="Arial"/>
          <w:sz w:val="16"/>
          <w:szCs w:val="16"/>
          <w:color w:val="auto"/>
        </w:rPr>
      </w:pPr>
    </w:p>
    <w:p>
      <w:pPr>
        <w:ind w:left="580" w:right="80" w:hanging="290"/>
        <w:spacing w:after="0" w:line="274" w:lineRule="auto"/>
        <w:tabs>
          <w:tab w:leader="none" w:pos="576" w:val="left"/>
        </w:tabs>
        <w:numPr>
          <w:ilvl w:val="0"/>
          <w:numId w:val="75"/>
        </w:numPr>
        <w:rPr>
          <w:rFonts w:ascii="Arial" w:cs="Arial" w:eastAsia="Arial" w:hAnsi="Arial"/>
          <w:sz w:val="16"/>
          <w:szCs w:val="16"/>
          <w:color w:val="auto"/>
        </w:rPr>
      </w:pPr>
      <w:r>
        <w:rPr>
          <w:rFonts w:ascii="Arial" w:cs="Arial" w:eastAsia="Arial" w:hAnsi="Arial"/>
          <w:sz w:val="16"/>
          <w:szCs w:val="16"/>
          <w:color w:val="auto"/>
        </w:rPr>
        <w:t>receive cash payments of $2,479,000, in lieu of the 2022 annual incentive payout ($354,250), certain long-term equity incentive awards ($1,748,766 as of December 29, 2022) and other compensation to which he was otherwise entitled through his retirement date and all of which he agreed to forfeit in lieu of such payment, provided that he executes and does not revoke a release of claims against the Company;</w:t>
      </w:r>
    </w:p>
    <w:p>
      <w:pPr>
        <w:spacing w:after="0" w:line="51" w:lineRule="exact"/>
        <w:rPr>
          <w:rFonts w:ascii="Arial" w:cs="Arial" w:eastAsia="Arial" w:hAnsi="Arial"/>
          <w:sz w:val="16"/>
          <w:szCs w:val="16"/>
          <w:color w:val="auto"/>
        </w:rPr>
      </w:pPr>
    </w:p>
    <w:p>
      <w:pPr>
        <w:ind w:left="580" w:hanging="290"/>
        <w:spacing w:after="0"/>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 participate in the 2022 and 2023 annual incentive plans; and</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continue to participate in certain of our employee benefit plans, subject to the terms and conditions of such plans.</w:t>
      </w:r>
    </w:p>
    <w:p>
      <w:pPr>
        <w:spacing w:after="0" w:line="108"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Unvested equity awards previously granted to Mr. McCabe were terminated as of December 29, 2022, including the 2020 performance restricted stock unit award, and he will not participate in 2023 annual equity awards.</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BENEFITS AND PERQUISITES</w:t>
      </w:r>
    </w:p>
    <w:p>
      <w:pPr>
        <w:spacing w:after="0" w:line="96"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Subject to applicable eligibility rules, our Named Executives receive all of the benefits offered to other BWXT employees generally, including medical and other health and welfare benefits and participation in our qualified defined benefit plans. We offer these benefits to our Named Executives and other employees consistent with market practice. Our Named Executives receive additional limited perquisites, which we provide consistent with the types and amounts offered to other executives in the industry.</w:t>
      </w:r>
    </w:p>
    <w:p>
      <w:pPr>
        <w:spacing w:after="0" w:line="34"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color w:val="auto"/>
        </w:rPr>
        <w:t>We provide the following perquisites to our Named Executives: relocation and temporary housing assistance (as applicable and necessary for business purposes), annual physicals, tax and financial planning services, reimbursement of limited expenses in connection with a spouse accompanying them on business travel and other miscellaneous items. We believe the personal benefits offered to our Named Executives are reasonable and appropriate. We also provide our Named Executives with limited tax assistance with respect to relocation and the reimbursement of limited spousal expenses discussed above. For relocation, the Company provides tax assistance to Named Executives on the same basis provided to other employees receiving relocation assistance.</w:t>
      </w:r>
    </w:p>
    <w:p>
      <w:pPr>
        <w:spacing w:after="0" w:line="48" w:lineRule="exact"/>
        <w:rPr>
          <w:sz w:val="20"/>
          <w:szCs w:val="20"/>
          <w:color w:val="auto"/>
        </w:rPr>
      </w:pPr>
    </w:p>
    <w:p>
      <w:pPr>
        <w:ind w:right="540"/>
        <w:spacing w:after="0" w:line="294" w:lineRule="auto"/>
        <w:rPr>
          <w:sz w:val="20"/>
          <w:szCs w:val="20"/>
          <w:color w:val="auto"/>
        </w:rPr>
      </w:pPr>
      <w:r>
        <w:rPr>
          <w:rFonts w:ascii="Arial" w:cs="Arial" w:eastAsia="Arial" w:hAnsi="Arial"/>
          <w:sz w:val="16"/>
          <w:szCs w:val="16"/>
          <w:color w:val="auto"/>
        </w:rPr>
        <w:t>For a description of the values and valuation methodology associated with perquisites provided in 2022, see the notes and narratives to the Summary Compensation Table under “Compensation of Executive Officers” below.</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RETIREMENT BENEFITS</w:t>
      </w:r>
    </w:p>
    <w:p>
      <w:pPr>
        <w:spacing w:after="0" w:line="84"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We provide retirement benefits to our Named Executives through a combination of (1) qualified and non-qualified defined contribution retirement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plans (our “Thrift Plans”), and (2) a supplemental non-qualified defined contribution executive retirement plan.</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 xml:space="preserve">Thrift Plans. </w:t>
      </w:r>
      <w:r>
        <w:rPr>
          <w:rFonts w:ascii="Arial" w:cs="Arial" w:eastAsia="Arial" w:hAnsi="Arial"/>
          <w:sz w:val="16"/>
          <w:szCs w:val="16"/>
          <w:color w:val="auto"/>
        </w:rPr>
        <w:t>We maintain two primary defined contribution retirement plans: (1) a broad-based, qualified 401(k) plan (our “401(k) Plan”) and (2) a non-qualified restoration plan (our “Restoration Plan”). All of our Named Executives participated in the 401(k) Plan in 2022. Our Compensation Committee established the Restoration Plan to (1) more closely align our executive retirement plans with general and industrial market practices, (2) ensure the competitiveness of retirement benefits for our executives who are not eligible to participate in our Pension Plans, and (3) mirror the dual qualified and non-qualified plan design of our Pension Plans. Our Restoration Plan seeks to restore benefits provided by our 401(k) Plan that are precluded by IRC limits on eligible compensation and total contributions. The Restoration Plan contains the same principal components as our 401(k) Plan. All of our Named Executives except for Robert Duffy participated in our Restoration Plan in 2022. Our obligations under the Restoration Plan are unfunded and plan benefits are payable from the general assets of the Company.</w:t>
      </w:r>
    </w:p>
    <w:p>
      <w:pPr>
        <w:spacing w:after="0" w:line="56" w:lineRule="exact"/>
        <w:rPr>
          <w:sz w:val="20"/>
          <w:szCs w:val="20"/>
          <w:color w:val="auto"/>
        </w:rPr>
      </w:pPr>
    </w:p>
    <w:p>
      <w:pPr>
        <w:ind w:right="720"/>
        <w:spacing w:after="0" w:line="274" w:lineRule="auto"/>
        <w:rPr>
          <w:sz w:val="20"/>
          <w:szCs w:val="20"/>
          <w:color w:val="auto"/>
        </w:rPr>
      </w:pPr>
      <w:r>
        <w:rPr>
          <w:rFonts w:ascii="Arial" w:cs="Arial" w:eastAsia="Arial" w:hAnsi="Arial"/>
          <w:sz w:val="16"/>
          <w:szCs w:val="16"/>
          <w:b w:val="1"/>
          <w:bCs w:val="1"/>
          <w:i w:val="1"/>
          <w:iCs w:val="1"/>
          <w:color w:val="auto"/>
        </w:rPr>
        <w:t>Supplemental Plans</w:t>
      </w:r>
      <w:r>
        <w:rPr>
          <w:rFonts w:ascii="Arial" w:cs="Arial" w:eastAsia="Arial" w:hAnsi="Arial"/>
          <w:sz w:val="16"/>
          <w:szCs w:val="16"/>
          <w:color w:val="auto"/>
        </w:rPr>
        <w:t>. We also maintain a supplemental executive retirement plan (our “SERP”). The SERP provides participants with additional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opportunities to defer the payment of certain compensation earned from us. In 2016, we discontinued Company contributions to participants’ SERP accounts, but participants may still make individual contributions to their notional accounts.</w:t>
      </w:r>
    </w:p>
    <w:p>
      <w:pPr>
        <w:spacing w:after="0" w:line="276"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7" w:name="page48"/>
    <w:bookmarkEnd w:id="4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See the “Nonqualified Deferred Compensation” table and accompanying narrative under “Compensation of Executive Officers” below for more information about the Restoration Plan and SERP.</w:t>
      </w:r>
    </w:p>
    <w:p>
      <w:pPr>
        <w:spacing w:after="0" w:line="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SEVERANCE ARRANGEMENTS</w:t>
      </w:r>
    </w:p>
    <w:p>
      <w:pPr>
        <w:spacing w:after="0" w:line="84" w:lineRule="exact"/>
        <w:rPr>
          <w:sz w:val="20"/>
          <w:szCs w:val="20"/>
          <w:color w:val="auto"/>
        </w:rPr>
      </w:pPr>
    </w:p>
    <w:p>
      <w:pPr>
        <w:ind w:right="180"/>
        <w:spacing w:after="0" w:line="264" w:lineRule="auto"/>
        <w:rPr>
          <w:sz w:val="20"/>
          <w:szCs w:val="20"/>
          <w:color w:val="auto"/>
        </w:rPr>
      </w:pPr>
      <w:r>
        <w:rPr>
          <w:rFonts w:ascii="Arial" w:cs="Arial" w:eastAsia="Arial" w:hAnsi="Arial"/>
          <w:sz w:val="16"/>
          <w:szCs w:val="16"/>
          <w:b w:val="1"/>
          <w:bCs w:val="1"/>
          <w:i w:val="1"/>
          <w:iCs w:val="1"/>
          <w:color w:val="auto"/>
        </w:rPr>
        <w:t>BWXT Severance Plan</w:t>
      </w:r>
      <w:r>
        <w:rPr>
          <w:rFonts w:ascii="Arial" w:cs="Arial" w:eastAsia="Arial" w:hAnsi="Arial"/>
          <w:sz w:val="16"/>
          <w:szCs w:val="16"/>
          <w:color w:val="auto"/>
        </w:rPr>
        <w:t>. We maintain the BWX Technologies, Inc. Executive Severance Plan to provide a measure of financial assistance to eligible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executives, including the Named Executives, who are involuntarily terminated for reasons other than cause. The Executive Severance Plan provides for a lump sum payment of one year of base salary and the cost of nine months of continuation coverage for medical, dental and vision benefits under COBRA, and outplacement services for twelve months. Eligible executives must execute a general release, including non-compete, non-disclosure, non-disparagement and non-solicitation covenants, in order to receive such benefits.</w:t>
      </w:r>
    </w:p>
    <w:p>
      <w:pPr>
        <w:spacing w:after="0" w:line="48"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b w:val="1"/>
          <w:bCs w:val="1"/>
          <w:i w:val="1"/>
          <w:iCs w:val="1"/>
          <w:color w:val="auto"/>
        </w:rPr>
        <w:t xml:space="preserve">Change-in-Control Agreements. </w:t>
      </w:r>
      <w:r>
        <w:rPr>
          <w:rFonts w:ascii="Arial" w:cs="Arial" w:eastAsia="Arial" w:hAnsi="Arial"/>
          <w:sz w:val="16"/>
          <w:szCs w:val="16"/>
          <w:color w:val="auto"/>
        </w:rPr>
        <w:t>The Company provides change-in-control agreements to certain executives, including the Named Executives. We believe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change-in-control agreements protect stockholders’ interests by serving to:</w:t>
      </w:r>
    </w:p>
    <w:p>
      <w:pPr>
        <w:spacing w:after="0" w:line="36" w:lineRule="exact"/>
        <w:rPr>
          <w:sz w:val="20"/>
          <w:szCs w:val="20"/>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attract and retain top-quality executive management;</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assure both present and future continuity of executive management in the event of a threatened or actual change in control; and</w:t>
      </w:r>
    </w:p>
    <w:p>
      <w:pPr>
        <w:spacing w:after="0" w:line="108" w:lineRule="exact"/>
        <w:rPr>
          <w:rFonts w:ascii="Arial" w:cs="Arial" w:eastAsia="Arial" w:hAnsi="Arial"/>
          <w:sz w:val="16"/>
          <w:szCs w:val="16"/>
          <w:color w:val="auto"/>
        </w:rPr>
      </w:pPr>
    </w:p>
    <w:p>
      <w:pPr>
        <w:ind w:left="580" w:hanging="290"/>
        <w:spacing w:after="0"/>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ensure the objective focus of executive management in the evaluation of any change in control opportunities.</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Our change-in-control agreements contain what is commonly referred to as a “double trigger,” that is, they provide cash benefits only upon a qualified termination of the executive within 30 months following a change in control. Stock awards are subject to the terms of the award agreements and, for stock awards granted prior to 2021, vest outstanding stock immediately on the occurrence of a change in control, regardless of whether there is a subsequent termination of employment. Our 2020 Plan provides that vesting of stock awards in the event of a change in control will be subject to a double trigger which applies to equity awards granted in 2021 and after. Additionally, the change-in-control agreements do not provide any tax gross-up on the benefits following a qualified termination. Instead, the change-in-control agreements contain a “modified cutback” provision, which acts to reduce the benefits payable to an executive to the extent necessary so that no excise tax would be imposed on the benefits paid, but only if doing so would result in the executive retaining a larger after-tax amount. The provision was included with the intent of benefiting the Company by seeking to preserve the tax deductibility of the benefits paid under the agreement, without compromising the objectives for which the agreement was approved.</w:t>
      </w:r>
    </w:p>
    <w:p>
      <w:pPr>
        <w:spacing w:after="0" w:line="52" w:lineRule="exact"/>
        <w:rPr>
          <w:sz w:val="20"/>
          <w:szCs w:val="20"/>
          <w:color w:val="auto"/>
        </w:rPr>
      </w:pPr>
    </w:p>
    <w:p>
      <w:pPr>
        <w:ind w:right="80"/>
        <w:spacing w:after="0" w:line="274" w:lineRule="auto"/>
        <w:rPr>
          <w:sz w:val="20"/>
          <w:szCs w:val="20"/>
          <w:color w:val="auto"/>
        </w:rPr>
      </w:pPr>
      <w:r>
        <w:rPr>
          <w:rFonts w:ascii="Arial" w:cs="Arial" w:eastAsia="Arial" w:hAnsi="Arial"/>
          <w:sz w:val="16"/>
          <w:szCs w:val="16"/>
          <w:color w:val="auto"/>
        </w:rPr>
        <w:t>See the “Potential Payments Upon Termination or Change in Control” tables under “Compensation of Executive Officers” below and the accompanying disclosures for more information regarding the change in control agreements with our Named Executives, events considered to be change in control events and other plans and arrangements that have different trigger mechanisms relating to a change in control.</w:t>
      </w:r>
    </w:p>
    <w:p>
      <w:pPr>
        <w:spacing w:after="0" w:line="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OTHER COMPENSATION POLICIES AND PRACTICES</w:t>
      </w:r>
    </w:p>
    <w:p>
      <w:pPr>
        <w:spacing w:after="0" w:line="95" w:lineRule="exact"/>
        <w:rPr>
          <w:sz w:val="20"/>
          <w:szCs w:val="20"/>
          <w:color w:val="auto"/>
        </w:rPr>
      </w:pPr>
    </w:p>
    <w:p>
      <w:pPr>
        <w:ind w:right="400"/>
        <w:spacing w:after="0" w:line="274" w:lineRule="auto"/>
        <w:rPr>
          <w:sz w:val="20"/>
          <w:szCs w:val="20"/>
          <w:color w:val="auto"/>
        </w:rPr>
      </w:pPr>
      <w:r>
        <w:rPr>
          <w:rFonts w:ascii="Arial" w:cs="Arial" w:eastAsia="Arial" w:hAnsi="Arial"/>
          <w:sz w:val="16"/>
          <w:szCs w:val="16"/>
          <w:b w:val="1"/>
          <w:bCs w:val="1"/>
          <w:i w:val="1"/>
          <w:iCs w:val="1"/>
          <w:color w:val="auto"/>
        </w:rPr>
        <w:t>Stock Ownership Guidelines</w:t>
      </w:r>
      <w:r>
        <w:rPr>
          <w:rFonts w:ascii="Arial" w:cs="Arial" w:eastAsia="Arial" w:hAnsi="Arial"/>
          <w:sz w:val="16"/>
          <w:szCs w:val="16"/>
          <w:color w:val="auto"/>
        </w:rPr>
        <w:t>. We maintain stock ownership guidelines for our executives and non-management directors. These guidelines establish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minimum stock ownership levels of two to five times annual base salary for our executives, and five times annual base retainer for non-management directors. Below are the minimum ownership levels for our non-management directors and Named Executives:</w:t>
      </w:r>
    </w:p>
    <w:p>
      <w:pPr>
        <w:spacing w:after="0" w:line="3" w:lineRule="exact"/>
        <w:rPr>
          <w:sz w:val="20"/>
          <w:szCs w:val="20"/>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Non-management Directors – Five times (5x) annual base retainer</w:t>
      </w:r>
    </w:p>
    <w:p>
      <w:pPr>
        <w:spacing w:after="0" w:line="59"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Chief Executive Officer – Five times (5x) annual base salary</w:t>
      </w:r>
    </w:p>
    <w:p>
      <w:pPr>
        <w:spacing w:after="0" w:line="59" w:lineRule="exact"/>
        <w:rPr>
          <w:rFonts w:ascii="Arial" w:cs="Arial" w:eastAsia="Arial" w:hAnsi="Arial"/>
          <w:sz w:val="16"/>
          <w:szCs w:val="16"/>
          <w:color w:val="auto"/>
        </w:rPr>
      </w:pPr>
    </w:p>
    <w:p>
      <w:pPr>
        <w:ind w:left="580" w:hanging="290"/>
        <w:spacing w:after="0"/>
        <w:tabs>
          <w:tab w:leader="none" w:pos="5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Other Named Executives – Three times (3x) annual base salary</w:t>
      </w:r>
    </w:p>
    <w:p>
      <w:pPr>
        <w:spacing w:after="0" w:line="96"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Directors and executives have five years to achieve their respective minimum ownership levels. No executive or director is authorized to sell any shares of our common stock (other than to satisfy applicable withholding tax obligations resulting from a transaction involving such stock or to cover the exercise price of stock options) unless they have met their respective guideline. The Governance Committee annually reviews the compliance with these guidelines and has discretion to waive or modify the stock ownership guidelines for directors and executives. All of our directors and Named Executives have achieved, or are in the process of achieving, their minimum ownership levels in accordance with the stock ownership guidelines.</w:t>
      </w:r>
    </w:p>
    <w:p>
      <w:pPr>
        <w:spacing w:after="0" w:line="3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b w:val="1"/>
          <w:bCs w:val="1"/>
          <w:i w:val="1"/>
          <w:iCs w:val="1"/>
          <w:color w:val="auto"/>
        </w:rPr>
        <w:t>Timing of Stock Awards</w:t>
      </w:r>
      <w:r>
        <w:rPr>
          <w:rFonts w:ascii="Arial" w:cs="Arial" w:eastAsia="Arial" w:hAnsi="Arial"/>
          <w:sz w:val="16"/>
          <w:szCs w:val="16"/>
          <w:color w:val="auto"/>
        </w:rPr>
        <w:t>. The Compensation Committee generally approves our annual stock-based awards for grant effective as of the second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 following the filing of our annual report on Form 10-K or quarterly report on Form 10-Q with the SEC.</w:t>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36 </w:t>
      </w:r>
      <w:r>
        <w:rPr>
          <w:sz w:val="1"/>
          <w:szCs w:val="1"/>
          <w:color w:val="auto"/>
        </w:rPr>
        <w:drawing>
          <wp:inline distT="0" distB="0" distL="0" distR="0">
            <wp:extent cx="401955" cy="16256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48" w:name="page49"/>
    <w:bookmarkEnd w:id="48"/>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7380"/>
        <w:spacing w:after="0"/>
        <w:rPr>
          <w:sz w:val="20"/>
          <w:szCs w:val="20"/>
          <w:color w:val="auto"/>
        </w:rPr>
      </w:pPr>
      <w:r>
        <w:rPr>
          <w:rFonts w:ascii="Arial" w:cs="Arial" w:eastAsia="Arial" w:hAnsi="Arial"/>
          <w:sz w:val="13"/>
          <w:szCs w:val="13"/>
          <w:color w:val="auto"/>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b w:val="1"/>
          <w:bCs w:val="1"/>
          <w:i w:val="1"/>
          <w:iCs w:val="1"/>
          <w:color w:val="auto"/>
        </w:rPr>
        <w:t>Hedging, Pledging and Short Sale Policies</w:t>
      </w:r>
      <w:r>
        <w:rPr>
          <w:rFonts w:ascii="Arial" w:cs="Arial" w:eastAsia="Arial" w:hAnsi="Arial"/>
          <w:sz w:val="16"/>
          <w:szCs w:val="16"/>
          <w:color w:val="auto"/>
        </w:rPr>
        <w:t>. We maintain a policy that prohibits all directors, officers and employees from trading in puts, calls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options on Company securities and otherwise engaging in hedging or monetization transactions, such as zero-cost collars and forward-sale contracts, that are designed to hedge or offset any decrease in the market value of Company securities. Our policy also prohibits directors, officers and employees from holding Company securities in margin accounts, pledging Company securities and engaging in short sales of company securities. This policy applies to all Company securities, including common stock held by directors, officers and employees whether granted by the Company or held directly or indirectly by the individual.</w:t>
      </w:r>
    </w:p>
    <w:p>
      <w:pPr>
        <w:spacing w:after="0" w:line="37"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i w:val="1"/>
          <w:iCs w:val="1"/>
          <w:color w:val="auto"/>
        </w:rPr>
        <w:t>Clawbacks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compensation awards include provisions allowing us to recover excess amounts paid to individuals who knowingly engaged in a fraud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resulting in a restatement. The Compensation Committee may also terminate any outstanding stock award if the recipient (i) is convicted of a misdemeanor involving fraud, dishonesty or moral turpitude or a felony, or (ii) engages in conduct that adversely affects or may reasonably be expected to adversely affect the business reputation or economic interests of the Company. The Compensation Committee will evaluate changes to the clawback policy in light of new SEC rules and will make appropriate changes to comply with the final NYSE listing standards.</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Proxy Data Custom Peer Group for 2022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2022, the Compensation Committee evaluated the peer group and made certain changes.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Set forth below are the peer companies included in our 2022 compensation review.</w:t>
      </w:r>
    </w:p>
    <w:p>
      <w:pPr>
        <w:spacing w:after="0" w:line="48"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2760" w:type="dxa"/>
            <w:vAlign w:val="bottom"/>
          </w:tcPr>
          <w:p>
            <w:pPr>
              <w:ind w:left="40"/>
              <w:spacing w:after="0"/>
              <w:rPr>
                <w:sz w:val="20"/>
                <w:szCs w:val="20"/>
                <w:color w:val="auto"/>
              </w:rPr>
            </w:pPr>
            <w:r>
              <w:rPr>
                <w:rFonts w:ascii="Arial" w:cs="Arial" w:eastAsia="Arial" w:hAnsi="Arial"/>
                <w:sz w:val="15"/>
                <w:szCs w:val="15"/>
                <w:color w:val="auto"/>
              </w:rPr>
              <w:t>AAR Corp</w:t>
            </w:r>
          </w:p>
        </w:tc>
        <w:tc>
          <w:tcPr>
            <w:tcW w:w="580" w:type="dxa"/>
            <w:vAlign w:val="bottom"/>
          </w:tcPr>
          <w:p>
            <w:pPr>
              <w:ind w:left="500"/>
              <w:spacing w:after="0"/>
              <w:rPr>
                <w:sz w:val="20"/>
                <w:szCs w:val="20"/>
                <w:color w:val="auto"/>
              </w:rPr>
            </w:pPr>
            <w:r>
              <w:rPr>
                <w:rFonts w:ascii="Arial" w:cs="Arial" w:eastAsia="Arial" w:hAnsi="Arial"/>
                <w:sz w:val="15"/>
                <w:szCs w:val="15"/>
                <w:color w:val="auto"/>
              </w:rPr>
              <w:t>•</w:t>
            </w:r>
          </w:p>
        </w:tc>
        <w:tc>
          <w:tcPr>
            <w:tcW w:w="3000" w:type="dxa"/>
            <w:vAlign w:val="bottom"/>
          </w:tcPr>
          <w:p>
            <w:pPr>
              <w:ind w:left="40"/>
              <w:spacing w:after="0"/>
              <w:rPr>
                <w:sz w:val="20"/>
                <w:szCs w:val="20"/>
                <w:color w:val="auto"/>
              </w:rPr>
            </w:pPr>
            <w:r>
              <w:rPr>
                <w:rFonts w:ascii="Arial" w:cs="Arial" w:eastAsia="Arial" w:hAnsi="Arial"/>
                <w:sz w:val="15"/>
                <w:szCs w:val="15"/>
                <w:color w:val="auto"/>
              </w:rPr>
              <w:t>HEICO Corp.</w:t>
            </w:r>
          </w:p>
        </w:tc>
        <w:tc>
          <w:tcPr>
            <w:tcW w:w="880" w:type="dxa"/>
            <w:vAlign w:val="bottom"/>
          </w:tcPr>
          <w:p>
            <w:pPr>
              <w:ind w:left="780"/>
              <w:spacing w:after="0"/>
              <w:rPr>
                <w:sz w:val="20"/>
                <w:szCs w:val="20"/>
                <w:color w:val="auto"/>
              </w:rPr>
            </w:pPr>
            <w:r>
              <w:rPr>
                <w:rFonts w:ascii="Arial" w:cs="Arial" w:eastAsia="Arial" w:hAnsi="Arial"/>
                <w:sz w:val="15"/>
                <w:szCs w:val="15"/>
                <w:color w:val="auto"/>
              </w:rPr>
              <w:t>•</w:t>
            </w:r>
          </w:p>
        </w:tc>
        <w:tc>
          <w:tcPr>
            <w:tcW w:w="2380" w:type="dxa"/>
            <w:vAlign w:val="bottom"/>
          </w:tcPr>
          <w:p>
            <w:pPr>
              <w:ind w:left="40"/>
              <w:spacing w:after="0"/>
              <w:rPr>
                <w:sz w:val="20"/>
                <w:szCs w:val="20"/>
                <w:color w:val="auto"/>
              </w:rPr>
            </w:pPr>
            <w:r>
              <w:rPr>
                <w:rFonts w:ascii="Arial" w:cs="Arial" w:eastAsia="Arial" w:hAnsi="Arial"/>
                <w:sz w:val="15"/>
                <w:szCs w:val="15"/>
                <w:color w:val="auto"/>
              </w:rPr>
              <w:t>Spirit AeroSystems Holdings, Inc.</w:t>
            </w:r>
          </w:p>
        </w:tc>
      </w:tr>
      <w:tr>
        <w:trPr>
          <w:trHeight w:val="195"/>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2760" w:type="dxa"/>
            <w:vAlign w:val="bottom"/>
          </w:tcPr>
          <w:p>
            <w:pPr>
              <w:ind w:left="40"/>
              <w:spacing w:after="0"/>
              <w:rPr>
                <w:sz w:val="20"/>
                <w:szCs w:val="20"/>
                <w:color w:val="auto"/>
              </w:rPr>
            </w:pPr>
            <w:r>
              <w:rPr>
                <w:rFonts w:ascii="Arial" w:cs="Arial" w:eastAsia="Arial" w:hAnsi="Arial"/>
                <w:sz w:val="15"/>
                <w:szCs w:val="15"/>
                <w:color w:val="auto"/>
              </w:rPr>
              <w:t>Aerojet Rocketdyne Holdings, Inc.</w:t>
            </w:r>
          </w:p>
        </w:tc>
        <w:tc>
          <w:tcPr>
            <w:tcW w:w="580" w:type="dxa"/>
            <w:vAlign w:val="bottom"/>
          </w:tcPr>
          <w:p>
            <w:pPr>
              <w:ind w:left="500"/>
              <w:spacing w:after="0"/>
              <w:rPr>
                <w:sz w:val="20"/>
                <w:szCs w:val="20"/>
                <w:color w:val="auto"/>
              </w:rPr>
            </w:pPr>
            <w:r>
              <w:rPr>
                <w:rFonts w:ascii="Arial" w:cs="Arial" w:eastAsia="Arial" w:hAnsi="Arial"/>
                <w:sz w:val="15"/>
                <w:szCs w:val="15"/>
                <w:color w:val="auto"/>
              </w:rPr>
              <w:t>•</w:t>
            </w:r>
          </w:p>
        </w:tc>
        <w:tc>
          <w:tcPr>
            <w:tcW w:w="3000" w:type="dxa"/>
            <w:vAlign w:val="bottom"/>
          </w:tcPr>
          <w:p>
            <w:pPr>
              <w:ind w:left="40"/>
              <w:spacing w:after="0"/>
              <w:rPr>
                <w:sz w:val="20"/>
                <w:szCs w:val="20"/>
                <w:color w:val="auto"/>
              </w:rPr>
            </w:pPr>
            <w:r>
              <w:rPr>
                <w:rFonts w:ascii="Arial" w:cs="Arial" w:eastAsia="Arial" w:hAnsi="Arial"/>
                <w:sz w:val="15"/>
                <w:szCs w:val="15"/>
                <w:color w:val="auto"/>
              </w:rPr>
              <w:t>Hexcel Corporation</w:t>
            </w:r>
          </w:p>
        </w:tc>
        <w:tc>
          <w:tcPr>
            <w:tcW w:w="880" w:type="dxa"/>
            <w:vAlign w:val="bottom"/>
          </w:tcPr>
          <w:p>
            <w:pPr>
              <w:ind w:left="780"/>
              <w:spacing w:after="0"/>
              <w:rPr>
                <w:sz w:val="20"/>
                <w:szCs w:val="20"/>
                <w:color w:val="auto"/>
              </w:rPr>
            </w:pPr>
            <w:r>
              <w:rPr>
                <w:rFonts w:ascii="Arial" w:cs="Arial" w:eastAsia="Arial" w:hAnsi="Arial"/>
                <w:sz w:val="15"/>
                <w:szCs w:val="15"/>
                <w:color w:val="auto"/>
              </w:rPr>
              <w:t>•</w:t>
            </w:r>
          </w:p>
        </w:tc>
        <w:tc>
          <w:tcPr>
            <w:tcW w:w="2380" w:type="dxa"/>
            <w:vAlign w:val="bottom"/>
          </w:tcPr>
          <w:p>
            <w:pPr>
              <w:ind w:left="40"/>
              <w:spacing w:after="0"/>
              <w:rPr>
                <w:sz w:val="20"/>
                <w:szCs w:val="20"/>
                <w:color w:val="auto"/>
              </w:rPr>
            </w:pPr>
            <w:r>
              <w:rPr>
                <w:rFonts w:ascii="Arial" w:cs="Arial" w:eastAsia="Arial" w:hAnsi="Arial"/>
                <w:sz w:val="15"/>
                <w:szCs w:val="15"/>
                <w:color w:val="auto"/>
                <w:w w:val="95"/>
              </w:rPr>
              <w:t>Teledyne Technologies Incorporated</w:t>
            </w:r>
          </w:p>
        </w:tc>
      </w:tr>
      <w:tr>
        <w:trPr>
          <w:trHeight w:val="195"/>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2760" w:type="dxa"/>
            <w:vAlign w:val="bottom"/>
          </w:tcPr>
          <w:p>
            <w:pPr>
              <w:ind w:left="40"/>
              <w:spacing w:after="0"/>
              <w:rPr>
                <w:sz w:val="20"/>
                <w:szCs w:val="20"/>
                <w:color w:val="auto"/>
              </w:rPr>
            </w:pPr>
            <w:r>
              <w:rPr>
                <w:rFonts w:ascii="Arial" w:cs="Arial" w:eastAsia="Arial" w:hAnsi="Arial"/>
                <w:sz w:val="15"/>
                <w:szCs w:val="15"/>
                <w:color w:val="auto"/>
              </w:rPr>
              <w:t>Astronics Corporation</w:t>
            </w:r>
          </w:p>
        </w:tc>
        <w:tc>
          <w:tcPr>
            <w:tcW w:w="580" w:type="dxa"/>
            <w:vAlign w:val="bottom"/>
          </w:tcPr>
          <w:p>
            <w:pPr>
              <w:ind w:left="500"/>
              <w:spacing w:after="0"/>
              <w:rPr>
                <w:sz w:val="20"/>
                <w:szCs w:val="20"/>
                <w:color w:val="auto"/>
              </w:rPr>
            </w:pPr>
            <w:r>
              <w:rPr>
                <w:rFonts w:ascii="Arial" w:cs="Arial" w:eastAsia="Arial" w:hAnsi="Arial"/>
                <w:sz w:val="15"/>
                <w:szCs w:val="15"/>
                <w:color w:val="auto"/>
              </w:rPr>
              <w:t>•</w:t>
            </w:r>
          </w:p>
        </w:tc>
        <w:tc>
          <w:tcPr>
            <w:tcW w:w="3000" w:type="dxa"/>
            <w:vAlign w:val="bottom"/>
          </w:tcPr>
          <w:p>
            <w:pPr>
              <w:ind w:left="40"/>
              <w:spacing w:after="0"/>
              <w:rPr>
                <w:sz w:val="20"/>
                <w:szCs w:val="20"/>
                <w:color w:val="auto"/>
              </w:rPr>
            </w:pPr>
            <w:r>
              <w:rPr>
                <w:rFonts w:ascii="Arial" w:cs="Arial" w:eastAsia="Arial" w:hAnsi="Arial"/>
                <w:sz w:val="15"/>
                <w:szCs w:val="15"/>
                <w:color w:val="auto"/>
              </w:rPr>
              <w:t>Huntington Ingalls Industries, Inc.</w:t>
            </w:r>
          </w:p>
        </w:tc>
        <w:tc>
          <w:tcPr>
            <w:tcW w:w="880" w:type="dxa"/>
            <w:vAlign w:val="bottom"/>
          </w:tcPr>
          <w:p>
            <w:pPr>
              <w:ind w:left="780"/>
              <w:spacing w:after="0"/>
              <w:rPr>
                <w:sz w:val="20"/>
                <w:szCs w:val="20"/>
                <w:color w:val="auto"/>
              </w:rPr>
            </w:pPr>
            <w:r>
              <w:rPr>
                <w:rFonts w:ascii="Arial" w:cs="Arial" w:eastAsia="Arial" w:hAnsi="Arial"/>
                <w:sz w:val="15"/>
                <w:szCs w:val="15"/>
                <w:color w:val="auto"/>
              </w:rPr>
              <w:t>•</w:t>
            </w:r>
          </w:p>
        </w:tc>
        <w:tc>
          <w:tcPr>
            <w:tcW w:w="2380" w:type="dxa"/>
            <w:vAlign w:val="bottom"/>
          </w:tcPr>
          <w:p>
            <w:pPr>
              <w:ind w:left="40"/>
              <w:spacing w:after="0"/>
              <w:rPr>
                <w:sz w:val="20"/>
                <w:szCs w:val="20"/>
                <w:color w:val="auto"/>
              </w:rPr>
            </w:pPr>
            <w:r>
              <w:rPr>
                <w:rFonts w:ascii="Arial" w:cs="Arial" w:eastAsia="Arial" w:hAnsi="Arial"/>
                <w:sz w:val="15"/>
                <w:szCs w:val="15"/>
                <w:color w:val="auto"/>
              </w:rPr>
              <w:t>TransDigm Group Incorporated</w:t>
            </w:r>
          </w:p>
        </w:tc>
      </w:tr>
      <w:tr>
        <w:trPr>
          <w:trHeight w:val="195"/>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2760" w:type="dxa"/>
            <w:vAlign w:val="bottom"/>
          </w:tcPr>
          <w:p>
            <w:pPr>
              <w:ind w:left="40"/>
              <w:spacing w:after="0"/>
              <w:rPr>
                <w:sz w:val="20"/>
                <w:szCs w:val="20"/>
                <w:color w:val="auto"/>
              </w:rPr>
            </w:pPr>
            <w:r>
              <w:rPr>
                <w:rFonts w:ascii="Arial" w:cs="Arial" w:eastAsia="Arial" w:hAnsi="Arial"/>
                <w:sz w:val="15"/>
                <w:szCs w:val="15"/>
                <w:color w:val="auto"/>
              </w:rPr>
              <w:t>Barnes Group Inc.</w:t>
            </w:r>
          </w:p>
        </w:tc>
        <w:tc>
          <w:tcPr>
            <w:tcW w:w="580" w:type="dxa"/>
            <w:vAlign w:val="bottom"/>
          </w:tcPr>
          <w:p>
            <w:pPr>
              <w:ind w:left="500"/>
              <w:spacing w:after="0"/>
              <w:rPr>
                <w:sz w:val="20"/>
                <w:szCs w:val="20"/>
                <w:color w:val="auto"/>
              </w:rPr>
            </w:pPr>
            <w:r>
              <w:rPr>
                <w:rFonts w:ascii="Arial" w:cs="Arial" w:eastAsia="Arial" w:hAnsi="Arial"/>
                <w:sz w:val="15"/>
                <w:szCs w:val="15"/>
                <w:color w:val="auto"/>
              </w:rPr>
              <w:t>•</w:t>
            </w:r>
          </w:p>
        </w:tc>
        <w:tc>
          <w:tcPr>
            <w:tcW w:w="3000" w:type="dxa"/>
            <w:vAlign w:val="bottom"/>
          </w:tcPr>
          <w:p>
            <w:pPr>
              <w:ind w:left="40"/>
              <w:spacing w:after="0"/>
              <w:rPr>
                <w:sz w:val="20"/>
                <w:szCs w:val="20"/>
                <w:color w:val="auto"/>
              </w:rPr>
            </w:pPr>
            <w:r>
              <w:rPr>
                <w:rFonts w:ascii="Arial" w:cs="Arial" w:eastAsia="Arial" w:hAnsi="Arial"/>
                <w:sz w:val="15"/>
                <w:szCs w:val="15"/>
                <w:color w:val="auto"/>
              </w:rPr>
              <w:t>Kaman Corporation</w:t>
            </w:r>
          </w:p>
        </w:tc>
        <w:tc>
          <w:tcPr>
            <w:tcW w:w="880" w:type="dxa"/>
            <w:vAlign w:val="bottom"/>
          </w:tcPr>
          <w:p>
            <w:pPr>
              <w:ind w:left="780"/>
              <w:spacing w:after="0"/>
              <w:rPr>
                <w:sz w:val="20"/>
                <w:szCs w:val="20"/>
                <w:color w:val="auto"/>
              </w:rPr>
            </w:pPr>
            <w:r>
              <w:rPr>
                <w:rFonts w:ascii="Arial" w:cs="Arial" w:eastAsia="Arial" w:hAnsi="Arial"/>
                <w:sz w:val="15"/>
                <w:szCs w:val="15"/>
                <w:color w:val="auto"/>
              </w:rPr>
              <w:t>•</w:t>
            </w:r>
          </w:p>
        </w:tc>
        <w:tc>
          <w:tcPr>
            <w:tcW w:w="2380" w:type="dxa"/>
            <w:vAlign w:val="bottom"/>
          </w:tcPr>
          <w:p>
            <w:pPr>
              <w:ind w:left="40"/>
              <w:spacing w:after="0"/>
              <w:rPr>
                <w:sz w:val="20"/>
                <w:szCs w:val="20"/>
                <w:color w:val="auto"/>
              </w:rPr>
            </w:pPr>
            <w:r>
              <w:rPr>
                <w:rFonts w:ascii="Arial" w:cs="Arial" w:eastAsia="Arial" w:hAnsi="Arial"/>
                <w:sz w:val="15"/>
                <w:szCs w:val="15"/>
                <w:color w:val="auto"/>
              </w:rPr>
              <w:t>Triumph Group, Inc.</w:t>
            </w:r>
          </w:p>
        </w:tc>
      </w:tr>
      <w:tr>
        <w:trPr>
          <w:trHeight w:val="195"/>
        </w:trPr>
        <w:tc>
          <w:tcPr>
            <w:tcW w:w="80" w:type="dxa"/>
            <w:vAlign w:val="bottom"/>
          </w:tcPr>
          <w:p>
            <w:pPr>
              <w:spacing w:after="0"/>
              <w:rPr>
                <w:sz w:val="20"/>
                <w:szCs w:val="20"/>
                <w:color w:val="auto"/>
              </w:rPr>
            </w:pPr>
            <w:r>
              <w:rPr>
                <w:rFonts w:ascii="Arial" w:cs="Arial" w:eastAsia="Arial" w:hAnsi="Arial"/>
                <w:sz w:val="15"/>
                <w:szCs w:val="15"/>
                <w:color w:val="auto"/>
              </w:rPr>
              <w:t>•</w:t>
            </w:r>
          </w:p>
        </w:tc>
        <w:tc>
          <w:tcPr>
            <w:tcW w:w="2760" w:type="dxa"/>
            <w:vAlign w:val="bottom"/>
          </w:tcPr>
          <w:p>
            <w:pPr>
              <w:ind w:left="40"/>
              <w:spacing w:after="0"/>
              <w:rPr>
                <w:sz w:val="20"/>
                <w:szCs w:val="20"/>
                <w:color w:val="auto"/>
              </w:rPr>
            </w:pPr>
            <w:r>
              <w:rPr>
                <w:rFonts w:ascii="Arial" w:cs="Arial" w:eastAsia="Arial" w:hAnsi="Arial"/>
                <w:sz w:val="15"/>
                <w:szCs w:val="15"/>
                <w:color w:val="auto"/>
              </w:rPr>
              <w:t>Curtiss-Wright Corporation</w:t>
            </w:r>
          </w:p>
        </w:tc>
        <w:tc>
          <w:tcPr>
            <w:tcW w:w="580" w:type="dxa"/>
            <w:vAlign w:val="bottom"/>
          </w:tcPr>
          <w:p>
            <w:pPr>
              <w:ind w:left="500"/>
              <w:spacing w:after="0"/>
              <w:rPr>
                <w:sz w:val="20"/>
                <w:szCs w:val="20"/>
                <w:color w:val="auto"/>
              </w:rPr>
            </w:pPr>
            <w:r>
              <w:rPr>
                <w:rFonts w:ascii="Arial" w:cs="Arial" w:eastAsia="Arial" w:hAnsi="Arial"/>
                <w:sz w:val="15"/>
                <w:szCs w:val="15"/>
                <w:color w:val="auto"/>
              </w:rPr>
              <w:t>•</w:t>
            </w:r>
          </w:p>
        </w:tc>
        <w:tc>
          <w:tcPr>
            <w:tcW w:w="3000" w:type="dxa"/>
            <w:vAlign w:val="bottom"/>
          </w:tcPr>
          <w:p>
            <w:pPr>
              <w:ind w:left="40"/>
              <w:spacing w:after="0"/>
              <w:rPr>
                <w:sz w:val="20"/>
                <w:szCs w:val="20"/>
                <w:color w:val="auto"/>
              </w:rPr>
            </w:pPr>
            <w:r>
              <w:rPr>
                <w:rFonts w:ascii="Arial" w:cs="Arial" w:eastAsia="Arial" w:hAnsi="Arial"/>
                <w:sz w:val="15"/>
                <w:szCs w:val="15"/>
                <w:color w:val="auto"/>
              </w:rPr>
              <w:t>Moog Inc.</w:t>
            </w:r>
          </w:p>
        </w:tc>
        <w:tc>
          <w:tcPr>
            <w:tcW w:w="880" w:type="dxa"/>
            <w:vAlign w:val="bottom"/>
          </w:tcPr>
          <w:p>
            <w:pPr>
              <w:ind w:left="780"/>
              <w:spacing w:after="0"/>
              <w:rPr>
                <w:sz w:val="20"/>
                <w:szCs w:val="20"/>
                <w:color w:val="auto"/>
              </w:rPr>
            </w:pPr>
            <w:r>
              <w:rPr>
                <w:rFonts w:ascii="Arial" w:cs="Arial" w:eastAsia="Arial" w:hAnsi="Arial"/>
                <w:sz w:val="15"/>
                <w:szCs w:val="15"/>
                <w:color w:val="auto"/>
              </w:rPr>
              <w:t>•</w:t>
            </w:r>
          </w:p>
        </w:tc>
        <w:tc>
          <w:tcPr>
            <w:tcW w:w="2380" w:type="dxa"/>
            <w:vAlign w:val="bottom"/>
          </w:tcPr>
          <w:p>
            <w:pPr>
              <w:ind w:left="40"/>
              <w:spacing w:after="0"/>
              <w:rPr>
                <w:sz w:val="20"/>
                <w:szCs w:val="20"/>
                <w:color w:val="auto"/>
              </w:rPr>
            </w:pPr>
            <w:r>
              <w:rPr>
                <w:rFonts w:ascii="Arial" w:cs="Arial" w:eastAsia="Arial" w:hAnsi="Arial"/>
                <w:sz w:val="15"/>
                <w:szCs w:val="15"/>
                <w:color w:val="auto"/>
              </w:rPr>
              <w:t>Woodward, Inc.</w:t>
            </w:r>
          </w:p>
        </w:tc>
      </w:tr>
    </w:tbl>
    <w:p>
      <w:pPr>
        <w:spacing w:after="0" w:line="71"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i w:val="1"/>
          <w:iCs w:val="1"/>
          <w:color w:val="auto"/>
        </w:rPr>
        <w:t>Deductibility of Executive Compensation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Section 162(m) of the Internal Revenue Code generally places a $1 million limit on the amount of compensation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publicly held company can deduct in any tax year on compensation paid to certain executive officers. Although the Compensation Committee considers and evaluates the impact of Section 162(m), it believes that the tax deduction is only one of several relevant considerations in setting compensation. Accordingly, where it is deemed necessary and in the best interests of the Company to attract and retain the best possible executive talent to compete successfully and to motivate such executives to achieve the goals inherent in our business strategy, the Compensation Committee has in the past approved and in the future may approve compensation to executive officers which exceeds the deductibility limits or otherwise may not qualify for deductibility.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111760</wp:posOffset>
            </wp:positionV>
            <wp:extent cx="7145655" cy="152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23"/>
          <w:szCs w:val="23"/>
          <w:b w:val="1"/>
          <w:bCs w:val="1"/>
          <w:color w:val="BF2115"/>
        </w:rPr>
        <w:t>COMPENSATION COMMITTEE REPORT</w:t>
      </w:r>
    </w:p>
    <w:p>
      <w:pPr>
        <w:spacing w:after="0" w:line="155" w:lineRule="exact"/>
        <w:rPr>
          <w:sz w:val="20"/>
          <w:szCs w:val="20"/>
          <w:color w:val="auto"/>
        </w:rPr>
      </w:pPr>
    </w:p>
    <w:p>
      <w:pPr>
        <w:ind w:right="120"/>
        <w:spacing w:after="0" w:line="266" w:lineRule="auto"/>
        <w:rPr>
          <w:sz w:val="20"/>
          <w:szCs w:val="20"/>
          <w:color w:val="auto"/>
        </w:rPr>
      </w:pPr>
      <w:r>
        <w:rPr>
          <w:rFonts w:ascii="Arial" w:cs="Arial" w:eastAsia="Arial" w:hAnsi="Arial"/>
          <w:sz w:val="16"/>
          <w:szCs w:val="16"/>
          <w:i w:val="1"/>
          <w:iCs w:val="1"/>
          <w:color w:val="auto"/>
        </w:rPr>
        <w:t>The following report of the Compensation Committee shall not be deemed to be “soliciting material” or to otherwise be considered “filed” with the SEC or be subject to Regulation 14A or 14C (other than as provided in Item 407 of Regulation S-K) or to the liabilities of Section 18 of the Securities Exchange Act of 1934, as amended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47" w:lineRule="exact"/>
        <w:rPr>
          <w:sz w:val="20"/>
          <w:szCs w:val="20"/>
          <w:color w:val="auto"/>
        </w:rPr>
      </w:pPr>
    </w:p>
    <w:p>
      <w:pPr>
        <w:ind w:right="360"/>
        <w:spacing w:after="0" w:line="294" w:lineRule="auto"/>
        <w:rPr>
          <w:sz w:val="20"/>
          <w:szCs w:val="20"/>
          <w:color w:val="auto"/>
        </w:rPr>
      </w:pPr>
      <w:r>
        <w:rPr>
          <w:rFonts w:ascii="Arial" w:cs="Arial" w:eastAsia="Arial" w:hAnsi="Arial"/>
          <w:sz w:val="16"/>
          <w:szCs w:val="16"/>
          <w:color w:val="auto"/>
        </w:rPr>
        <w:t>We have reviewed and discussed the Compensation Discussion and Analysis with BWXT’s management and, based on our review and discussions, we recommended to the Board that the Compensation Discussion and Analysis be included in this proxy statement.</w:t>
      </w:r>
    </w:p>
    <w:p>
      <w:pPr>
        <w:spacing w:after="0" w:line="134" w:lineRule="exact"/>
        <w:rPr>
          <w:sz w:val="20"/>
          <w:szCs w:val="20"/>
          <w:color w:val="auto"/>
        </w:rPr>
      </w:pPr>
    </w:p>
    <w:p>
      <w:pPr>
        <w:ind w:left="7200"/>
        <w:spacing w:after="0"/>
        <w:rPr>
          <w:sz w:val="20"/>
          <w:szCs w:val="20"/>
          <w:color w:val="auto"/>
        </w:rPr>
      </w:pPr>
      <w:r>
        <w:rPr>
          <w:rFonts w:ascii="Arial" w:cs="Arial" w:eastAsia="Arial" w:hAnsi="Arial"/>
          <w:sz w:val="16"/>
          <w:szCs w:val="16"/>
          <w:b w:val="1"/>
          <w:bCs w:val="1"/>
          <w:color w:val="auto"/>
        </w:rPr>
        <w:t>THE COMPENSATION COMMITTEE</w:t>
      </w:r>
    </w:p>
    <w:p>
      <w:pPr>
        <w:spacing w:after="0" w:line="39"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Gerhard F. Burbach, Chair</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Kenneth J. Krieg</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Leland D. Melvin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John M. Richardson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175260</wp:posOffset>
            </wp:positionV>
            <wp:extent cx="7145655" cy="152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49" w:name="page50"/>
    <w:bookmarkEnd w:id="49"/>
    <w:p>
      <w:pPr>
        <w:ind w:left="80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3"/>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655" cy="152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1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BF2115"/>
        </w:rPr>
        <w:t>COMPENSATION OF EXECUTIVE OFFICERS</w:t>
      </w:r>
    </w:p>
    <w:p>
      <w:pPr>
        <w:spacing w:after="0" w:line="153" w:lineRule="exact"/>
        <w:rPr>
          <w:sz w:val="20"/>
          <w:szCs w:val="20"/>
          <w:color w:val="auto"/>
        </w:rPr>
      </w:pPr>
    </w:p>
    <w:p>
      <w:pPr>
        <w:ind w:left="3"/>
        <w:spacing w:after="0"/>
        <w:rPr>
          <w:sz w:val="20"/>
          <w:szCs w:val="20"/>
          <w:color w:val="auto"/>
        </w:rPr>
      </w:pPr>
      <w:r>
        <w:rPr>
          <w:rFonts w:ascii="Arial" w:cs="Arial" w:eastAsia="Arial" w:hAnsi="Arial"/>
          <w:sz w:val="16"/>
          <w:szCs w:val="16"/>
          <w:color w:val="auto"/>
        </w:rPr>
        <w:t>The following table summarizes prior compensation of our Named Executives for the time periods in which each was a Named Executive.</w:t>
      </w:r>
    </w:p>
    <w:p>
      <w:pPr>
        <w:spacing w:after="0" w:line="63" w:lineRule="exact"/>
        <w:rPr>
          <w:sz w:val="20"/>
          <w:szCs w:val="20"/>
          <w:color w:val="auto"/>
        </w:rPr>
      </w:pPr>
    </w:p>
    <w:p>
      <w:pPr>
        <w:ind w:left="3"/>
        <w:spacing w:after="0"/>
        <w:rPr>
          <w:sz w:val="20"/>
          <w:szCs w:val="20"/>
          <w:color w:val="auto"/>
        </w:rPr>
      </w:pPr>
      <w:r>
        <w:rPr>
          <w:rFonts w:ascii="Arial" w:cs="Arial" w:eastAsia="Arial" w:hAnsi="Arial"/>
          <w:sz w:val="19"/>
          <w:szCs w:val="19"/>
          <w:b w:val="1"/>
          <w:bCs w:val="1"/>
          <w:color w:val="auto"/>
        </w:rPr>
        <w:t>SUMMARY COMPENSATION TABLE</w:t>
      </w:r>
    </w:p>
    <w:p>
      <w:pPr>
        <w:spacing w:after="0" w:line="123" w:lineRule="exact"/>
        <w:rPr>
          <w:sz w:val="20"/>
          <w:szCs w:val="20"/>
          <w:color w:val="auto"/>
        </w:rPr>
      </w:pPr>
    </w:p>
    <w:tbl>
      <w:tblPr>
        <w:tblLayout w:type="fixed"/>
        <w:tblInd w:w="3" w:type="dxa"/>
        <w:tblCellMar>
          <w:top w:w="0" w:type="dxa"/>
          <w:left w:w="0" w:type="dxa"/>
          <w:bottom w:w="0" w:type="dxa"/>
          <w:right w:w="0" w:type="dxa"/>
        </w:tblCellMar>
      </w:tblPr>
      <w:tr>
        <w:trPr>
          <w:trHeight w:val="149"/>
        </w:trPr>
        <w:tc>
          <w:tcPr>
            <w:tcW w:w="2840" w:type="dxa"/>
            <w:vAlign w:val="bottom"/>
            <w:shd w:val="clear" w:color="auto" w:fill="000000"/>
          </w:tcPr>
          <w:p>
            <w:pPr>
              <w:spacing w:after="0"/>
              <w:rPr>
                <w:sz w:val="12"/>
                <w:szCs w:val="12"/>
                <w:color w:val="auto"/>
              </w:rPr>
            </w:pPr>
          </w:p>
        </w:tc>
        <w:tc>
          <w:tcPr>
            <w:tcW w:w="54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800" w:type="dxa"/>
            <w:vAlign w:val="bottom"/>
            <w:shd w:val="clear" w:color="auto" w:fill="000000"/>
          </w:tcPr>
          <w:p>
            <w:pPr>
              <w:spacing w:after="0"/>
              <w:rPr>
                <w:sz w:val="12"/>
                <w:szCs w:val="12"/>
                <w:color w:val="auto"/>
              </w:rPr>
            </w:pPr>
          </w:p>
        </w:tc>
        <w:tc>
          <w:tcPr>
            <w:tcW w:w="180" w:type="dxa"/>
            <w:vAlign w:val="bottom"/>
            <w:shd w:val="clear" w:color="auto" w:fill="000000"/>
          </w:tcPr>
          <w:p>
            <w:pPr>
              <w:spacing w:after="0"/>
              <w:rPr>
                <w:sz w:val="12"/>
                <w:szCs w:val="12"/>
                <w:color w:val="auto"/>
              </w:rPr>
            </w:pPr>
          </w:p>
        </w:tc>
        <w:tc>
          <w:tcPr>
            <w:tcW w:w="690" w:type="dxa"/>
            <w:vAlign w:val="bottom"/>
            <w:shd w:val="clear" w:color="auto" w:fill="000000"/>
          </w:tcPr>
          <w:p>
            <w:pPr>
              <w:spacing w:after="0"/>
              <w:rPr>
                <w:sz w:val="12"/>
                <w:szCs w:val="12"/>
                <w:color w:val="auto"/>
              </w:rPr>
            </w:pPr>
          </w:p>
        </w:tc>
        <w:tc>
          <w:tcPr>
            <w:tcW w:w="21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12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160" w:type="dxa"/>
            <w:vAlign w:val="bottom"/>
            <w:shd w:val="clear" w:color="auto" w:fill="000000"/>
          </w:tcPr>
          <w:p>
            <w:pPr>
              <w:jc w:val="center"/>
              <w:ind w:right="215"/>
              <w:spacing w:after="0"/>
              <w:rPr>
                <w:sz w:val="20"/>
                <w:szCs w:val="20"/>
                <w:color w:val="auto"/>
              </w:rPr>
            </w:pPr>
            <w:r>
              <w:rPr>
                <w:rFonts w:ascii="Times New Roman" w:cs="Times New Roman" w:eastAsia="Times New Roman" w:hAnsi="Times New Roman"/>
                <w:sz w:val="13"/>
                <w:szCs w:val="13"/>
                <w:b w:val="1"/>
                <w:bCs w:val="1"/>
                <w:color w:val="FFFFFF"/>
                <w:w w:val="98"/>
              </w:rPr>
              <w:t>Change in</w:t>
            </w:r>
          </w:p>
        </w:tc>
        <w:tc>
          <w:tcPr>
            <w:tcW w:w="1200" w:type="dxa"/>
            <w:vAlign w:val="bottom"/>
            <w:shd w:val="clear" w:color="auto" w:fill="000000"/>
          </w:tcPr>
          <w:p>
            <w:pPr>
              <w:spacing w:after="0"/>
              <w:rPr>
                <w:sz w:val="12"/>
                <w:szCs w:val="12"/>
                <w:color w:val="auto"/>
              </w:rPr>
            </w:pPr>
          </w:p>
        </w:tc>
        <w:tc>
          <w:tcPr>
            <w:tcW w:w="260" w:type="dxa"/>
            <w:vAlign w:val="bottom"/>
            <w:shd w:val="clear" w:color="auto" w:fill="000000"/>
          </w:tcPr>
          <w:p>
            <w:pPr>
              <w:spacing w:after="0"/>
              <w:rPr>
                <w:sz w:val="12"/>
                <w:szCs w:val="12"/>
                <w:color w:val="auto"/>
              </w:rPr>
            </w:pPr>
          </w:p>
        </w:tc>
        <w:tc>
          <w:tcPr>
            <w:tcW w:w="86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4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690" w:type="dxa"/>
            <w:vAlign w:val="bottom"/>
            <w:shd w:val="clear" w:color="auto" w:fill="000000"/>
          </w:tcPr>
          <w:p>
            <w:pPr>
              <w:spacing w:after="0"/>
              <w:rPr>
                <w:sz w:val="11"/>
                <w:szCs w:val="11"/>
                <w:color w:val="auto"/>
              </w:rPr>
            </w:pPr>
          </w:p>
        </w:tc>
        <w:tc>
          <w:tcPr>
            <w:tcW w:w="21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60" w:type="dxa"/>
            <w:vAlign w:val="bottom"/>
            <w:shd w:val="clear" w:color="auto" w:fill="000000"/>
          </w:tcPr>
          <w:p>
            <w:pPr>
              <w:jc w:val="center"/>
              <w:ind w:right="215"/>
              <w:spacing w:after="0" w:line="134" w:lineRule="exact"/>
              <w:rPr>
                <w:sz w:val="20"/>
                <w:szCs w:val="20"/>
                <w:color w:val="auto"/>
              </w:rPr>
            </w:pPr>
            <w:r>
              <w:rPr>
                <w:rFonts w:ascii="Times New Roman" w:cs="Times New Roman" w:eastAsia="Times New Roman" w:hAnsi="Times New Roman"/>
                <w:sz w:val="13"/>
                <w:szCs w:val="13"/>
                <w:b w:val="1"/>
                <w:bCs w:val="1"/>
                <w:color w:val="FFFFFF"/>
              </w:rPr>
              <w:t>Pension</w:t>
            </w:r>
          </w:p>
        </w:tc>
        <w:tc>
          <w:tcPr>
            <w:tcW w:w="12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690" w:type="dxa"/>
            <w:vAlign w:val="bottom"/>
            <w:shd w:val="clear" w:color="auto" w:fill="000000"/>
          </w:tcPr>
          <w:p>
            <w:pPr>
              <w:spacing w:after="0"/>
              <w:rPr>
                <w:sz w:val="11"/>
                <w:szCs w:val="11"/>
                <w:color w:val="auto"/>
              </w:rPr>
            </w:pPr>
          </w:p>
        </w:tc>
        <w:tc>
          <w:tcPr>
            <w:tcW w:w="21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2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60" w:type="dxa"/>
            <w:vAlign w:val="bottom"/>
            <w:shd w:val="clear" w:color="auto" w:fill="000000"/>
          </w:tcPr>
          <w:p>
            <w:pPr>
              <w:jc w:val="center"/>
              <w:ind w:right="215"/>
              <w:spacing w:after="0" w:line="132" w:lineRule="exact"/>
              <w:rPr>
                <w:sz w:val="20"/>
                <w:szCs w:val="20"/>
                <w:color w:val="auto"/>
              </w:rPr>
            </w:pPr>
            <w:r>
              <w:rPr>
                <w:rFonts w:ascii="Times New Roman" w:cs="Times New Roman" w:eastAsia="Times New Roman" w:hAnsi="Times New Roman"/>
                <w:sz w:val="13"/>
                <w:szCs w:val="13"/>
                <w:b w:val="1"/>
                <w:bCs w:val="1"/>
                <w:color w:val="FFFFFF"/>
                <w:w w:val="98"/>
              </w:rPr>
              <w:t>Value and</w:t>
            </w:r>
          </w:p>
        </w:tc>
        <w:tc>
          <w:tcPr>
            <w:tcW w:w="1200" w:type="dxa"/>
            <w:vAlign w:val="bottom"/>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840" w:type="dxa"/>
            <w:vAlign w:val="bottom"/>
            <w:shd w:val="clear" w:color="auto" w:fill="000000"/>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80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690" w:type="dxa"/>
            <w:vAlign w:val="bottom"/>
            <w:shd w:val="clear" w:color="auto" w:fill="000000"/>
          </w:tcPr>
          <w:p>
            <w:pPr>
              <w:spacing w:after="0"/>
              <w:rPr>
                <w:sz w:val="10"/>
                <w:szCs w:val="10"/>
                <w:color w:val="auto"/>
              </w:rPr>
            </w:pPr>
          </w:p>
        </w:tc>
        <w:tc>
          <w:tcPr>
            <w:tcW w:w="21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120" w:type="dxa"/>
            <w:vAlign w:val="bottom"/>
            <w:vMerge w:val="restart"/>
            <w:shd w:val="clear" w:color="auto" w:fill="000000"/>
          </w:tcPr>
          <w:p>
            <w:pPr>
              <w:jc w:val="center"/>
              <w:ind w:right="55"/>
              <w:spacing w:after="0"/>
              <w:rPr>
                <w:sz w:val="20"/>
                <w:szCs w:val="20"/>
                <w:color w:val="auto"/>
              </w:rPr>
            </w:pPr>
            <w:r>
              <w:rPr>
                <w:rFonts w:ascii="Times New Roman" w:cs="Times New Roman" w:eastAsia="Times New Roman" w:hAnsi="Times New Roman"/>
                <w:sz w:val="13"/>
                <w:szCs w:val="13"/>
                <w:b w:val="1"/>
                <w:bCs w:val="1"/>
                <w:color w:val="FFFFFF"/>
                <w:w w:val="98"/>
              </w:rPr>
              <w:t>Non-Equity</w:t>
            </w:r>
          </w:p>
        </w:tc>
        <w:tc>
          <w:tcPr>
            <w:tcW w:w="120" w:type="dxa"/>
            <w:vAlign w:val="bottom"/>
            <w:shd w:val="clear" w:color="auto" w:fill="000000"/>
          </w:tcPr>
          <w:p>
            <w:pPr>
              <w:spacing w:after="0"/>
              <w:rPr>
                <w:sz w:val="10"/>
                <w:szCs w:val="10"/>
                <w:color w:val="auto"/>
              </w:rPr>
            </w:pPr>
          </w:p>
        </w:tc>
        <w:tc>
          <w:tcPr>
            <w:tcW w:w="1160" w:type="dxa"/>
            <w:vAlign w:val="bottom"/>
            <w:shd w:val="clear" w:color="auto" w:fill="000000"/>
          </w:tcPr>
          <w:p>
            <w:pPr>
              <w:jc w:val="center"/>
              <w:ind w:right="215"/>
              <w:spacing w:after="0" w:line="124" w:lineRule="exact"/>
              <w:rPr>
                <w:sz w:val="20"/>
                <w:szCs w:val="20"/>
                <w:color w:val="auto"/>
              </w:rPr>
            </w:pPr>
            <w:r>
              <w:rPr>
                <w:rFonts w:ascii="Times New Roman" w:cs="Times New Roman" w:eastAsia="Times New Roman" w:hAnsi="Times New Roman"/>
                <w:sz w:val="13"/>
                <w:szCs w:val="13"/>
                <w:b w:val="1"/>
                <w:bCs w:val="1"/>
                <w:color w:val="FFFFFF"/>
                <w:w w:val="99"/>
              </w:rPr>
              <w:t>Nonqual-ified</w:t>
            </w:r>
          </w:p>
        </w:tc>
        <w:tc>
          <w:tcPr>
            <w:tcW w:w="1200" w:type="dxa"/>
            <w:vAlign w:val="bottom"/>
            <w:shd w:val="clear" w:color="auto" w:fill="000000"/>
          </w:tcPr>
          <w:p>
            <w:pPr>
              <w:spacing w:after="0"/>
              <w:rPr>
                <w:sz w:val="10"/>
                <w:szCs w:val="10"/>
                <w:color w:val="auto"/>
              </w:rPr>
            </w:pPr>
          </w:p>
        </w:tc>
        <w:tc>
          <w:tcPr>
            <w:tcW w:w="260" w:type="dxa"/>
            <w:vAlign w:val="bottom"/>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840" w:type="dxa"/>
            <w:vAlign w:val="bottom"/>
            <w:shd w:val="clear" w:color="auto" w:fill="000000"/>
          </w:tcPr>
          <w:p>
            <w:pPr>
              <w:spacing w:after="0"/>
              <w:rPr>
                <w:sz w:val="11"/>
                <w:szCs w:val="11"/>
                <w:color w:val="auto"/>
              </w:rPr>
            </w:pPr>
          </w:p>
        </w:tc>
        <w:tc>
          <w:tcPr>
            <w:tcW w:w="54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180" w:type="dxa"/>
            <w:vAlign w:val="bottom"/>
            <w:shd w:val="clear" w:color="auto" w:fill="000000"/>
          </w:tcPr>
          <w:p>
            <w:pPr>
              <w:spacing w:after="0"/>
              <w:rPr>
                <w:sz w:val="11"/>
                <w:szCs w:val="11"/>
                <w:color w:val="auto"/>
              </w:rPr>
            </w:pPr>
          </w:p>
        </w:tc>
        <w:tc>
          <w:tcPr>
            <w:tcW w:w="690" w:type="dxa"/>
            <w:vAlign w:val="bottom"/>
            <w:shd w:val="clear" w:color="auto" w:fill="000000"/>
          </w:tcPr>
          <w:p>
            <w:pPr>
              <w:spacing w:after="0"/>
              <w:rPr>
                <w:sz w:val="11"/>
                <w:szCs w:val="11"/>
                <w:color w:val="auto"/>
              </w:rPr>
            </w:pPr>
          </w:p>
        </w:tc>
        <w:tc>
          <w:tcPr>
            <w:tcW w:w="210" w:type="dxa"/>
            <w:vAlign w:val="bottom"/>
            <w:shd w:val="clear" w:color="auto" w:fill="000000"/>
          </w:tcPr>
          <w:p>
            <w:pPr>
              <w:spacing w:after="0"/>
              <w:rPr>
                <w:sz w:val="11"/>
                <w:szCs w:val="11"/>
                <w:color w:val="auto"/>
              </w:rPr>
            </w:pPr>
          </w:p>
        </w:tc>
        <w:tc>
          <w:tcPr>
            <w:tcW w:w="980" w:type="dxa"/>
            <w:vAlign w:val="bottom"/>
            <w:vMerge w:val="restart"/>
            <w:shd w:val="clear" w:color="auto" w:fill="000000"/>
          </w:tcPr>
          <w:p>
            <w:pPr>
              <w:jc w:val="right"/>
              <w:ind w:right="375"/>
              <w:spacing w:after="0"/>
              <w:rPr>
                <w:sz w:val="20"/>
                <w:szCs w:val="20"/>
                <w:color w:val="auto"/>
              </w:rPr>
            </w:pPr>
            <w:r>
              <w:rPr>
                <w:rFonts w:ascii="Times New Roman" w:cs="Times New Roman" w:eastAsia="Times New Roman" w:hAnsi="Times New Roman"/>
                <w:sz w:val="13"/>
                <w:szCs w:val="13"/>
                <w:b w:val="1"/>
                <w:bCs w:val="1"/>
                <w:color w:val="FFFFFF"/>
              </w:rPr>
              <w:t>Stock</w:t>
            </w:r>
          </w:p>
        </w:tc>
        <w:tc>
          <w:tcPr>
            <w:tcW w:w="120" w:type="dxa"/>
            <w:vAlign w:val="bottom"/>
            <w:shd w:val="clear" w:color="auto" w:fill="000000"/>
          </w:tcPr>
          <w:p>
            <w:pPr>
              <w:spacing w:after="0"/>
              <w:rPr>
                <w:sz w:val="11"/>
                <w:szCs w:val="11"/>
                <w:color w:val="auto"/>
              </w:rPr>
            </w:pPr>
          </w:p>
        </w:tc>
        <w:tc>
          <w:tcPr>
            <w:tcW w:w="1120" w:type="dxa"/>
            <w:vAlign w:val="bottom"/>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60" w:type="dxa"/>
            <w:vAlign w:val="bottom"/>
            <w:shd w:val="clear" w:color="auto" w:fill="000000"/>
          </w:tcPr>
          <w:p>
            <w:pPr>
              <w:jc w:val="center"/>
              <w:ind w:right="195"/>
              <w:spacing w:after="0" w:line="134" w:lineRule="exact"/>
              <w:rPr>
                <w:sz w:val="20"/>
                <w:szCs w:val="20"/>
                <w:color w:val="auto"/>
              </w:rPr>
            </w:pPr>
            <w:r>
              <w:rPr>
                <w:rFonts w:ascii="Times New Roman" w:cs="Times New Roman" w:eastAsia="Times New Roman" w:hAnsi="Times New Roman"/>
                <w:sz w:val="13"/>
                <w:szCs w:val="13"/>
                <w:b w:val="1"/>
                <w:bCs w:val="1"/>
                <w:color w:val="FFFFFF"/>
              </w:rPr>
              <w:t>Deferred</w:t>
            </w:r>
          </w:p>
        </w:tc>
        <w:tc>
          <w:tcPr>
            <w:tcW w:w="1200" w:type="dxa"/>
            <w:vAlign w:val="bottom"/>
            <w:vMerge w:val="restart"/>
            <w:shd w:val="clear" w:color="auto" w:fill="000000"/>
          </w:tcPr>
          <w:p>
            <w:pPr>
              <w:jc w:val="right"/>
              <w:ind w:right="335"/>
              <w:spacing w:after="0"/>
              <w:rPr>
                <w:sz w:val="20"/>
                <w:szCs w:val="20"/>
                <w:color w:val="auto"/>
              </w:rPr>
            </w:pPr>
            <w:r>
              <w:rPr>
                <w:rFonts w:ascii="Times New Roman" w:cs="Times New Roman" w:eastAsia="Times New Roman" w:hAnsi="Times New Roman"/>
                <w:sz w:val="13"/>
                <w:szCs w:val="13"/>
                <w:b w:val="1"/>
                <w:bCs w:val="1"/>
                <w:color w:val="FFFFFF"/>
              </w:rPr>
              <w:t>All Other</w:t>
            </w:r>
          </w:p>
        </w:tc>
        <w:tc>
          <w:tcPr>
            <w:tcW w:w="260" w:type="dxa"/>
            <w:vAlign w:val="bottom"/>
            <w:shd w:val="clear" w:color="auto" w:fill="000000"/>
          </w:tcPr>
          <w:p>
            <w:pPr>
              <w:spacing w:after="0"/>
              <w:rPr>
                <w:sz w:val="11"/>
                <w:szCs w:val="11"/>
                <w:color w:val="auto"/>
              </w:rPr>
            </w:pPr>
          </w:p>
        </w:tc>
        <w:tc>
          <w:tcPr>
            <w:tcW w:w="8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840" w:type="dxa"/>
            <w:vAlign w:val="bottom"/>
            <w:vMerge w:val="restart"/>
            <w:shd w:val="clear" w:color="auto" w:fill="000000"/>
          </w:tcPr>
          <w:p>
            <w:pPr>
              <w:ind w:left="20"/>
              <w:spacing w:after="0"/>
              <w:rPr>
                <w:sz w:val="20"/>
                <w:szCs w:val="20"/>
                <w:color w:val="auto"/>
              </w:rPr>
            </w:pPr>
            <w:r>
              <w:rPr>
                <w:rFonts w:ascii="Times New Roman" w:cs="Times New Roman" w:eastAsia="Times New Roman" w:hAnsi="Times New Roman"/>
                <w:sz w:val="13"/>
                <w:szCs w:val="13"/>
                <w:b w:val="1"/>
                <w:bCs w:val="1"/>
                <w:color w:val="FFFFFF"/>
              </w:rPr>
              <w:t>Name and Principal Position</w:t>
            </w:r>
          </w:p>
        </w:tc>
        <w:tc>
          <w:tcPr>
            <w:tcW w:w="540" w:type="dxa"/>
            <w:vAlign w:val="bottom"/>
            <w:vMerge w:val="restart"/>
            <w:shd w:val="clear" w:color="auto" w:fill="000000"/>
          </w:tcPr>
          <w:p>
            <w:pPr>
              <w:jc w:val="right"/>
              <w:ind w:right="55"/>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180" w:type="dxa"/>
            <w:vAlign w:val="bottom"/>
            <w:shd w:val="clear" w:color="auto" w:fill="000000"/>
          </w:tcPr>
          <w:p>
            <w:pPr>
              <w:spacing w:after="0"/>
              <w:rPr>
                <w:sz w:val="11"/>
                <w:szCs w:val="11"/>
                <w:color w:val="auto"/>
              </w:rPr>
            </w:pPr>
          </w:p>
        </w:tc>
        <w:tc>
          <w:tcPr>
            <w:tcW w:w="800" w:type="dxa"/>
            <w:vAlign w:val="bottom"/>
            <w:vMerge w:val="restart"/>
            <w:shd w:val="clear" w:color="auto" w:fill="000000"/>
          </w:tcPr>
          <w:p>
            <w:pPr>
              <w:jc w:val="right"/>
              <w:ind w:right="195"/>
              <w:spacing w:after="0"/>
              <w:rPr>
                <w:sz w:val="20"/>
                <w:szCs w:val="20"/>
                <w:color w:val="auto"/>
              </w:rPr>
            </w:pPr>
            <w:r>
              <w:rPr>
                <w:rFonts w:ascii="Times New Roman" w:cs="Times New Roman" w:eastAsia="Times New Roman" w:hAnsi="Times New Roman"/>
                <w:sz w:val="13"/>
                <w:szCs w:val="13"/>
                <w:b w:val="1"/>
                <w:bCs w:val="1"/>
                <w:color w:val="FFFFFF"/>
              </w:rPr>
              <w:t>Salary</w:t>
            </w:r>
            <w:r>
              <w:rPr>
                <w:rFonts w:ascii="Times New Roman" w:cs="Times New Roman" w:eastAsia="Times New Roman" w:hAnsi="Times New Roman"/>
                <w:sz w:val="8"/>
                <w:szCs w:val="8"/>
                <w:b w:val="1"/>
                <w:bCs w:val="1"/>
                <w:color w:val="FFFFFF"/>
              </w:rPr>
              <w:t>(1)</w:t>
            </w:r>
          </w:p>
        </w:tc>
        <w:tc>
          <w:tcPr>
            <w:tcW w:w="180" w:type="dxa"/>
            <w:vAlign w:val="bottom"/>
            <w:shd w:val="clear" w:color="auto" w:fill="000000"/>
          </w:tcPr>
          <w:p>
            <w:pPr>
              <w:spacing w:after="0"/>
              <w:rPr>
                <w:sz w:val="11"/>
                <w:szCs w:val="11"/>
                <w:color w:val="auto"/>
              </w:rPr>
            </w:pPr>
          </w:p>
        </w:tc>
        <w:tc>
          <w:tcPr>
            <w:tcW w:w="690" w:type="dxa"/>
            <w:vAlign w:val="bottom"/>
            <w:vMerge w:val="restart"/>
            <w:shd w:val="clear" w:color="auto" w:fill="000000"/>
          </w:tcPr>
          <w:p>
            <w:pPr>
              <w:ind w:left="80"/>
              <w:spacing w:after="0"/>
              <w:rPr>
                <w:sz w:val="20"/>
                <w:szCs w:val="20"/>
                <w:color w:val="auto"/>
              </w:rPr>
            </w:pPr>
            <w:r>
              <w:rPr>
                <w:rFonts w:ascii="Times New Roman" w:cs="Times New Roman" w:eastAsia="Times New Roman" w:hAnsi="Times New Roman"/>
                <w:sz w:val="13"/>
                <w:szCs w:val="13"/>
                <w:b w:val="1"/>
                <w:bCs w:val="1"/>
                <w:color w:val="FFFFFF"/>
              </w:rPr>
              <w:t>Bonus</w:t>
            </w:r>
          </w:p>
        </w:tc>
        <w:tc>
          <w:tcPr>
            <w:tcW w:w="210" w:type="dxa"/>
            <w:vAlign w:val="bottom"/>
            <w:shd w:val="clear" w:color="auto" w:fill="000000"/>
          </w:tcPr>
          <w:p>
            <w:pPr>
              <w:spacing w:after="0"/>
              <w:rPr>
                <w:sz w:val="11"/>
                <w:szCs w:val="11"/>
                <w:color w:val="auto"/>
              </w:rPr>
            </w:pPr>
          </w:p>
        </w:tc>
        <w:tc>
          <w:tcPr>
            <w:tcW w:w="980" w:type="dxa"/>
            <w:vAlign w:val="bottom"/>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120" w:type="dxa"/>
            <w:vAlign w:val="bottom"/>
            <w:shd w:val="clear" w:color="auto" w:fill="000000"/>
          </w:tcPr>
          <w:p>
            <w:pPr>
              <w:jc w:val="center"/>
              <w:ind w:right="55"/>
              <w:spacing w:after="0" w:line="132" w:lineRule="exact"/>
              <w:rPr>
                <w:sz w:val="20"/>
                <w:szCs w:val="20"/>
                <w:color w:val="auto"/>
              </w:rPr>
            </w:pPr>
            <w:r>
              <w:rPr>
                <w:rFonts w:ascii="Times New Roman" w:cs="Times New Roman" w:eastAsia="Times New Roman" w:hAnsi="Times New Roman"/>
                <w:sz w:val="13"/>
                <w:szCs w:val="13"/>
                <w:b w:val="1"/>
                <w:bCs w:val="1"/>
                <w:color w:val="FFFFFF"/>
              </w:rPr>
              <w:t>Incentive Plan</w:t>
            </w:r>
          </w:p>
        </w:tc>
        <w:tc>
          <w:tcPr>
            <w:tcW w:w="120" w:type="dxa"/>
            <w:vAlign w:val="bottom"/>
            <w:shd w:val="clear" w:color="auto" w:fill="000000"/>
          </w:tcPr>
          <w:p>
            <w:pPr>
              <w:spacing w:after="0"/>
              <w:rPr>
                <w:sz w:val="11"/>
                <w:szCs w:val="11"/>
                <w:color w:val="auto"/>
              </w:rPr>
            </w:pPr>
          </w:p>
        </w:tc>
        <w:tc>
          <w:tcPr>
            <w:tcW w:w="1160" w:type="dxa"/>
            <w:vAlign w:val="bottom"/>
            <w:shd w:val="clear" w:color="auto" w:fill="000000"/>
          </w:tcPr>
          <w:p>
            <w:pPr>
              <w:jc w:val="center"/>
              <w:ind w:right="215"/>
              <w:spacing w:after="0" w:line="132" w:lineRule="exact"/>
              <w:rPr>
                <w:sz w:val="20"/>
                <w:szCs w:val="20"/>
                <w:color w:val="auto"/>
              </w:rPr>
            </w:pPr>
            <w:r>
              <w:rPr>
                <w:rFonts w:ascii="Times New Roman" w:cs="Times New Roman" w:eastAsia="Times New Roman" w:hAnsi="Times New Roman"/>
                <w:sz w:val="13"/>
                <w:szCs w:val="13"/>
                <w:b w:val="1"/>
                <w:bCs w:val="1"/>
                <w:color w:val="FFFFFF"/>
                <w:w w:val="99"/>
              </w:rPr>
              <w:t>Compen-sation</w:t>
            </w:r>
          </w:p>
        </w:tc>
        <w:tc>
          <w:tcPr>
            <w:tcW w:w="1200" w:type="dxa"/>
            <w:vAlign w:val="bottom"/>
            <w:vMerge w:val="continue"/>
            <w:shd w:val="clear" w:color="auto" w:fill="000000"/>
          </w:tcPr>
          <w:p>
            <w:pPr>
              <w:spacing w:after="0"/>
              <w:rPr>
                <w:sz w:val="11"/>
                <w:szCs w:val="11"/>
                <w:color w:val="auto"/>
              </w:rPr>
            </w:pPr>
          </w:p>
        </w:tc>
        <w:tc>
          <w:tcPr>
            <w:tcW w:w="260" w:type="dxa"/>
            <w:vAlign w:val="bottom"/>
            <w:shd w:val="clear" w:color="auto" w:fill="000000"/>
          </w:tcPr>
          <w:p>
            <w:pPr>
              <w:spacing w:after="0"/>
              <w:rPr>
                <w:sz w:val="11"/>
                <w:szCs w:val="11"/>
                <w:color w:val="auto"/>
              </w:rPr>
            </w:pPr>
          </w:p>
        </w:tc>
        <w:tc>
          <w:tcPr>
            <w:tcW w:w="860" w:type="dxa"/>
            <w:vAlign w:val="bottom"/>
            <w:vMerge w:val="restart"/>
            <w:shd w:val="clear" w:color="auto" w:fill="000000"/>
          </w:tcPr>
          <w:p>
            <w:pPr>
              <w:jc w:val="right"/>
              <w:ind w:right="355"/>
              <w:spacing w:after="0"/>
              <w:rPr>
                <w:sz w:val="20"/>
                <w:szCs w:val="20"/>
                <w:color w:val="auto"/>
              </w:rPr>
            </w:pPr>
            <w:r>
              <w:rPr>
                <w:rFonts w:ascii="Times New Roman" w:cs="Times New Roman" w:eastAsia="Times New Roman" w:hAnsi="Times New Roman"/>
                <w:sz w:val="13"/>
                <w:szCs w:val="13"/>
                <w:b w:val="1"/>
                <w:bCs w:val="1"/>
                <w:color w:val="FFFFFF"/>
              </w:rPr>
              <w:t>Total</w:t>
            </w:r>
          </w:p>
        </w:tc>
        <w:tc>
          <w:tcPr>
            <w:tcW w:w="0" w:type="dxa"/>
            <w:vAlign w:val="bottom"/>
          </w:tcPr>
          <w:p>
            <w:pPr>
              <w:spacing w:after="0"/>
              <w:rPr>
                <w:sz w:val="1"/>
                <w:szCs w:val="1"/>
                <w:color w:val="auto"/>
              </w:rPr>
            </w:pPr>
          </w:p>
        </w:tc>
      </w:tr>
      <w:tr>
        <w:trPr>
          <w:trHeight w:val="195"/>
        </w:trPr>
        <w:tc>
          <w:tcPr>
            <w:tcW w:w="2840" w:type="dxa"/>
            <w:vAlign w:val="bottom"/>
            <w:vMerge w:val="continue"/>
            <w:shd w:val="clear" w:color="auto" w:fill="000000"/>
          </w:tcPr>
          <w:p>
            <w:pPr>
              <w:spacing w:after="0"/>
              <w:rPr>
                <w:sz w:val="16"/>
                <w:szCs w:val="16"/>
                <w:color w:val="auto"/>
              </w:rPr>
            </w:pPr>
          </w:p>
        </w:tc>
        <w:tc>
          <w:tcPr>
            <w:tcW w:w="540" w:type="dxa"/>
            <w:vAlign w:val="bottom"/>
            <w:vMerge w:val="continue"/>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800" w:type="dxa"/>
            <w:vAlign w:val="bottom"/>
            <w:vMerge w:val="continue"/>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690" w:type="dxa"/>
            <w:vAlign w:val="bottom"/>
            <w:vMerge w:val="continue"/>
            <w:shd w:val="clear" w:color="auto" w:fill="000000"/>
          </w:tcPr>
          <w:p>
            <w:pPr>
              <w:spacing w:after="0"/>
              <w:rPr>
                <w:sz w:val="16"/>
                <w:szCs w:val="16"/>
                <w:color w:val="auto"/>
              </w:rPr>
            </w:pPr>
          </w:p>
        </w:tc>
        <w:tc>
          <w:tcPr>
            <w:tcW w:w="210" w:type="dxa"/>
            <w:vAlign w:val="bottom"/>
            <w:shd w:val="clear" w:color="auto" w:fill="000000"/>
          </w:tcPr>
          <w:p>
            <w:pPr>
              <w:spacing w:after="0"/>
              <w:rPr>
                <w:sz w:val="16"/>
                <w:szCs w:val="16"/>
                <w:color w:val="auto"/>
              </w:rPr>
            </w:pPr>
          </w:p>
        </w:tc>
        <w:tc>
          <w:tcPr>
            <w:tcW w:w="980" w:type="dxa"/>
            <w:vAlign w:val="bottom"/>
            <w:shd w:val="clear" w:color="auto" w:fill="000000"/>
          </w:tcPr>
          <w:p>
            <w:pPr>
              <w:jc w:val="right"/>
              <w:ind w:right="275"/>
              <w:spacing w:after="0" w:line="183" w:lineRule="exact"/>
              <w:rPr>
                <w:sz w:val="20"/>
                <w:szCs w:val="20"/>
                <w:color w:val="auto"/>
              </w:rPr>
            </w:pPr>
            <w:r>
              <w:rPr>
                <w:rFonts w:ascii="Times New Roman" w:cs="Times New Roman" w:eastAsia="Times New Roman" w:hAnsi="Times New Roman"/>
                <w:sz w:val="13"/>
                <w:szCs w:val="13"/>
                <w:b w:val="1"/>
                <w:bCs w:val="1"/>
                <w:color w:val="FFFFFF"/>
              </w:rPr>
              <w:t>Awards</w:t>
            </w:r>
            <w:r>
              <w:rPr>
                <w:rFonts w:ascii="Times New Roman" w:cs="Times New Roman" w:eastAsia="Times New Roman" w:hAnsi="Times New Roman"/>
                <w:sz w:val="16"/>
                <w:szCs w:val="16"/>
                <w:b w:val="1"/>
                <w:bCs w:val="1"/>
                <w:color w:val="FFFFFF"/>
                <w:vertAlign w:val="superscript"/>
              </w:rPr>
              <w:t>(2)</w:t>
            </w:r>
          </w:p>
        </w:tc>
        <w:tc>
          <w:tcPr>
            <w:tcW w:w="120" w:type="dxa"/>
            <w:vAlign w:val="bottom"/>
            <w:shd w:val="clear" w:color="auto" w:fill="000000"/>
          </w:tcPr>
          <w:p>
            <w:pPr>
              <w:spacing w:after="0"/>
              <w:rPr>
                <w:sz w:val="16"/>
                <w:szCs w:val="16"/>
                <w:color w:val="auto"/>
              </w:rPr>
            </w:pPr>
          </w:p>
        </w:tc>
        <w:tc>
          <w:tcPr>
            <w:tcW w:w="1120" w:type="dxa"/>
            <w:vAlign w:val="bottom"/>
            <w:shd w:val="clear" w:color="auto" w:fill="000000"/>
          </w:tcPr>
          <w:p>
            <w:pPr>
              <w:jc w:val="center"/>
              <w:ind w:right="35"/>
              <w:spacing w:after="0" w:line="183" w:lineRule="exact"/>
              <w:rPr>
                <w:sz w:val="20"/>
                <w:szCs w:val="20"/>
                <w:color w:val="auto"/>
              </w:rPr>
            </w:pPr>
            <w:r>
              <w:rPr>
                <w:rFonts w:ascii="Times New Roman" w:cs="Times New Roman" w:eastAsia="Times New Roman" w:hAnsi="Times New Roman"/>
                <w:sz w:val="13"/>
                <w:szCs w:val="13"/>
                <w:b w:val="1"/>
                <w:bCs w:val="1"/>
                <w:color w:val="FFFFFF"/>
                <w:w w:val="96"/>
              </w:rPr>
              <w:t>Compensa-tion</w:t>
            </w:r>
            <w:r>
              <w:rPr>
                <w:rFonts w:ascii="Times New Roman" w:cs="Times New Roman" w:eastAsia="Times New Roman" w:hAnsi="Times New Roman"/>
                <w:sz w:val="16"/>
                <w:szCs w:val="16"/>
                <w:b w:val="1"/>
                <w:bCs w:val="1"/>
                <w:color w:val="FFFFFF"/>
                <w:w w:val="96"/>
                <w:vertAlign w:val="superscript"/>
              </w:rPr>
              <w:t>(3)</w:t>
            </w:r>
          </w:p>
        </w:tc>
        <w:tc>
          <w:tcPr>
            <w:tcW w:w="120" w:type="dxa"/>
            <w:vAlign w:val="bottom"/>
            <w:shd w:val="clear" w:color="auto" w:fill="000000"/>
          </w:tcPr>
          <w:p>
            <w:pPr>
              <w:spacing w:after="0"/>
              <w:rPr>
                <w:sz w:val="16"/>
                <w:szCs w:val="16"/>
                <w:color w:val="auto"/>
              </w:rPr>
            </w:pPr>
          </w:p>
        </w:tc>
        <w:tc>
          <w:tcPr>
            <w:tcW w:w="1160" w:type="dxa"/>
            <w:vAlign w:val="bottom"/>
            <w:shd w:val="clear" w:color="auto" w:fill="000000"/>
          </w:tcPr>
          <w:p>
            <w:pPr>
              <w:jc w:val="center"/>
              <w:ind w:right="215"/>
              <w:spacing w:after="0" w:line="183" w:lineRule="exact"/>
              <w:rPr>
                <w:sz w:val="20"/>
                <w:szCs w:val="20"/>
                <w:color w:val="auto"/>
              </w:rPr>
            </w:pPr>
            <w:r>
              <w:rPr>
                <w:rFonts w:ascii="Times New Roman" w:cs="Times New Roman" w:eastAsia="Times New Roman" w:hAnsi="Times New Roman"/>
                <w:sz w:val="13"/>
                <w:szCs w:val="13"/>
                <w:b w:val="1"/>
                <w:bCs w:val="1"/>
                <w:color w:val="FFFFFF"/>
                <w:w w:val="95"/>
              </w:rPr>
              <w:t>Earnings</w:t>
            </w:r>
            <w:r>
              <w:rPr>
                <w:rFonts w:ascii="Times New Roman" w:cs="Times New Roman" w:eastAsia="Times New Roman" w:hAnsi="Times New Roman"/>
                <w:sz w:val="16"/>
                <w:szCs w:val="16"/>
                <w:b w:val="1"/>
                <w:bCs w:val="1"/>
                <w:color w:val="FFFFFF"/>
                <w:w w:val="95"/>
                <w:vertAlign w:val="superscript"/>
              </w:rPr>
              <w:t>(4)</w:t>
            </w:r>
          </w:p>
        </w:tc>
        <w:tc>
          <w:tcPr>
            <w:tcW w:w="1200" w:type="dxa"/>
            <w:vAlign w:val="bottom"/>
            <w:shd w:val="clear" w:color="auto" w:fill="000000"/>
          </w:tcPr>
          <w:p>
            <w:pPr>
              <w:jc w:val="right"/>
              <w:ind w:right="155"/>
              <w:spacing w:after="0" w:line="183" w:lineRule="exact"/>
              <w:rPr>
                <w:sz w:val="20"/>
                <w:szCs w:val="20"/>
                <w:color w:val="auto"/>
              </w:rPr>
            </w:pPr>
            <w:r>
              <w:rPr>
                <w:rFonts w:ascii="Times New Roman" w:cs="Times New Roman" w:eastAsia="Times New Roman" w:hAnsi="Times New Roman"/>
                <w:sz w:val="13"/>
                <w:szCs w:val="13"/>
                <w:b w:val="1"/>
                <w:bCs w:val="1"/>
                <w:color w:val="FFFFFF"/>
              </w:rPr>
              <w:t>Compensation</w:t>
            </w:r>
            <w:r>
              <w:rPr>
                <w:rFonts w:ascii="Times New Roman" w:cs="Times New Roman" w:eastAsia="Times New Roman" w:hAnsi="Times New Roman"/>
                <w:sz w:val="16"/>
                <w:szCs w:val="16"/>
                <w:b w:val="1"/>
                <w:bCs w:val="1"/>
                <w:color w:val="FFFFFF"/>
                <w:vertAlign w:val="superscript"/>
              </w:rPr>
              <w:t>(5)</w:t>
            </w:r>
          </w:p>
        </w:tc>
        <w:tc>
          <w:tcPr>
            <w:tcW w:w="260" w:type="dxa"/>
            <w:vAlign w:val="bottom"/>
            <w:shd w:val="clear" w:color="auto" w:fill="000000"/>
          </w:tcPr>
          <w:p>
            <w:pPr>
              <w:spacing w:after="0"/>
              <w:rPr>
                <w:sz w:val="16"/>
                <w:szCs w:val="16"/>
                <w:color w:val="auto"/>
              </w:rPr>
            </w:pPr>
          </w:p>
        </w:tc>
        <w:tc>
          <w:tcPr>
            <w:tcW w:w="860" w:type="dxa"/>
            <w:vAlign w:val="bottom"/>
            <w:vMerge w:val="continue"/>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840" w:type="dxa"/>
            <w:vAlign w:val="bottom"/>
          </w:tcPr>
          <w:p>
            <w:pPr>
              <w:ind w:left="20"/>
              <w:spacing w:after="0"/>
              <w:rPr>
                <w:sz w:val="20"/>
                <w:szCs w:val="20"/>
                <w:color w:val="auto"/>
              </w:rPr>
            </w:pPr>
            <w:r>
              <w:rPr>
                <w:rFonts w:ascii="Arial" w:cs="Arial" w:eastAsia="Arial" w:hAnsi="Arial"/>
                <w:sz w:val="13"/>
                <w:szCs w:val="13"/>
                <w:b w:val="1"/>
                <w:bCs w:val="1"/>
                <w:color w:val="auto"/>
              </w:rPr>
              <w:t>Rex D. Geveden</w:t>
            </w:r>
          </w:p>
        </w:tc>
        <w:tc>
          <w:tcPr>
            <w:tcW w:w="540" w:type="dxa"/>
            <w:vAlign w:val="bottom"/>
          </w:tcPr>
          <w:p>
            <w:pPr>
              <w:jc w:val="right"/>
              <w:spacing w:after="0"/>
              <w:rPr>
                <w:sz w:val="20"/>
                <w:szCs w:val="20"/>
                <w:color w:val="auto"/>
              </w:rPr>
            </w:pPr>
            <w:r>
              <w:rPr>
                <w:rFonts w:ascii="Arial" w:cs="Arial" w:eastAsia="Arial" w:hAnsi="Arial"/>
                <w:sz w:val="13"/>
                <w:szCs w:val="13"/>
                <w:color w:val="auto"/>
              </w:rPr>
              <w:t>2022</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925,000</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ind w:left="500"/>
              <w:spacing w:after="0"/>
              <w:rPr>
                <w:sz w:val="20"/>
                <w:szCs w:val="20"/>
                <w:color w:val="auto"/>
              </w:rPr>
            </w:pPr>
            <w:r>
              <w:rPr>
                <w:rFonts w:ascii="Arial" w:cs="Arial" w:eastAsia="Arial" w:hAnsi="Arial"/>
                <w:sz w:val="13"/>
                <w:szCs w:val="13"/>
                <w:color w:val="auto"/>
              </w:rPr>
              <w:t>— $</w:t>
            </w:r>
          </w:p>
        </w:tc>
        <w:tc>
          <w:tcPr>
            <w:tcW w:w="980" w:type="dxa"/>
            <w:vAlign w:val="bottom"/>
          </w:tcPr>
          <w:p>
            <w:pPr>
              <w:jc w:val="right"/>
              <w:spacing w:after="0"/>
              <w:rPr>
                <w:sz w:val="20"/>
                <w:szCs w:val="20"/>
                <w:color w:val="auto"/>
              </w:rPr>
            </w:pPr>
            <w:r>
              <w:rPr>
                <w:rFonts w:ascii="Arial" w:cs="Arial" w:eastAsia="Arial" w:hAnsi="Arial"/>
                <w:sz w:val="13"/>
                <w:szCs w:val="13"/>
                <w:color w:val="auto"/>
              </w:rPr>
              <w:t>3,576,173</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20" w:type="dxa"/>
            <w:vAlign w:val="bottom"/>
          </w:tcPr>
          <w:p>
            <w:pPr>
              <w:jc w:val="right"/>
              <w:spacing w:after="0"/>
              <w:rPr>
                <w:sz w:val="20"/>
                <w:szCs w:val="20"/>
                <w:color w:val="auto"/>
              </w:rPr>
            </w:pPr>
            <w:r>
              <w:rPr>
                <w:rFonts w:ascii="Arial" w:cs="Arial" w:eastAsia="Arial" w:hAnsi="Arial"/>
                <w:sz w:val="13"/>
                <w:szCs w:val="13"/>
                <w:color w:val="auto"/>
              </w:rPr>
              <w:t>999,000</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tcPr>
          <w:p>
            <w:pPr>
              <w:ind w:left="800"/>
              <w:spacing w:after="0"/>
              <w:rPr>
                <w:sz w:val="20"/>
                <w:szCs w:val="20"/>
                <w:color w:val="auto"/>
              </w:rPr>
            </w:pPr>
            <w:r>
              <w:rPr>
                <w:rFonts w:ascii="Arial" w:cs="Arial" w:eastAsia="Arial" w:hAnsi="Arial"/>
                <w:sz w:val="13"/>
                <w:szCs w:val="13"/>
                <w:color w:val="auto"/>
              </w:rPr>
              <w:t>— $</w:t>
            </w:r>
          </w:p>
        </w:tc>
        <w:tc>
          <w:tcPr>
            <w:tcW w:w="1200" w:type="dxa"/>
            <w:vAlign w:val="bottom"/>
          </w:tcPr>
          <w:p>
            <w:pPr>
              <w:jc w:val="right"/>
              <w:spacing w:after="0"/>
              <w:rPr>
                <w:sz w:val="20"/>
                <w:szCs w:val="20"/>
                <w:color w:val="auto"/>
              </w:rPr>
            </w:pPr>
            <w:r>
              <w:rPr>
                <w:rFonts w:ascii="Arial" w:cs="Arial" w:eastAsia="Arial" w:hAnsi="Arial"/>
                <w:sz w:val="13"/>
                <w:szCs w:val="13"/>
                <w:color w:val="auto"/>
              </w:rPr>
              <w:t>216,519</w:t>
            </w:r>
          </w:p>
        </w:tc>
        <w:tc>
          <w:tcPr>
            <w:tcW w:w="260" w:type="dxa"/>
            <w:vAlign w:val="bottom"/>
          </w:tcPr>
          <w:p>
            <w:pPr>
              <w:jc w:val="right"/>
              <w:ind w:right="9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5,716,692</w:t>
            </w: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rPr>
                <w:sz w:val="20"/>
                <w:szCs w:val="20"/>
                <w:color w:val="auto"/>
              </w:rPr>
            </w:pPr>
            <w:r>
              <w:rPr>
                <w:rFonts w:ascii="Arial" w:cs="Arial" w:eastAsia="Arial" w:hAnsi="Arial"/>
                <w:sz w:val="13"/>
                <w:szCs w:val="13"/>
                <w:color w:val="auto"/>
              </w:rPr>
              <w:t>President and Chief Executive Officer</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925,000</w:t>
            </w:r>
          </w:p>
        </w:tc>
        <w:tc>
          <w:tcPr>
            <w:tcW w:w="180" w:type="dxa"/>
            <w:vAlign w:val="bottom"/>
          </w:tcPr>
          <w:p>
            <w:pPr>
              <w:spacing w:after="0"/>
              <w:rPr>
                <w:sz w:val="14"/>
                <w:szCs w:val="14"/>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3,499,932</w:t>
            </w:r>
          </w:p>
        </w:tc>
        <w:tc>
          <w:tcPr>
            <w:tcW w:w="1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530,538</w:t>
            </w:r>
          </w:p>
        </w:tc>
        <w:tc>
          <w:tcPr>
            <w:tcW w:w="120" w:type="dxa"/>
            <w:vAlign w:val="bottom"/>
          </w:tcPr>
          <w:p>
            <w:pPr>
              <w:spacing w:after="0"/>
              <w:rPr>
                <w:sz w:val="14"/>
                <w:szCs w:val="14"/>
                <w:color w:val="auto"/>
              </w:rPr>
            </w:pPr>
          </w:p>
        </w:tc>
        <w:tc>
          <w:tcPr>
            <w:tcW w:w="1160" w:type="dxa"/>
            <w:vAlign w:val="bottom"/>
            <w:vMerge w:val="restart"/>
          </w:tcPr>
          <w:p>
            <w:pPr>
              <w:ind w:left="800"/>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168,576</w:t>
            </w:r>
          </w:p>
        </w:tc>
        <w:tc>
          <w:tcPr>
            <w:tcW w:w="26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5,124,046</w:t>
            </w:r>
          </w:p>
        </w:tc>
        <w:tc>
          <w:tcPr>
            <w:tcW w:w="0" w:type="dxa"/>
            <w:vAlign w:val="bottom"/>
          </w:tcPr>
          <w:p>
            <w:pPr>
              <w:spacing w:after="0"/>
              <w:rPr>
                <w:sz w:val="1"/>
                <w:szCs w:val="1"/>
                <w:color w:val="auto"/>
              </w:rPr>
            </w:pPr>
          </w:p>
        </w:tc>
      </w:tr>
      <w:tr>
        <w:trPr>
          <w:trHeight w:val="61"/>
        </w:trPr>
        <w:tc>
          <w:tcPr>
            <w:tcW w:w="28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12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8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925,000</w:t>
            </w:r>
          </w:p>
        </w:tc>
        <w:tc>
          <w:tcPr>
            <w:tcW w:w="180" w:type="dxa"/>
            <w:vAlign w:val="bottom"/>
          </w:tcPr>
          <w:p>
            <w:pPr>
              <w:spacing w:after="0"/>
              <w:rPr>
                <w:sz w:val="16"/>
                <w:szCs w:val="16"/>
                <w:color w:val="auto"/>
              </w:rPr>
            </w:pPr>
          </w:p>
        </w:tc>
        <w:tc>
          <w:tcPr>
            <w:tcW w:w="9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3,099,983</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3"/>
                <w:szCs w:val="13"/>
                <w:color w:val="auto"/>
              </w:rPr>
              <w:t>1,259,573</w:t>
            </w:r>
          </w:p>
        </w:tc>
        <w:tc>
          <w:tcPr>
            <w:tcW w:w="120" w:type="dxa"/>
            <w:vAlign w:val="bottom"/>
          </w:tcPr>
          <w:p>
            <w:pPr>
              <w:spacing w:after="0"/>
              <w:rPr>
                <w:sz w:val="16"/>
                <w:szCs w:val="16"/>
                <w:color w:val="auto"/>
              </w:rPr>
            </w:pPr>
          </w:p>
        </w:tc>
        <w:tc>
          <w:tcPr>
            <w:tcW w:w="1160" w:type="dxa"/>
            <w:vAlign w:val="bottom"/>
          </w:tcPr>
          <w:p>
            <w:pPr>
              <w:ind w:left="800"/>
              <w:spacing w:after="0"/>
              <w:rPr>
                <w:sz w:val="20"/>
                <w:szCs w:val="20"/>
                <w:color w:val="auto"/>
              </w:rPr>
            </w:pPr>
            <w:r>
              <w:rPr>
                <w:rFonts w:ascii="Arial" w:cs="Arial" w:eastAsia="Arial" w:hAnsi="Arial"/>
                <w:sz w:val="13"/>
                <w:szCs w:val="13"/>
                <w:color w:val="auto"/>
              </w:rPr>
              <w:t>—</w:t>
            </w:r>
          </w:p>
        </w:tc>
        <w:tc>
          <w:tcPr>
            <w:tcW w:w="1200" w:type="dxa"/>
            <w:vAlign w:val="bottom"/>
          </w:tcPr>
          <w:p>
            <w:pPr>
              <w:jc w:val="right"/>
              <w:spacing w:after="0"/>
              <w:rPr>
                <w:sz w:val="20"/>
                <w:szCs w:val="20"/>
                <w:color w:val="auto"/>
              </w:rPr>
            </w:pPr>
            <w:r>
              <w:rPr>
                <w:rFonts w:ascii="Arial" w:cs="Arial" w:eastAsia="Arial" w:hAnsi="Arial"/>
                <w:sz w:val="13"/>
                <w:szCs w:val="13"/>
                <w:color w:val="auto"/>
              </w:rPr>
              <w:t>172,284</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5,456,840</w:t>
            </w:r>
          </w:p>
        </w:tc>
        <w:tc>
          <w:tcPr>
            <w:tcW w:w="0" w:type="dxa"/>
            <w:vAlign w:val="bottom"/>
          </w:tcPr>
          <w:p>
            <w:pPr>
              <w:spacing w:after="0"/>
              <w:rPr>
                <w:sz w:val="1"/>
                <w:szCs w:val="1"/>
                <w:color w:val="auto"/>
              </w:rPr>
            </w:pPr>
          </w:p>
        </w:tc>
      </w:tr>
      <w:tr>
        <w:trPr>
          <w:trHeight w:val="68"/>
        </w:trPr>
        <w:tc>
          <w:tcPr>
            <w:tcW w:w="284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90" w:type="dxa"/>
            <w:vAlign w:val="bottom"/>
          </w:tcPr>
          <w:p>
            <w:pPr>
              <w:spacing w:after="0"/>
              <w:rPr>
                <w:sz w:val="5"/>
                <w:szCs w:val="5"/>
                <w:color w:val="auto"/>
              </w:rPr>
            </w:pPr>
          </w:p>
        </w:tc>
        <w:tc>
          <w:tcPr>
            <w:tcW w:w="21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260" w:type="dxa"/>
            <w:vAlign w:val="bottom"/>
          </w:tcPr>
          <w:p>
            <w:pPr>
              <w:spacing w:after="0"/>
              <w:rPr>
                <w:sz w:val="5"/>
                <w:szCs w:val="5"/>
                <w:color w:val="auto"/>
              </w:rPr>
            </w:pPr>
          </w:p>
        </w:tc>
        <w:tc>
          <w:tcPr>
            <w:tcW w:w="8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840" w:type="dxa"/>
            <w:vAlign w:val="bottom"/>
            <w:shd w:val="clear" w:color="auto" w:fill="DBDBDB"/>
          </w:tcPr>
          <w:p>
            <w:pPr>
              <w:ind w:left="20"/>
              <w:spacing w:after="0" w:line="139" w:lineRule="exact"/>
              <w:rPr>
                <w:sz w:val="20"/>
                <w:szCs w:val="20"/>
                <w:color w:val="auto"/>
              </w:rPr>
            </w:pPr>
            <w:r>
              <w:rPr>
                <w:rFonts w:ascii="Arial" w:cs="Arial" w:eastAsia="Arial" w:hAnsi="Arial"/>
                <w:sz w:val="13"/>
                <w:szCs w:val="13"/>
                <w:b w:val="1"/>
                <w:bCs w:val="1"/>
                <w:color w:val="auto"/>
              </w:rPr>
              <w:t>Robb A. LeMasters</w:t>
            </w:r>
          </w:p>
        </w:tc>
        <w:tc>
          <w:tcPr>
            <w:tcW w:w="54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2022</w:t>
            </w: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500,000</w:t>
            </w:r>
          </w:p>
        </w:tc>
        <w:tc>
          <w:tcPr>
            <w:tcW w:w="180" w:type="dxa"/>
            <w:vAlign w:val="bottom"/>
            <w:shd w:val="clear" w:color="auto" w:fill="DBDBDB"/>
          </w:tcPr>
          <w:p>
            <w:pPr>
              <w:spacing w:after="0"/>
              <w:rPr>
                <w:sz w:val="12"/>
                <w:szCs w:val="12"/>
                <w:color w:val="auto"/>
              </w:rPr>
            </w:pPr>
          </w:p>
        </w:tc>
        <w:tc>
          <w:tcPr>
            <w:tcW w:w="900" w:type="dxa"/>
            <w:vAlign w:val="bottom"/>
            <w:gridSpan w:val="2"/>
            <w:shd w:val="clear" w:color="auto" w:fill="DBDBDB"/>
          </w:tcPr>
          <w:p>
            <w:pPr>
              <w:ind w:left="500"/>
              <w:spacing w:after="0" w:line="139" w:lineRule="exact"/>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715,225</w:t>
            </w:r>
          </w:p>
        </w:tc>
        <w:tc>
          <w:tcPr>
            <w:tcW w:w="1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378,000</w:t>
            </w:r>
          </w:p>
        </w:tc>
        <w:tc>
          <w:tcPr>
            <w:tcW w:w="120" w:type="dxa"/>
            <w:vAlign w:val="bottom"/>
            <w:shd w:val="clear" w:color="auto" w:fill="DBDBDB"/>
          </w:tcPr>
          <w:p>
            <w:pPr>
              <w:spacing w:after="0"/>
              <w:rPr>
                <w:sz w:val="12"/>
                <w:szCs w:val="12"/>
                <w:color w:val="auto"/>
              </w:rPr>
            </w:pPr>
          </w:p>
        </w:tc>
        <w:tc>
          <w:tcPr>
            <w:tcW w:w="1160" w:type="dxa"/>
            <w:vAlign w:val="bottom"/>
            <w:shd w:val="clear" w:color="auto" w:fill="DBDBDB"/>
          </w:tcPr>
          <w:p>
            <w:pPr>
              <w:ind w:left="800"/>
              <w:spacing w:after="0" w:line="139" w:lineRule="exact"/>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44,299</w:t>
            </w:r>
          </w:p>
        </w:tc>
        <w:tc>
          <w:tcPr>
            <w:tcW w:w="26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1,637,524</w:t>
            </w:r>
          </w:p>
        </w:tc>
        <w:tc>
          <w:tcPr>
            <w:tcW w:w="0" w:type="dxa"/>
            <w:vAlign w:val="bottom"/>
          </w:tcPr>
          <w:p>
            <w:pPr>
              <w:spacing w:after="0"/>
              <w:rPr>
                <w:sz w:val="1"/>
                <w:szCs w:val="1"/>
                <w:color w:val="auto"/>
              </w:rPr>
            </w:pPr>
          </w:p>
        </w:tc>
      </w:tr>
      <w:tr>
        <w:trPr>
          <w:trHeight w:val="171"/>
        </w:trPr>
        <w:tc>
          <w:tcPr>
            <w:tcW w:w="2840" w:type="dxa"/>
            <w:vAlign w:val="bottom"/>
            <w:shd w:val="clear" w:color="auto" w:fill="DBDBDB"/>
          </w:tcPr>
          <w:p>
            <w:pPr>
              <w:ind w:left="20"/>
              <w:spacing w:after="0"/>
              <w:rPr>
                <w:sz w:val="20"/>
                <w:szCs w:val="20"/>
                <w:color w:val="auto"/>
              </w:rPr>
            </w:pPr>
            <w:r>
              <w:rPr>
                <w:rFonts w:ascii="Arial" w:cs="Arial" w:eastAsia="Arial" w:hAnsi="Arial"/>
                <w:sz w:val="13"/>
                <w:szCs w:val="13"/>
                <w:color w:val="auto"/>
                <w:w w:val="99"/>
              </w:rPr>
              <w:t>Senior Vice President and Chief Financial Officer</w:t>
            </w:r>
          </w:p>
        </w:tc>
        <w:tc>
          <w:tcPr>
            <w:tcW w:w="54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2021</w:t>
            </w:r>
          </w:p>
        </w:tc>
        <w:tc>
          <w:tcPr>
            <w:tcW w:w="180" w:type="dxa"/>
            <w:vAlign w:val="bottom"/>
            <w:shd w:val="clear" w:color="auto" w:fill="DBDBDB"/>
          </w:tcPr>
          <w:p>
            <w:pPr>
              <w:spacing w:after="0"/>
              <w:rPr>
                <w:sz w:val="14"/>
                <w:szCs w:val="14"/>
                <w:color w:val="auto"/>
              </w:rPr>
            </w:pPr>
          </w:p>
        </w:tc>
        <w:tc>
          <w:tcPr>
            <w:tcW w:w="8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457,045</w:t>
            </w:r>
          </w:p>
        </w:tc>
        <w:tc>
          <w:tcPr>
            <w:tcW w:w="180" w:type="dxa"/>
            <w:vAlign w:val="bottom"/>
            <w:shd w:val="clear" w:color="auto" w:fill="DBDBDB"/>
          </w:tcPr>
          <w:p>
            <w:pPr>
              <w:spacing w:after="0"/>
              <w:rPr>
                <w:sz w:val="14"/>
                <w:szCs w:val="14"/>
                <w:color w:val="auto"/>
              </w:rPr>
            </w:pPr>
          </w:p>
        </w:tc>
        <w:tc>
          <w:tcPr>
            <w:tcW w:w="900" w:type="dxa"/>
            <w:vAlign w:val="bottom"/>
            <w:gridSpan w:val="2"/>
            <w:vMerge w:val="restart"/>
            <w:shd w:val="clear" w:color="auto" w:fill="DBDBDB"/>
          </w:tcPr>
          <w:p>
            <w:pPr>
              <w:ind w:left="500"/>
              <w:spacing w:after="0"/>
              <w:rPr>
                <w:sz w:val="20"/>
                <w:szCs w:val="20"/>
                <w:color w:val="auto"/>
              </w:rPr>
            </w:pPr>
            <w:r>
              <w:rPr>
                <w:rFonts w:ascii="Arial" w:cs="Arial" w:eastAsia="Arial" w:hAnsi="Arial"/>
                <w:sz w:val="13"/>
                <w:szCs w:val="13"/>
                <w:color w:val="auto"/>
              </w:rPr>
              <w:t>—</w:t>
            </w:r>
          </w:p>
        </w:tc>
        <w:tc>
          <w:tcPr>
            <w:tcW w:w="98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440,006</w:t>
            </w:r>
          </w:p>
        </w:tc>
        <w:tc>
          <w:tcPr>
            <w:tcW w:w="120" w:type="dxa"/>
            <w:vAlign w:val="bottom"/>
            <w:shd w:val="clear" w:color="auto" w:fill="DBDBDB"/>
          </w:tcPr>
          <w:p>
            <w:pPr>
              <w:spacing w:after="0"/>
              <w:rPr>
                <w:sz w:val="14"/>
                <w:szCs w:val="14"/>
                <w:color w:val="auto"/>
              </w:rPr>
            </w:pPr>
          </w:p>
        </w:tc>
        <w:tc>
          <w:tcPr>
            <w:tcW w:w="112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149,819</w:t>
            </w:r>
          </w:p>
        </w:tc>
        <w:tc>
          <w:tcPr>
            <w:tcW w:w="120" w:type="dxa"/>
            <w:vAlign w:val="bottom"/>
            <w:shd w:val="clear" w:color="auto" w:fill="DBDBDB"/>
          </w:tcPr>
          <w:p>
            <w:pPr>
              <w:spacing w:after="0"/>
              <w:rPr>
                <w:sz w:val="14"/>
                <w:szCs w:val="14"/>
                <w:color w:val="auto"/>
              </w:rPr>
            </w:pPr>
          </w:p>
        </w:tc>
        <w:tc>
          <w:tcPr>
            <w:tcW w:w="1160" w:type="dxa"/>
            <w:vAlign w:val="bottom"/>
            <w:vMerge w:val="restart"/>
            <w:shd w:val="clear" w:color="auto" w:fill="DBDBDB"/>
          </w:tcPr>
          <w:p>
            <w:pPr>
              <w:ind w:left="800"/>
              <w:spacing w:after="0"/>
              <w:rPr>
                <w:sz w:val="20"/>
                <w:szCs w:val="20"/>
                <w:color w:val="auto"/>
              </w:rPr>
            </w:pPr>
            <w:r>
              <w:rPr>
                <w:rFonts w:ascii="Arial" w:cs="Arial" w:eastAsia="Arial" w:hAnsi="Arial"/>
                <w:sz w:val="13"/>
                <w:szCs w:val="13"/>
                <w:color w:val="auto"/>
              </w:rPr>
              <w:t>—</w:t>
            </w:r>
          </w:p>
        </w:tc>
        <w:tc>
          <w:tcPr>
            <w:tcW w:w="120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45,773</w:t>
            </w:r>
          </w:p>
        </w:tc>
        <w:tc>
          <w:tcPr>
            <w:tcW w:w="260" w:type="dxa"/>
            <w:vAlign w:val="bottom"/>
            <w:shd w:val="clear" w:color="auto" w:fill="DBDBDB"/>
          </w:tcPr>
          <w:p>
            <w:pPr>
              <w:spacing w:after="0"/>
              <w:rPr>
                <w:sz w:val="14"/>
                <w:szCs w:val="14"/>
                <w:color w:val="auto"/>
              </w:rPr>
            </w:pPr>
          </w:p>
        </w:tc>
        <w:tc>
          <w:tcPr>
            <w:tcW w:w="860" w:type="dxa"/>
            <w:vAlign w:val="bottom"/>
            <w:vMerge w:val="restart"/>
            <w:shd w:val="clear" w:color="auto" w:fill="DBDBDB"/>
          </w:tcPr>
          <w:p>
            <w:pPr>
              <w:jc w:val="right"/>
              <w:spacing w:after="0"/>
              <w:rPr>
                <w:sz w:val="20"/>
                <w:szCs w:val="20"/>
                <w:color w:val="auto"/>
              </w:rPr>
            </w:pPr>
            <w:r>
              <w:rPr>
                <w:rFonts w:ascii="Arial" w:cs="Arial" w:eastAsia="Arial" w:hAnsi="Arial"/>
                <w:sz w:val="13"/>
                <w:szCs w:val="13"/>
                <w:color w:val="auto"/>
              </w:rPr>
              <w:t>1,092,643</w:t>
            </w:r>
          </w:p>
        </w:tc>
        <w:tc>
          <w:tcPr>
            <w:tcW w:w="0" w:type="dxa"/>
            <w:vAlign w:val="bottom"/>
          </w:tcPr>
          <w:p>
            <w:pPr>
              <w:spacing w:after="0"/>
              <w:rPr>
                <w:sz w:val="1"/>
                <w:szCs w:val="1"/>
                <w:color w:val="auto"/>
              </w:rPr>
            </w:pPr>
          </w:p>
        </w:tc>
      </w:tr>
      <w:tr>
        <w:trPr>
          <w:trHeight w:val="61"/>
        </w:trPr>
        <w:tc>
          <w:tcPr>
            <w:tcW w:w="2840" w:type="dxa"/>
            <w:vAlign w:val="bottom"/>
            <w:shd w:val="clear" w:color="auto" w:fill="DBDBDB"/>
          </w:tcPr>
          <w:p>
            <w:pPr>
              <w:spacing w:after="0"/>
              <w:rPr>
                <w:sz w:val="5"/>
                <w:szCs w:val="5"/>
                <w:color w:val="auto"/>
              </w:rPr>
            </w:pPr>
          </w:p>
        </w:tc>
        <w:tc>
          <w:tcPr>
            <w:tcW w:w="540" w:type="dxa"/>
            <w:vAlign w:val="bottom"/>
            <w:vMerge w:val="continue"/>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800" w:type="dxa"/>
            <w:vAlign w:val="bottom"/>
            <w:vMerge w:val="continue"/>
            <w:shd w:val="clear" w:color="auto" w:fill="DBDBDB"/>
          </w:tcPr>
          <w:p>
            <w:pPr>
              <w:spacing w:after="0"/>
              <w:rPr>
                <w:sz w:val="5"/>
                <w:szCs w:val="5"/>
                <w:color w:val="auto"/>
              </w:rPr>
            </w:pPr>
          </w:p>
        </w:tc>
        <w:tc>
          <w:tcPr>
            <w:tcW w:w="180" w:type="dxa"/>
            <w:vAlign w:val="bottom"/>
            <w:shd w:val="clear" w:color="auto" w:fill="DBDBDB"/>
          </w:tcPr>
          <w:p>
            <w:pPr>
              <w:spacing w:after="0"/>
              <w:rPr>
                <w:sz w:val="5"/>
                <w:szCs w:val="5"/>
                <w:color w:val="auto"/>
              </w:rPr>
            </w:pPr>
          </w:p>
        </w:tc>
        <w:tc>
          <w:tcPr>
            <w:tcW w:w="900" w:type="dxa"/>
            <w:vAlign w:val="bottom"/>
            <w:gridSpan w:val="2"/>
            <w:vMerge w:val="continue"/>
            <w:shd w:val="clear" w:color="auto" w:fill="DBDBDB"/>
          </w:tcPr>
          <w:p>
            <w:pPr>
              <w:spacing w:after="0"/>
              <w:rPr>
                <w:sz w:val="5"/>
                <w:szCs w:val="5"/>
                <w:color w:val="auto"/>
              </w:rPr>
            </w:pPr>
          </w:p>
        </w:tc>
        <w:tc>
          <w:tcPr>
            <w:tcW w:w="980" w:type="dxa"/>
            <w:vAlign w:val="bottom"/>
            <w:vMerge w:val="continue"/>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120" w:type="dxa"/>
            <w:vAlign w:val="bottom"/>
            <w:vMerge w:val="continue"/>
            <w:shd w:val="clear" w:color="auto" w:fill="DBDBDB"/>
          </w:tcPr>
          <w:p>
            <w:pPr>
              <w:spacing w:after="0"/>
              <w:rPr>
                <w:sz w:val="5"/>
                <w:szCs w:val="5"/>
                <w:color w:val="auto"/>
              </w:rPr>
            </w:pPr>
          </w:p>
        </w:tc>
        <w:tc>
          <w:tcPr>
            <w:tcW w:w="120" w:type="dxa"/>
            <w:vAlign w:val="bottom"/>
            <w:shd w:val="clear" w:color="auto" w:fill="DBDBDB"/>
          </w:tcPr>
          <w:p>
            <w:pPr>
              <w:spacing w:after="0"/>
              <w:rPr>
                <w:sz w:val="5"/>
                <w:szCs w:val="5"/>
                <w:color w:val="auto"/>
              </w:rPr>
            </w:pPr>
          </w:p>
        </w:tc>
        <w:tc>
          <w:tcPr>
            <w:tcW w:w="1160" w:type="dxa"/>
            <w:vAlign w:val="bottom"/>
            <w:vMerge w:val="continue"/>
            <w:shd w:val="clear" w:color="auto" w:fill="DBDBDB"/>
          </w:tcPr>
          <w:p>
            <w:pPr>
              <w:spacing w:after="0"/>
              <w:rPr>
                <w:sz w:val="5"/>
                <w:szCs w:val="5"/>
                <w:color w:val="auto"/>
              </w:rPr>
            </w:pPr>
          </w:p>
        </w:tc>
        <w:tc>
          <w:tcPr>
            <w:tcW w:w="1200" w:type="dxa"/>
            <w:vAlign w:val="bottom"/>
            <w:vMerge w:val="continue"/>
            <w:shd w:val="clear" w:color="auto" w:fill="DBDBDB"/>
          </w:tcPr>
          <w:p>
            <w:pPr>
              <w:spacing w:after="0"/>
              <w:rPr>
                <w:sz w:val="5"/>
                <w:szCs w:val="5"/>
                <w:color w:val="auto"/>
              </w:rPr>
            </w:pPr>
          </w:p>
        </w:tc>
        <w:tc>
          <w:tcPr>
            <w:tcW w:w="260" w:type="dxa"/>
            <w:vAlign w:val="bottom"/>
            <w:shd w:val="clear" w:color="auto" w:fill="DBDBDB"/>
          </w:tcPr>
          <w:p>
            <w:pPr>
              <w:spacing w:after="0"/>
              <w:rPr>
                <w:sz w:val="5"/>
                <w:szCs w:val="5"/>
                <w:color w:val="auto"/>
              </w:rPr>
            </w:pPr>
          </w:p>
        </w:tc>
        <w:tc>
          <w:tcPr>
            <w:tcW w:w="860" w:type="dxa"/>
            <w:vAlign w:val="bottom"/>
            <w:vMerge w:val="continue"/>
            <w:shd w:val="clear" w:color="auto" w:fill="DBDBDB"/>
          </w:tcPr>
          <w:p>
            <w:pPr>
              <w:spacing w:after="0"/>
              <w:rPr>
                <w:sz w:val="5"/>
                <w:szCs w:val="5"/>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800" w:type="dxa"/>
            <w:vAlign w:val="bottom"/>
            <w:shd w:val="clear" w:color="auto" w:fill="DBDBDB"/>
          </w:tcPr>
          <w:p>
            <w:pPr>
              <w:spacing w:after="0"/>
              <w:rPr>
                <w:sz w:val="13"/>
                <w:szCs w:val="13"/>
                <w:color w:val="auto"/>
              </w:rPr>
            </w:pPr>
          </w:p>
        </w:tc>
        <w:tc>
          <w:tcPr>
            <w:tcW w:w="180" w:type="dxa"/>
            <w:vAlign w:val="bottom"/>
            <w:shd w:val="clear" w:color="auto" w:fill="DBDBDB"/>
          </w:tcPr>
          <w:p>
            <w:pPr>
              <w:spacing w:after="0"/>
              <w:rPr>
                <w:sz w:val="13"/>
                <w:szCs w:val="13"/>
                <w:color w:val="auto"/>
              </w:rPr>
            </w:pPr>
          </w:p>
        </w:tc>
        <w:tc>
          <w:tcPr>
            <w:tcW w:w="690" w:type="dxa"/>
            <w:vAlign w:val="bottom"/>
            <w:shd w:val="clear" w:color="auto" w:fill="DBDBDB"/>
          </w:tcPr>
          <w:p>
            <w:pPr>
              <w:spacing w:after="0"/>
              <w:rPr>
                <w:sz w:val="13"/>
                <w:szCs w:val="13"/>
                <w:color w:val="auto"/>
              </w:rPr>
            </w:pPr>
          </w:p>
        </w:tc>
        <w:tc>
          <w:tcPr>
            <w:tcW w:w="21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20" w:type="dxa"/>
            <w:vAlign w:val="bottom"/>
            <w:shd w:val="clear" w:color="auto" w:fill="DBDBDB"/>
          </w:tcPr>
          <w:p>
            <w:pPr>
              <w:spacing w:after="0"/>
              <w:rPr>
                <w:sz w:val="13"/>
                <w:szCs w:val="13"/>
                <w:color w:val="auto"/>
              </w:rPr>
            </w:pPr>
          </w:p>
        </w:tc>
        <w:tc>
          <w:tcPr>
            <w:tcW w:w="120" w:type="dxa"/>
            <w:vAlign w:val="bottom"/>
            <w:shd w:val="clear" w:color="auto" w:fill="DBDBDB"/>
          </w:tcPr>
          <w:p>
            <w:pPr>
              <w:spacing w:after="0"/>
              <w:rPr>
                <w:sz w:val="13"/>
                <w:szCs w:val="13"/>
                <w:color w:val="auto"/>
              </w:rPr>
            </w:pPr>
          </w:p>
        </w:tc>
        <w:tc>
          <w:tcPr>
            <w:tcW w:w="1160" w:type="dxa"/>
            <w:vAlign w:val="bottom"/>
            <w:shd w:val="clear" w:color="auto" w:fill="DBDBDB"/>
          </w:tcPr>
          <w:p>
            <w:pPr>
              <w:spacing w:after="0"/>
              <w:rPr>
                <w:sz w:val="13"/>
                <w:szCs w:val="13"/>
                <w:color w:val="auto"/>
              </w:rPr>
            </w:pPr>
          </w:p>
        </w:tc>
        <w:tc>
          <w:tcPr>
            <w:tcW w:w="12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860" w:type="dxa"/>
            <w:vAlign w:val="bottom"/>
            <w:shd w:val="clear" w:color="auto" w:fill="DBDBDB"/>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8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Thomas E. McCabe</w:t>
            </w:r>
            <w:r>
              <w:rPr>
                <w:rFonts w:ascii="Arial" w:cs="Arial" w:eastAsia="Arial" w:hAnsi="Arial"/>
                <w:sz w:val="8"/>
                <w:szCs w:val="8"/>
                <w:b w:val="1"/>
                <w:bCs w:val="1"/>
                <w:color w:val="auto"/>
              </w:rPr>
              <w:t>(6)</w:t>
            </w: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auto"/>
              </w:rPr>
              <w:t>2022</w:t>
            </w:r>
          </w:p>
        </w:tc>
        <w:tc>
          <w:tcPr>
            <w:tcW w:w="18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3"/>
                <w:szCs w:val="13"/>
                <w:color w:val="auto"/>
              </w:rPr>
              <w:t>545,000</w:t>
            </w:r>
          </w:p>
        </w:tc>
        <w:tc>
          <w:tcPr>
            <w:tcW w:w="180" w:type="dxa"/>
            <w:vAlign w:val="bottom"/>
          </w:tcPr>
          <w:p>
            <w:pPr>
              <w:spacing w:after="0"/>
              <w:rPr>
                <w:sz w:val="12"/>
                <w:szCs w:val="12"/>
                <w:color w:val="auto"/>
              </w:rPr>
            </w:pPr>
          </w:p>
        </w:tc>
        <w:tc>
          <w:tcPr>
            <w:tcW w:w="9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9" w:lineRule="exact"/>
              <w:rPr>
                <w:sz w:val="20"/>
                <w:szCs w:val="20"/>
                <w:color w:val="auto"/>
              </w:rPr>
            </w:pPr>
            <w:r>
              <w:rPr>
                <w:rFonts w:ascii="Arial" w:cs="Arial" w:eastAsia="Arial" w:hAnsi="Arial"/>
                <w:sz w:val="13"/>
                <w:szCs w:val="13"/>
                <w:color w:val="auto"/>
              </w:rPr>
              <w:t>613,050</w:t>
            </w:r>
          </w:p>
        </w:tc>
        <w:tc>
          <w:tcPr>
            <w:tcW w:w="12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60" w:type="dxa"/>
            <w:vAlign w:val="bottom"/>
          </w:tcPr>
          <w:p>
            <w:pPr>
              <w:ind w:left="800"/>
              <w:spacing w:after="0" w:line="139"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39" w:lineRule="exact"/>
              <w:rPr>
                <w:sz w:val="20"/>
                <w:szCs w:val="20"/>
                <w:color w:val="auto"/>
              </w:rPr>
            </w:pPr>
            <w:r>
              <w:rPr>
                <w:rFonts w:ascii="Arial" w:cs="Arial" w:eastAsia="Arial" w:hAnsi="Arial"/>
                <w:sz w:val="13"/>
                <w:szCs w:val="13"/>
                <w:color w:val="auto"/>
              </w:rPr>
              <w:t>145,638</w:t>
            </w:r>
          </w:p>
        </w:tc>
        <w:tc>
          <w:tcPr>
            <w:tcW w:w="26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1,303,688</w:t>
            </w:r>
          </w:p>
        </w:tc>
        <w:tc>
          <w:tcPr>
            <w:tcW w:w="0" w:type="dxa"/>
            <w:vAlign w:val="bottom"/>
          </w:tcPr>
          <w:p>
            <w:pPr>
              <w:spacing w:after="0"/>
              <w:rPr>
                <w:sz w:val="1"/>
                <w:szCs w:val="1"/>
                <w:color w:val="auto"/>
              </w:rPr>
            </w:pPr>
          </w:p>
        </w:tc>
      </w:tr>
      <w:tr>
        <w:trPr>
          <w:trHeight w:val="134"/>
        </w:trPr>
        <w:tc>
          <w:tcPr>
            <w:tcW w:w="2840" w:type="dxa"/>
            <w:vAlign w:val="bottom"/>
          </w:tcPr>
          <w:p>
            <w:pPr>
              <w:ind w:left="20"/>
              <w:spacing w:after="0" w:line="134" w:lineRule="exact"/>
              <w:rPr>
                <w:sz w:val="20"/>
                <w:szCs w:val="20"/>
                <w:color w:val="auto"/>
              </w:rPr>
            </w:pPr>
            <w:r>
              <w:rPr>
                <w:rFonts w:ascii="Arial" w:cs="Arial" w:eastAsia="Arial" w:hAnsi="Arial"/>
                <w:sz w:val="13"/>
                <w:szCs w:val="13"/>
                <w:color w:val="auto"/>
              </w:rPr>
              <w:t>Senior Vice President, General Counsel, Chief</w:t>
            </w: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2021</w:t>
            </w:r>
          </w:p>
        </w:tc>
        <w:tc>
          <w:tcPr>
            <w:tcW w:w="18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542,500</w:t>
            </w:r>
          </w:p>
        </w:tc>
        <w:tc>
          <w:tcPr>
            <w:tcW w:w="180" w:type="dxa"/>
            <w:vAlign w:val="bottom"/>
          </w:tcPr>
          <w:p>
            <w:pPr>
              <w:spacing w:after="0"/>
              <w:rPr>
                <w:sz w:val="11"/>
                <w:szCs w:val="11"/>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599,927</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239,022</w:t>
            </w:r>
          </w:p>
        </w:tc>
        <w:tc>
          <w:tcPr>
            <w:tcW w:w="120" w:type="dxa"/>
            <w:vAlign w:val="bottom"/>
          </w:tcPr>
          <w:p>
            <w:pPr>
              <w:spacing w:after="0"/>
              <w:rPr>
                <w:sz w:val="11"/>
                <w:szCs w:val="11"/>
                <w:color w:val="auto"/>
              </w:rPr>
            </w:pPr>
          </w:p>
        </w:tc>
        <w:tc>
          <w:tcPr>
            <w:tcW w:w="1160" w:type="dxa"/>
            <w:vAlign w:val="bottom"/>
            <w:vMerge w:val="restart"/>
          </w:tcPr>
          <w:p>
            <w:pPr>
              <w:ind w:left="800"/>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59,712</w:t>
            </w:r>
          </w:p>
        </w:tc>
        <w:tc>
          <w:tcPr>
            <w:tcW w:w="26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1,441,161</w:t>
            </w:r>
          </w:p>
        </w:tc>
        <w:tc>
          <w:tcPr>
            <w:tcW w:w="0" w:type="dxa"/>
            <w:vAlign w:val="bottom"/>
          </w:tcPr>
          <w:p>
            <w:pPr>
              <w:spacing w:after="0"/>
              <w:rPr>
                <w:sz w:val="1"/>
                <w:szCs w:val="1"/>
                <w:color w:val="auto"/>
              </w:rPr>
            </w:pPr>
          </w:p>
        </w:tc>
      </w:tr>
      <w:tr>
        <w:trPr>
          <w:trHeight w:val="98"/>
        </w:trPr>
        <w:tc>
          <w:tcPr>
            <w:tcW w:w="2840" w:type="dxa"/>
            <w:vAlign w:val="bottom"/>
            <w:vMerge w:val="restart"/>
          </w:tcPr>
          <w:p>
            <w:pPr>
              <w:ind w:left="20"/>
              <w:spacing w:after="0"/>
              <w:rPr>
                <w:sz w:val="20"/>
                <w:szCs w:val="20"/>
                <w:color w:val="auto"/>
              </w:rPr>
            </w:pPr>
            <w:r>
              <w:rPr>
                <w:rFonts w:ascii="Arial" w:cs="Arial" w:eastAsia="Arial" w:hAnsi="Arial"/>
                <w:sz w:val="13"/>
                <w:szCs w:val="13"/>
                <w:color w:val="auto"/>
              </w:rPr>
              <w:t>Compliance Officer and Secretary</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3"/>
        </w:trPr>
        <w:tc>
          <w:tcPr>
            <w:tcW w:w="2840" w:type="dxa"/>
            <w:vAlign w:val="bottom"/>
            <w:vMerge w:val="continue"/>
          </w:tcPr>
          <w:p>
            <w:pPr>
              <w:spacing w:after="0"/>
              <w:rPr>
                <w:sz w:val="6"/>
                <w:szCs w:val="6"/>
                <w:color w:val="auto"/>
              </w:rPr>
            </w:pPr>
          </w:p>
        </w:tc>
        <w:tc>
          <w:tcPr>
            <w:tcW w:w="540" w:type="dxa"/>
            <w:vAlign w:val="bottom"/>
            <w:vMerge w:val="restart"/>
          </w:tcPr>
          <w:p>
            <w:pPr>
              <w:jc w:val="right"/>
              <w:spacing w:after="0"/>
              <w:rPr>
                <w:sz w:val="20"/>
                <w:szCs w:val="20"/>
                <w:color w:val="auto"/>
              </w:rPr>
            </w:pPr>
            <w:r>
              <w:rPr>
                <w:rFonts w:ascii="Arial" w:cs="Arial" w:eastAsia="Arial" w:hAnsi="Arial"/>
                <w:sz w:val="13"/>
                <w:szCs w:val="13"/>
                <w:color w:val="auto"/>
              </w:rPr>
              <w:t>2020</w:t>
            </w:r>
          </w:p>
        </w:tc>
        <w:tc>
          <w:tcPr>
            <w:tcW w:w="180" w:type="dxa"/>
            <w:vAlign w:val="bottom"/>
          </w:tcPr>
          <w:p>
            <w:pPr>
              <w:spacing w:after="0"/>
              <w:rPr>
                <w:sz w:val="6"/>
                <w:szCs w:val="6"/>
                <w:color w:val="auto"/>
              </w:rPr>
            </w:pPr>
          </w:p>
        </w:tc>
        <w:tc>
          <w:tcPr>
            <w:tcW w:w="800" w:type="dxa"/>
            <w:vAlign w:val="bottom"/>
            <w:vMerge w:val="restart"/>
          </w:tcPr>
          <w:p>
            <w:pPr>
              <w:jc w:val="right"/>
              <w:spacing w:after="0"/>
              <w:rPr>
                <w:sz w:val="20"/>
                <w:szCs w:val="20"/>
                <w:color w:val="auto"/>
              </w:rPr>
            </w:pPr>
            <w:r>
              <w:rPr>
                <w:rFonts w:ascii="Arial" w:cs="Arial" w:eastAsia="Arial" w:hAnsi="Arial"/>
                <w:sz w:val="13"/>
                <w:szCs w:val="13"/>
                <w:color w:val="auto"/>
              </w:rPr>
              <w:t>532,500</w:t>
            </w:r>
          </w:p>
        </w:tc>
        <w:tc>
          <w:tcPr>
            <w:tcW w:w="180" w:type="dxa"/>
            <w:vAlign w:val="bottom"/>
          </w:tcPr>
          <w:p>
            <w:pPr>
              <w:spacing w:after="0"/>
              <w:rPr>
                <w:sz w:val="6"/>
                <w:szCs w:val="6"/>
                <w:color w:val="auto"/>
              </w:rPr>
            </w:pPr>
          </w:p>
        </w:tc>
        <w:tc>
          <w:tcPr>
            <w:tcW w:w="900" w:type="dxa"/>
            <w:vAlign w:val="bottom"/>
            <w:gridSpan w:val="2"/>
            <w:vMerge w:val="restart"/>
          </w:tcPr>
          <w:p>
            <w:pPr>
              <w:ind w:left="500"/>
              <w:spacing w:after="0"/>
              <w:rPr>
                <w:sz w:val="20"/>
                <w:szCs w:val="20"/>
                <w:color w:val="auto"/>
              </w:rPr>
            </w:pPr>
            <w:r>
              <w:rPr>
                <w:rFonts w:ascii="Arial" w:cs="Arial" w:eastAsia="Arial" w:hAnsi="Arial"/>
                <w:sz w:val="13"/>
                <w:szCs w:val="13"/>
                <w:color w:val="auto"/>
              </w:rPr>
              <w:t>—</w:t>
            </w: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599,945</w:t>
            </w:r>
          </w:p>
        </w:tc>
        <w:tc>
          <w:tcPr>
            <w:tcW w:w="120" w:type="dxa"/>
            <w:vAlign w:val="bottom"/>
          </w:tcPr>
          <w:p>
            <w:pPr>
              <w:spacing w:after="0"/>
              <w:rPr>
                <w:sz w:val="6"/>
                <w:szCs w:val="6"/>
                <w:color w:val="auto"/>
              </w:rPr>
            </w:pPr>
          </w:p>
        </w:tc>
        <w:tc>
          <w:tcPr>
            <w:tcW w:w="1120" w:type="dxa"/>
            <w:vAlign w:val="bottom"/>
            <w:vMerge w:val="restart"/>
          </w:tcPr>
          <w:p>
            <w:pPr>
              <w:jc w:val="right"/>
              <w:spacing w:after="0"/>
              <w:rPr>
                <w:sz w:val="20"/>
                <w:szCs w:val="20"/>
                <w:color w:val="auto"/>
              </w:rPr>
            </w:pPr>
            <w:r>
              <w:rPr>
                <w:rFonts w:ascii="Arial" w:cs="Arial" w:eastAsia="Arial" w:hAnsi="Arial"/>
                <w:sz w:val="13"/>
                <w:szCs w:val="13"/>
                <w:color w:val="auto"/>
              </w:rPr>
              <w:t>484,194</w:t>
            </w:r>
          </w:p>
        </w:tc>
        <w:tc>
          <w:tcPr>
            <w:tcW w:w="120" w:type="dxa"/>
            <w:vAlign w:val="bottom"/>
          </w:tcPr>
          <w:p>
            <w:pPr>
              <w:spacing w:after="0"/>
              <w:rPr>
                <w:sz w:val="6"/>
                <w:szCs w:val="6"/>
                <w:color w:val="auto"/>
              </w:rPr>
            </w:pPr>
          </w:p>
        </w:tc>
        <w:tc>
          <w:tcPr>
            <w:tcW w:w="1160" w:type="dxa"/>
            <w:vAlign w:val="bottom"/>
            <w:vMerge w:val="restart"/>
          </w:tcPr>
          <w:p>
            <w:pPr>
              <w:ind w:left="800"/>
              <w:spacing w:after="0"/>
              <w:rPr>
                <w:sz w:val="20"/>
                <w:szCs w:val="20"/>
                <w:color w:val="auto"/>
              </w:rPr>
            </w:pPr>
            <w:r>
              <w:rPr>
                <w:rFonts w:ascii="Arial" w:cs="Arial" w:eastAsia="Arial" w:hAnsi="Arial"/>
                <w:sz w:val="13"/>
                <w:szCs w:val="13"/>
                <w:color w:val="auto"/>
              </w:rPr>
              <w:t>—</w:t>
            </w:r>
          </w:p>
        </w:tc>
        <w:tc>
          <w:tcPr>
            <w:tcW w:w="1200" w:type="dxa"/>
            <w:vAlign w:val="bottom"/>
            <w:vMerge w:val="restart"/>
          </w:tcPr>
          <w:p>
            <w:pPr>
              <w:jc w:val="right"/>
              <w:spacing w:after="0"/>
              <w:rPr>
                <w:sz w:val="20"/>
                <w:szCs w:val="20"/>
                <w:color w:val="auto"/>
              </w:rPr>
            </w:pPr>
            <w:r>
              <w:rPr>
                <w:rFonts w:ascii="Arial" w:cs="Arial" w:eastAsia="Arial" w:hAnsi="Arial"/>
                <w:sz w:val="13"/>
                <w:szCs w:val="13"/>
                <w:color w:val="auto"/>
              </w:rPr>
              <w:t>47,664</w:t>
            </w:r>
          </w:p>
        </w:tc>
        <w:tc>
          <w:tcPr>
            <w:tcW w:w="260" w:type="dxa"/>
            <w:vAlign w:val="bottom"/>
          </w:tcPr>
          <w:p>
            <w:pPr>
              <w:spacing w:after="0"/>
              <w:rPr>
                <w:sz w:val="6"/>
                <w:szCs w:val="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color w:val="auto"/>
              </w:rPr>
              <w:t>1,664,303</w:t>
            </w:r>
          </w:p>
        </w:tc>
        <w:tc>
          <w:tcPr>
            <w:tcW w:w="0" w:type="dxa"/>
            <w:vAlign w:val="bottom"/>
          </w:tcPr>
          <w:p>
            <w:pPr>
              <w:spacing w:after="0"/>
              <w:rPr>
                <w:sz w:val="1"/>
                <w:szCs w:val="1"/>
                <w:color w:val="auto"/>
              </w:rPr>
            </w:pPr>
          </w:p>
        </w:tc>
      </w:tr>
      <w:tr>
        <w:trPr>
          <w:trHeight w:val="122"/>
        </w:trPr>
        <w:tc>
          <w:tcPr>
            <w:tcW w:w="284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8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0" w:type="dxa"/>
            <w:vAlign w:val="bottom"/>
          </w:tcPr>
          <w:p>
            <w:pPr>
              <w:spacing w:after="0"/>
              <w:rPr>
                <w:sz w:val="4"/>
                <w:szCs w:val="4"/>
                <w:color w:val="auto"/>
              </w:rPr>
            </w:pPr>
          </w:p>
        </w:tc>
        <w:tc>
          <w:tcPr>
            <w:tcW w:w="690" w:type="dxa"/>
            <w:vAlign w:val="bottom"/>
          </w:tcPr>
          <w:p>
            <w:pPr>
              <w:spacing w:after="0"/>
              <w:rPr>
                <w:sz w:val="4"/>
                <w:szCs w:val="4"/>
                <w:color w:val="auto"/>
              </w:rPr>
            </w:pPr>
          </w:p>
        </w:tc>
        <w:tc>
          <w:tcPr>
            <w:tcW w:w="21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840" w:type="dxa"/>
            <w:vAlign w:val="bottom"/>
            <w:shd w:val="clear" w:color="auto" w:fill="DBDBDB"/>
          </w:tcPr>
          <w:p>
            <w:pPr>
              <w:ind w:left="20"/>
              <w:spacing w:after="0" w:line="139" w:lineRule="exact"/>
              <w:rPr>
                <w:sz w:val="20"/>
                <w:szCs w:val="20"/>
                <w:color w:val="auto"/>
              </w:rPr>
            </w:pPr>
            <w:r>
              <w:rPr>
                <w:rFonts w:ascii="Arial" w:cs="Arial" w:eastAsia="Arial" w:hAnsi="Arial"/>
                <w:sz w:val="13"/>
                <w:szCs w:val="13"/>
                <w:b w:val="1"/>
                <w:bCs w:val="1"/>
                <w:color w:val="auto"/>
              </w:rPr>
              <w:t>Kevin M. McCoy</w:t>
            </w:r>
            <w:r>
              <w:rPr>
                <w:rFonts w:ascii="Arial" w:cs="Arial" w:eastAsia="Arial" w:hAnsi="Arial"/>
                <w:sz w:val="8"/>
                <w:szCs w:val="8"/>
                <w:b w:val="1"/>
                <w:bCs w:val="1"/>
                <w:color w:val="auto"/>
              </w:rPr>
              <w:t>(7)</w:t>
            </w:r>
          </w:p>
        </w:tc>
        <w:tc>
          <w:tcPr>
            <w:tcW w:w="54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2022</w:t>
            </w:r>
          </w:p>
        </w:tc>
        <w:tc>
          <w:tcPr>
            <w:tcW w:w="180" w:type="dxa"/>
            <w:vAlign w:val="bottom"/>
            <w:shd w:val="clear" w:color="auto" w:fill="DBDBDB"/>
          </w:tcPr>
          <w:p>
            <w:pPr>
              <w:spacing w:after="0"/>
              <w:rPr>
                <w:sz w:val="12"/>
                <w:szCs w:val="12"/>
                <w:color w:val="auto"/>
              </w:rPr>
            </w:pPr>
          </w:p>
        </w:tc>
        <w:tc>
          <w:tcPr>
            <w:tcW w:w="80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735,000</w:t>
            </w:r>
          </w:p>
        </w:tc>
        <w:tc>
          <w:tcPr>
            <w:tcW w:w="180" w:type="dxa"/>
            <w:vAlign w:val="bottom"/>
            <w:shd w:val="clear" w:color="auto" w:fill="DBDBDB"/>
          </w:tcPr>
          <w:p>
            <w:pPr>
              <w:spacing w:after="0"/>
              <w:rPr>
                <w:sz w:val="12"/>
                <w:szCs w:val="12"/>
                <w:color w:val="auto"/>
              </w:rPr>
            </w:pPr>
          </w:p>
        </w:tc>
        <w:tc>
          <w:tcPr>
            <w:tcW w:w="900" w:type="dxa"/>
            <w:vAlign w:val="bottom"/>
            <w:gridSpan w:val="2"/>
            <w:shd w:val="clear" w:color="auto" w:fill="DBDBDB"/>
          </w:tcPr>
          <w:p>
            <w:pPr>
              <w:ind w:left="500"/>
              <w:spacing w:after="0" w:line="139" w:lineRule="exact"/>
              <w:rPr>
                <w:sz w:val="20"/>
                <w:szCs w:val="20"/>
                <w:color w:val="auto"/>
              </w:rPr>
            </w:pPr>
            <w:r>
              <w:rPr>
                <w:rFonts w:ascii="Arial" w:cs="Arial" w:eastAsia="Arial" w:hAnsi="Arial"/>
                <w:sz w:val="13"/>
                <w:szCs w:val="13"/>
                <w:color w:val="auto"/>
              </w:rPr>
              <w:t>—</w:t>
            </w:r>
          </w:p>
        </w:tc>
        <w:tc>
          <w:tcPr>
            <w:tcW w:w="98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357,547</w:t>
            </w:r>
          </w:p>
        </w:tc>
        <w:tc>
          <w:tcPr>
            <w:tcW w:w="120" w:type="dxa"/>
            <w:vAlign w:val="bottom"/>
            <w:shd w:val="clear" w:color="auto" w:fill="DBDBDB"/>
          </w:tcPr>
          <w:p>
            <w:pPr>
              <w:spacing w:after="0"/>
              <w:rPr>
                <w:sz w:val="12"/>
                <w:szCs w:val="12"/>
                <w:color w:val="auto"/>
              </w:rPr>
            </w:pPr>
          </w:p>
        </w:tc>
        <w:tc>
          <w:tcPr>
            <w:tcW w:w="112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472,973</w:t>
            </w:r>
          </w:p>
        </w:tc>
        <w:tc>
          <w:tcPr>
            <w:tcW w:w="120" w:type="dxa"/>
            <w:vAlign w:val="bottom"/>
            <w:shd w:val="clear" w:color="auto" w:fill="DBDBDB"/>
          </w:tcPr>
          <w:p>
            <w:pPr>
              <w:spacing w:after="0"/>
              <w:rPr>
                <w:sz w:val="12"/>
                <w:szCs w:val="12"/>
                <w:color w:val="auto"/>
              </w:rPr>
            </w:pPr>
          </w:p>
        </w:tc>
        <w:tc>
          <w:tcPr>
            <w:tcW w:w="1160" w:type="dxa"/>
            <w:vAlign w:val="bottom"/>
            <w:shd w:val="clear" w:color="auto" w:fill="DBDBDB"/>
          </w:tcPr>
          <w:p>
            <w:pPr>
              <w:ind w:left="800"/>
              <w:spacing w:after="0" w:line="139" w:lineRule="exact"/>
              <w:rPr>
                <w:sz w:val="20"/>
                <w:szCs w:val="20"/>
                <w:color w:val="auto"/>
              </w:rPr>
            </w:pPr>
            <w:r>
              <w:rPr>
                <w:rFonts w:ascii="Arial" w:cs="Arial" w:eastAsia="Arial" w:hAnsi="Arial"/>
                <w:sz w:val="13"/>
                <w:szCs w:val="13"/>
                <w:color w:val="auto"/>
              </w:rPr>
              <w:t>—</w:t>
            </w:r>
          </w:p>
        </w:tc>
        <w:tc>
          <w:tcPr>
            <w:tcW w:w="120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44,100</w:t>
            </w:r>
          </w:p>
        </w:tc>
        <w:tc>
          <w:tcPr>
            <w:tcW w:w="260" w:type="dxa"/>
            <w:vAlign w:val="bottom"/>
            <w:shd w:val="clear" w:color="auto" w:fill="DBDBDB"/>
          </w:tcPr>
          <w:p>
            <w:pPr>
              <w:spacing w:after="0"/>
              <w:rPr>
                <w:sz w:val="12"/>
                <w:szCs w:val="12"/>
                <w:color w:val="auto"/>
              </w:rPr>
            </w:pPr>
          </w:p>
        </w:tc>
        <w:tc>
          <w:tcPr>
            <w:tcW w:w="860" w:type="dxa"/>
            <w:vAlign w:val="bottom"/>
            <w:shd w:val="clear" w:color="auto" w:fill="DBDBDB"/>
          </w:tcPr>
          <w:p>
            <w:pPr>
              <w:jc w:val="right"/>
              <w:spacing w:after="0" w:line="139" w:lineRule="exact"/>
              <w:rPr>
                <w:sz w:val="20"/>
                <w:szCs w:val="20"/>
                <w:color w:val="auto"/>
              </w:rPr>
            </w:pPr>
            <w:r>
              <w:rPr>
                <w:rFonts w:ascii="Arial" w:cs="Arial" w:eastAsia="Arial" w:hAnsi="Arial"/>
                <w:sz w:val="13"/>
                <w:szCs w:val="13"/>
                <w:color w:val="auto"/>
              </w:rPr>
              <w:t>1,609,620</w:t>
            </w:r>
          </w:p>
        </w:tc>
        <w:tc>
          <w:tcPr>
            <w:tcW w:w="0" w:type="dxa"/>
            <w:vAlign w:val="bottom"/>
          </w:tcPr>
          <w:p>
            <w:pPr>
              <w:spacing w:after="0"/>
              <w:rPr>
                <w:sz w:val="1"/>
                <w:szCs w:val="1"/>
                <w:color w:val="auto"/>
              </w:rPr>
            </w:pPr>
          </w:p>
        </w:tc>
      </w:tr>
      <w:tr>
        <w:trPr>
          <w:trHeight w:val="207"/>
        </w:trPr>
        <w:tc>
          <w:tcPr>
            <w:tcW w:w="28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3"/>
                <w:szCs w:val="13"/>
                <w:color w:val="auto"/>
              </w:rPr>
              <w:t>President, Government Operations</w:t>
            </w:r>
          </w:p>
        </w:tc>
        <w:tc>
          <w:tcPr>
            <w:tcW w:w="54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800" w:type="dxa"/>
            <w:vAlign w:val="bottom"/>
            <w:tcBorders>
              <w:bottom w:val="single" w:sz="8" w:color="DBDBDB"/>
            </w:tcBorders>
            <w:shd w:val="clear" w:color="auto" w:fill="DBDBDB"/>
          </w:tcPr>
          <w:p>
            <w:pPr>
              <w:spacing w:after="0"/>
              <w:rPr>
                <w:sz w:val="17"/>
                <w:szCs w:val="17"/>
                <w:color w:val="auto"/>
              </w:rPr>
            </w:pPr>
          </w:p>
        </w:tc>
        <w:tc>
          <w:tcPr>
            <w:tcW w:w="180" w:type="dxa"/>
            <w:vAlign w:val="bottom"/>
            <w:tcBorders>
              <w:bottom w:val="single" w:sz="8" w:color="DBDBDB"/>
            </w:tcBorders>
            <w:shd w:val="clear" w:color="auto" w:fill="DBDBDB"/>
          </w:tcPr>
          <w:p>
            <w:pPr>
              <w:spacing w:after="0"/>
              <w:rPr>
                <w:sz w:val="17"/>
                <w:szCs w:val="17"/>
                <w:color w:val="auto"/>
              </w:rPr>
            </w:pPr>
          </w:p>
        </w:tc>
        <w:tc>
          <w:tcPr>
            <w:tcW w:w="690" w:type="dxa"/>
            <w:vAlign w:val="bottom"/>
            <w:tcBorders>
              <w:bottom w:val="single" w:sz="8" w:color="DBDBDB"/>
            </w:tcBorders>
            <w:shd w:val="clear" w:color="auto" w:fill="DBDBDB"/>
          </w:tcPr>
          <w:p>
            <w:pPr>
              <w:spacing w:after="0"/>
              <w:rPr>
                <w:sz w:val="17"/>
                <w:szCs w:val="17"/>
                <w:color w:val="auto"/>
              </w:rPr>
            </w:pPr>
          </w:p>
        </w:tc>
        <w:tc>
          <w:tcPr>
            <w:tcW w:w="210" w:type="dxa"/>
            <w:vAlign w:val="bottom"/>
            <w:tcBorders>
              <w:bottom w:val="single" w:sz="8" w:color="DBDBDB"/>
            </w:tcBorders>
            <w:shd w:val="clear" w:color="auto" w:fill="DBDBDB"/>
          </w:tcPr>
          <w:p>
            <w:pPr>
              <w:spacing w:after="0"/>
              <w:rPr>
                <w:sz w:val="17"/>
                <w:szCs w:val="17"/>
                <w:color w:val="auto"/>
              </w:rPr>
            </w:pPr>
          </w:p>
        </w:tc>
        <w:tc>
          <w:tcPr>
            <w:tcW w:w="98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12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DBDBDB"/>
            </w:tcBorders>
            <w:shd w:val="clear" w:color="auto" w:fill="DBDBDB"/>
          </w:tcPr>
          <w:p>
            <w:pPr>
              <w:spacing w:after="0"/>
              <w:rPr>
                <w:sz w:val="17"/>
                <w:szCs w:val="17"/>
                <w:color w:val="auto"/>
              </w:rPr>
            </w:pPr>
          </w:p>
        </w:tc>
        <w:tc>
          <w:tcPr>
            <w:tcW w:w="1160" w:type="dxa"/>
            <w:vAlign w:val="bottom"/>
            <w:tcBorders>
              <w:bottom w:val="single" w:sz="8" w:color="DBDBDB"/>
            </w:tcBorders>
            <w:shd w:val="clear" w:color="auto" w:fill="DBDBDB"/>
          </w:tcPr>
          <w:p>
            <w:pPr>
              <w:spacing w:after="0"/>
              <w:rPr>
                <w:sz w:val="17"/>
                <w:szCs w:val="17"/>
                <w:color w:val="auto"/>
              </w:rPr>
            </w:pPr>
          </w:p>
        </w:tc>
        <w:tc>
          <w:tcPr>
            <w:tcW w:w="1200" w:type="dxa"/>
            <w:vAlign w:val="bottom"/>
            <w:tcBorders>
              <w:bottom w:val="single" w:sz="8" w:color="DBDBDB"/>
            </w:tcBorders>
            <w:shd w:val="clear" w:color="auto" w:fill="DBDBDB"/>
          </w:tcPr>
          <w:p>
            <w:pPr>
              <w:spacing w:after="0"/>
              <w:rPr>
                <w:sz w:val="17"/>
                <w:szCs w:val="17"/>
                <w:color w:val="auto"/>
              </w:rPr>
            </w:pPr>
          </w:p>
        </w:tc>
        <w:tc>
          <w:tcPr>
            <w:tcW w:w="260" w:type="dxa"/>
            <w:vAlign w:val="bottom"/>
            <w:tcBorders>
              <w:bottom w:val="single" w:sz="8" w:color="DBDBDB"/>
            </w:tcBorders>
            <w:shd w:val="clear" w:color="auto" w:fill="DBDBDB"/>
          </w:tcPr>
          <w:p>
            <w:pPr>
              <w:spacing w:after="0"/>
              <w:rPr>
                <w:sz w:val="17"/>
                <w:szCs w:val="17"/>
                <w:color w:val="auto"/>
              </w:rPr>
            </w:pPr>
          </w:p>
        </w:tc>
        <w:tc>
          <w:tcPr>
            <w:tcW w:w="860" w:type="dxa"/>
            <w:vAlign w:val="bottom"/>
            <w:tcBorders>
              <w:bottom w:val="single" w:sz="8" w:color="DBDBDB"/>
            </w:tcBorders>
            <w:shd w:val="clear" w:color="auto" w:fill="DBDBDB"/>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840" w:type="dxa"/>
            <w:vAlign w:val="bottom"/>
          </w:tcPr>
          <w:p>
            <w:pPr>
              <w:ind w:left="20"/>
              <w:spacing w:after="0" w:line="139" w:lineRule="exact"/>
              <w:rPr>
                <w:sz w:val="20"/>
                <w:szCs w:val="20"/>
                <w:color w:val="auto"/>
              </w:rPr>
            </w:pPr>
            <w:r>
              <w:rPr>
                <w:rFonts w:ascii="Arial" w:cs="Arial" w:eastAsia="Arial" w:hAnsi="Arial"/>
                <w:sz w:val="13"/>
                <w:szCs w:val="13"/>
                <w:b w:val="1"/>
                <w:bCs w:val="1"/>
                <w:color w:val="auto"/>
              </w:rPr>
              <w:t>Robert L. Duffy</w:t>
            </w:r>
            <w:r>
              <w:rPr>
                <w:rFonts w:ascii="Arial" w:cs="Arial" w:eastAsia="Arial" w:hAnsi="Arial"/>
                <w:sz w:val="8"/>
                <w:szCs w:val="8"/>
                <w:b w:val="1"/>
                <w:bCs w:val="1"/>
                <w:color w:val="auto"/>
              </w:rPr>
              <w:t>(8)</w:t>
            </w:r>
          </w:p>
        </w:tc>
        <w:tc>
          <w:tcPr>
            <w:tcW w:w="540" w:type="dxa"/>
            <w:vAlign w:val="bottom"/>
          </w:tcPr>
          <w:p>
            <w:pPr>
              <w:jc w:val="right"/>
              <w:spacing w:after="0" w:line="139" w:lineRule="exact"/>
              <w:rPr>
                <w:sz w:val="20"/>
                <w:szCs w:val="20"/>
                <w:color w:val="auto"/>
              </w:rPr>
            </w:pPr>
            <w:r>
              <w:rPr>
                <w:rFonts w:ascii="Arial" w:cs="Arial" w:eastAsia="Arial" w:hAnsi="Arial"/>
                <w:sz w:val="13"/>
                <w:szCs w:val="13"/>
                <w:color w:val="auto"/>
              </w:rPr>
              <w:t>2022</w:t>
            </w:r>
          </w:p>
        </w:tc>
        <w:tc>
          <w:tcPr>
            <w:tcW w:w="18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3"/>
                <w:szCs w:val="13"/>
                <w:color w:val="auto"/>
              </w:rPr>
              <w:t>137,500</w:t>
            </w:r>
          </w:p>
        </w:tc>
        <w:tc>
          <w:tcPr>
            <w:tcW w:w="180" w:type="dxa"/>
            <w:vAlign w:val="bottom"/>
          </w:tcPr>
          <w:p>
            <w:pPr>
              <w:spacing w:after="0"/>
              <w:rPr>
                <w:sz w:val="12"/>
                <w:szCs w:val="12"/>
                <w:color w:val="auto"/>
              </w:rPr>
            </w:pPr>
          </w:p>
        </w:tc>
        <w:tc>
          <w:tcPr>
            <w:tcW w:w="900" w:type="dxa"/>
            <w:vAlign w:val="bottom"/>
            <w:gridSpan w:val="2"/>
          </w:tcPr>
          <w:p>
            <w:pPr>
              <w:ind w:left="500"/>
              <w:spacing w:after="0" w:line="139" w:lineRule="exact"/>
              <w:rPr>
                <w:sz w:val="20"/>
                <w:szCs w:val="20"/>
                <w:color w:val="auto"/>
              </w:rPr>
            </w:pPr>
            <w:r>
              <w:rPr>
                <w:rFonts w:ascii="Arial" w:cs="Arial" w:eastAsia="Arial" w:hAnsi="Arial"/>
                <w:sz w:val="13"/>
                <w:szCs w:val="13"/>
                <w:color w:val="auto"/>
              </w:rPr>
              <w:t>—</w:t>
            </w:r>
          </w:p>
        </w:tc>
        <w:tc>
          <w:tcPr>
            <w:tcW w:w="980" w:type="dxa"/>
            <w:vAlign w:val="bottom"/>
          </w:tcPr>
          <w:p>
            <w:pPr>
              <w:jc w:val="right"/>
              <w:spacing w:after="0" w:line="139" w:lineRule="exact"/>
              <w:rPr>
                <w:sz w:val="20"/>
                <w:szCs w:val="20"/>
                <w:color w:val="auto"/>
              </w:rPr>
            </w:pPr>
            <w:r>
              <w:rPr>
                <w:rFonts w:ascii="Arial" w:cs="Arial" w:eastAsia="Arial" w:hAnsi="Arial"/>
                <w:sz w:val="13"/>
                <w:szCs w:val="13"/>
                <w:color w:val="auto"/>
              </w:rPr>
              <w:t>1,200,033</w:t>
            </w:r>
          </w:p>
        </w:tc>
        <w:tc>
          <w:tcPr>
            <w:tcW w:w="120" w:type="dxa"/>
            <w:vAlign w:val="bottom"/>
          </w:tcPr>
          <w:p>
            <w:pPr>
              <w:spacing w:after="0"/>
              <w:rPr>
                <w:sz w:val="12"/>
                <w:szCs w:val="12"/>
                <w:color w:val="auto"/>
              </w:rPr>
            </w:pPr>
          </w:p>
        </w:tc>
        <w:tc>
          <w:tcPr>
            <w:tcW w:w="1120" w:type="dxa"/>
            <w:vAlign w:val="bottom"/>
          </w:tcPr>
          <w:p>
            <w:pPr>
              <w:jc w:val="right"/>
              <w:spacing w:after="0" w:line="139" w:lineRule="exact"/>
              <w:rPr>
                <w:sz w:val="20"/>
                <w:szCs w:val="20"/>
                <w:color w:val="auto"/>
              </w:rPr>
            </w:pPr>
            <w:r>
              <w:rPr>
                <w:rFonts w:ascii="Arial" w:cs="Arial" w:eastAsia="Arial" w:hAnsi="Arial"/>
                <w:sz w:val="13"/>
                <w:szCs w:val="13"/>
                <w:color w:val="auto"/>
              </w:rPr>
              <w:t>74,250</w:t>
            </w:r>
          </w:p>
        </w:tc>
        <w:tc>
          <w:tcPr>
            <w:tcW w:w="120" w:type="dxa"/>
            <w:vAlign w:val="bottom"/>
          </w:tcPr>
          <w:p>
            <w:pPr>
              <w:spacing w:after="0"/>
              <w:rPr>
                <w:sz w:val="12"/>
                <w:szCs w:val="12"/>
                <w:color w:val="auto"/>
              </w:rPr>
            </w:pPr>
          </w:p>
        </w:tc>
        <w:tc>
          <w:tcPr>
            <w:tcW w:w="1160" w:type="dxa"/>
            <w:vAlign w:val="bottom"/>
          </w:tcPr>
          <w:p>
            <w:pPr>
              <w:ind w:left="800"/>
              <w:spacing w:after="0" w:line="139" w:lineRule="exact"/>
              <w:rPr>
                <w:sz w:val="20"/>
                <w:szCs w:val="20"/>
                <w:color w:val="auto"/>
              </w:rPr>
            </w:pPr>
            <w:r>
              <w:rPr>
                <w:rFonts w:ascii="Arial" w:cs="Arial" w:eastAsia="Arial" w:hAnsi="Arial"/>
                <w:sz w:val="13"/>
                <w:szCs w:val="13"/>
                <w:color w:val="auto"/>
              </w:rPr>
              <w:t>—</w:t>
            </w:r>
          </w:p>
        </w:tc>
        <w:tc>
          <w:tcPr>
            <w:tcW w:w="1200" w:type="dxa"/>
            <w:vAlign w:val="bottom"/>
          </w:tcPr>
          <w:p>
            <w:pPr>
              <w:jc w:val="right"/>
              <w:spacing w:after="0" w:line="139" w:lineRule="exact"/>
              <w:rPr>
                <w:sz w:val="20"/>
                <w:szCs w:val="20"/>
                <w:color w:val="auto"/>
              </w:rPr>
            </w:pPr>
            <w:r>
              <w:rPr>
                <w:rFonts w:ascii="Arial" w:cs="Arial" w:eastAsia="Arial" w:hAnsi="Arial"/>
                <w:sz w:val="13"/>
                <w:szCs w:val="13"/>
                <w:color w:val="auto"/>
              </w:rPr>
              <w:t>7,625</w:t>
            </w:r>
          </w:p>
        </w:tc>
        <w:tc>
          <w:tcPr>
            <w:tcW w:w="260" w:type="dxa"/>
            <w:vAlign w:val="bottom"/>
          </w:tcPr>
          <w:p>
            <w:pPr>
              <w:spacing w:after="0"/>
              <w:rPr>
                <w:sz w:val="12"/>
                <w:szCs w:val="12"/>
                <w:color w:val="auto"/>
              </w:rPr>
            </w:pPr>
          </w:p>
        </w:tc>
        <w:tc>
          <w:tcPr>
            <w:tcW w:w="860" w:type="dxa"/>
            <w:vAlign w:val="bottom"/>
          </w:tcPr>
          <w:p>
            <w:pPr>
              <w:jc w:val="right"/>
              <w:spacing w:after="0" w:line="139" w:lineRule="exact"/>
              <w:rPr>
                <w:sz w:val="20"/>
                <w:szCs w:val="20"/>
                <w:color w:val="auto"/>
              </w:rPr>
            </w:pPr>
            <w:r>
              <w:rPr>
                <w:rFonts w:ascii="Arial" w:cs="Arial" w:eastAsia="Arial" w:hAnsi="Arial"/>
                <w:sz w:val="13"/>
                <w:szCs w:val="13"/>
                <w:color w:val="auto"/>
              </w:rPr>
              <w:t>1,419,408</w:t>
            </w:r>
          </w:p>
        </w:tc>
        <w:tc>
          <w:tcPr>
            <w:tcW w:w="0" w:type="dxa"/>
            <w:vAlign w:val="bottom"/>
          </w:tcPr>
          <w:p>
            <w:pPr>
              <w:spacing w:after="0"/>
              <w:rPr>
                <w:sz w:val="1"/>
                <w:szCs w:val="1"/>
                <w:color w:val="auto"/>
              </w:rPr>
            </w:pPr>
          </w:p>
        </w:tc>
      </w:tr>
      <w:tr>
        <w:trPr>
          <w:trHeight w:val="134"/>
        </w:trPr>
        <w:tc>
          <w:tcPr>
            <w:tcW w:w="2840" w:type="dxa"/>
            <w:vAlign w:val="bottom"/>
          </w:tcPr>
          <w:p>
            <w:pPr>
              <w:ind w:left="20"/>
              <w:spacing w:after="0" w:line="134" w:lineRule="exact"/>
              <w:rPr>
                <w:sz w:val="20"/>
                <w:szCs w:val="20"/>
                <w:color w:val="auto"/>
              </w:rPr>
            </w:pPr>
            <w:r>
              <w:rPr>
                <w:rFonts w:ascii="Arial" w:cs="Arial" w:eastAsia="Arial" w:hAnsi="Arial"/>
                <w:sz w:val="13"/>
                <w:szCs w:val="13"/>
                <w:color w:val="auto"/>
              </w:rPr>
              <w:t>Senior Vice President</w:t>
            </w: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90" w:type="dxa"/>
            <w:vAlign w:val="bottom"/>
          </w:tcPr>
          <w:p>
            <w:pPr>
              <w:spacing w:after="0"/>
              <w:rPr>
                <w:sz w:val="11"/>
                <w:szCs w:val="11"/>
                <w:color w:val="auto"/>
              </w:rPr>
            </w:pPr>
          </w:p>
        </w:tc>
        <w:tc>
          <w:tcPr>
            <w:tcW w:w="21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840" w:type="dxa"/>
            <w:vAlign w:val="bottom"/>
          </w:tcPr>
          <w:p>
            <w:pPr>
              <w:ind w:left="20"/>
              <w:spacing w:after="0"/>
              <w:rPr>
                <w:sz w:val="20"/>
                <w:szCs w:val="20"/>
                <w:color w:val="auto"/>
              </w:rPr>
            </w:pPr>
            <w:r>
              <w:rPr>
                <w:rFonts w:ascii="Arial" w:cs="Arial" w:eastAsia="Arial" w:hAnsi="Arial"/>
                <w:sz w:val="13"/>
                <w:szCs w:val="13"/>
                <w:color w:val="auto"/>
              </w:rPr>
              <w:t>and Chief Administrative Officer</w:t>
            </w: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90" w:type="dxa"/>
            <w:vAlign w:val="bottom"/>
          </w:tcPr>
          <w:p>
            <w:pPr>
              <w:spacing w:after="0"/>
              <w:rPr>
                <w:sz w:val="14"/>
                <w:szCs w:val="14"/>
                <w:color w:val="auto"/>
              </w:rPr>
            </w:pPr>
          </w:p>
        </w:tc>
        <w:tc>
          <w:tcPr>
            <w:tcW w:w="21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See “Salary” below for a discussion of the amounts reported in this column.</w:t>
      </w:r>
    </w:p>
    <w:p>
      <w:pPr>
        <w:spacing w:after="0" w:line="20" w:lineRule="exact"/>
        <w:rPr>
          <w:rFonts w:ascii="Arial" w:cs="Arial" w:eastAsia="Arial" w:hAnsi="Arial"/>
          <w:sz w:val="13"/>
          <w:szCs w:val="13"/>
          <w:i w:val="1"/>
          <w:iCs w:val="1"/>
          <w:color w:val="auto"/>
        </w:rPr>
      </w:pPr>
    </w:p>
    <w:p>
      <w:pPr>
        <w:ind w:left="283" w:hanging="283"/>
        <w:spacing w:after="0" w:line="234" w:lineRule="auto"/>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See “Stock Awards” below for a discussion of the amounts included in this column.</w:t>
      </w: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See “Non-Equity Incentive Plan Compensation” below for a discussion of the amounts included in this column.</w:t>
      </w:r>
    </w:p>
    <w:p>
      <w:pPr>
        <w:spacing w:after="0" w:line="8" w:lineRule="exact"/>
        <w:rPr>
          <w:rFonts w:ascii="Arial" w:cs="Arial" w:eastAsia="Arial" w:hAnsi="Arial"/>
          <w:sz w:val="13"/>
          <w:szCs w:val="13"/>
          <w:i w:val="1"/>
          <w:iCs w:val="1"/>
          <w:color w:val="auto"/>
        </w:rPr>
      </w:pP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See “Change in Pension Value and Nonqualified Deferred Compensation Earnings” below for a discussion of the amounts included in this column.</w:t>
      </w:r>
    </w:p>
    <w:p>
      <w:pPr>
        <w:spacing w:after="0" w:line="8" w:lineRule="exact"/>
        <w:rPr>
          <w:rFonts w:ascii="Arial" w:cs="Arial" w:eastAsia="Arial" w:hAnsi="Arial"/>
          <w:sz w:val="13"/>
          <w:szCs w:val="13"/>
          <w:i w:val="1"/>
          <w:iCs w:val="1"/>
          <w:color w:val="auto"/>
        </w:rPr>
      </w:pP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See “All Other Compensation” below for a discussion of the amounts included in this column.</w:t>
      </w:r>
    </w:p>
    <w:p>
      <w:pPr>
        <w:spacing w:after="0" w:line="8" w:lineRule="exact"/>
        <w:rPr>
          <w:rFonts w:ascii="Arial" w:cs="Arial" w:eastAsia="Arial" w:hAnsi="Arial"/>
          <w:sz w:val="13"/>
          <w:szCs w:val="13"/>
          <w:i w:val="1"/>
          <w:iCs w:val="1"/>
          <w:color w:val="auto"/>
        </w:rPr>
      </w:pPr>
    </w:p>
    <w:p>
      <w:pPr>
        <w:ind w:left="283" w:right="340" w:hanging="283"/>
        <w:spacing w:after="0" w:line="247" w:lineRule="auto"/>
        <w:tabs>
          <w:tab w:leader="none" w:pos="271"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Mr. McCabe served as our Senior Vice President, General Counsel and Secretary until January 2, 2023 when he transitioned to Special Advisor to the CEO. Pursuant to the terms of the Transition Agreement, dated December 29, 2022, Mr. McCabe forfeited his annual incentive payout and outstanding and unvested equity awards to which he was entitled in exchange for lump-sum payment.</w:t>
      </w:r>
    </w:p>
    <w:p>
      <w:pPr>
        <w:spacing w:after="0" w:line="1" w:lineRule="exact"/>
        <w:rPr>
          <w:rFonts w:ascii="Arial" w:cs="Arial" w:eastAsia="Arial" w:hAnsi="Arial"/>
          <w:sz w:val="13"/>
          <w:szCs w:val="13"/>
          <w:i w:val="1"/>
          <w:iCs w:val="1"/>
          <w:color w:val="auto"/>
        </w:rPr>
      </w:pP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Adm. McCoy was appointed President, Government Operations on February 18, 2022.</w:t>
      </w:r>
    </w:p>
    <w:p>
      <w:pPr>
        <w:spacing w:after="0" w:line="8" w:lineRule="exact"/>
        <w:rPr>
          <w:rFonts w:ascii="Arial" w:cs="Arial" w:eastAsia="Arial" w:hAnsi="Arial"/>
          <w:sz w:val="13"/>
          <w:szCs w:val="13"/>
          <w:i w:val="1"/>
          <w:iCs w:val="1"/>
          <w:color w:val="auto"/>
        </w:rPr>
      </w:pPr>
    </w:p>
    <w:p>
      <w:pPr>
        <w:ind w:left="283" w:hanging="283"/>
        <w:spacing w:after="0"/>
        <w:tabs>
          <w:tab w:leader="none" w:pos="283" w:val="left"/>
        </w:tabs>
        <w:numPr>
          <w:ilvl w:val="0"/>
          <w:numId w:val="78"/>
        </w:numPr>
        <w:rPr>
          <w:rFonts w:ascii="Arial" w:cs="Arial" w:eastAsia="Arial" w:hAnsi="Arial"/>
          <w:sz w:val="13"/>
          <w:szCs w:val="13"/>
          <w:i w:val="1"/>
          <w:iCs w:val="1"/>
          <w:color w:val="auto"/>
        </w:rPr>
      </w:pPr>
      <w:r>
        <w:rPr>
          <w:rFonts w:ascii="Arial" w:cs="Arial" w:eastAsia="Arial" w:hAnsi="Arial"/>
          <w:sz w:val="13"/>
          <w:szCs w:val="13"/>
          <w:i w:val="1"/>
          <w:iCs w:val="1"/>
          <w:color w:val="auto"/>
        </w:rPr>
        <w:t>Mr. Duffy joined the Company as Senior Vice President and Chief Administrative Officer on August 29, 2022.</w:t>
      </w:r>
    </w:p>
    <w:p>
      <w:pPr>
        <w:spacing w:after="0" w:line="85" w:lineRule="exact"/>
        <w:rPr>
          <w:sz w:val="20"/>
          <w:szCs w:val="20"/>
          <w:color w:val="auto"/>
        </w:rPr>
      </w:pPr>
    </w:p>
    <w:p>
      <w:pPr>
        <w:ind w:left="3" w:right="980"/>
        <w:spacing w:after="0" w:line="294" w:lineRule="auto"/>
        <w:rPr>
          <w:sz w:val="20"/>
          <w:szCs w:val="20"/>
          <w:color w:val="auto"/>
        </w:rPr>
      </w:pPr>
      <w:r>
        <w:rPr>
          <w:rFonts w:ascii="Arial" w:cs="Arial" w:eastAsia="Arial" w:hAnsi="Arial"/>
          <w:sz w:val="16"/>
          <w:szCs w:val="16"/>
          <w:b w:val="1"/>
          <w:bCs w:val="1"/>
          <w:i w:val="1"/>
          <w:iCs w:val="1"/>
          <w:color w:val="auto"/>
        </w:rPr>
        <w:t xml:space="preserve">Salary. </w:t>
      </w:r>
      <w:r>
        <w:rPr>
          <w:rFonts w:ascii="Arial" w:cs="Arial" w:eastAsia="Arial" w:hAnsi="Arial"/>
          <w:sz w:val="16"/>
          <w:szCs w:val="16"/>
          <w:color w:val="auto"/>
        </w:rPr>
        <w:t>Amounts reported in the “Salary” column above include amounts that have been deferred under our qualified and non-qualified deferred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plans.</w:t>
      </w:r>
    </w:p>
    <w:p>
      <w:pPr>
        <w:spacing w:after="0" w:line="36" w:lineRule="exact"/>
        <w:rPr>
          <w:sz w:val="20"/>
          <w:szCs w:val="20"/>
          <w:color w:val="auto"/>
        </w:rPr>
      </w:pPr>
    </w:p>
    <w:p>
      <w:pPr>
        <w:ind w:left="3"/>
        <w:spacing w:after="0"/>
        <w:rPr>
          <w:sz w:val="20"/>
          <w:szCs w:val="20"/>
          <w:color w:val="auto"/>
        </w:rPr>
      </w:pPr>
      <w:r>
        <w:rPr>
          <w:rFonts w:ascii="Arial" w:cs="Arial" w:eastAsia="Arial" w:hAnsi="Arial"/>
          <w:sz w:val="16"/>
          <w:szCs w:val="16"/>
          <w:b w:val="1"/>
          <w:bCs w:val="1"/>
          <w:i w:val="1"/>
          <w:iCs w:val="1"/>
          <w:color w:val="auto"/>
        </w:rPr>
        <w:t xml:space="preserve">Bonus. </w:t>
      </w:r>
      <w:r>
        <w:rPr>
          <w:rFonts w:ascii="Arial" w:cs="Arial" w:eastAsia="Arial" w:hAnsi="Arial"/>
          <w:sz w:val="16"/>
          <w:szCs w:val="16"/>
          <w:color w:val="auto"/>
        </w:rPr>
        <w:t>There were no bonus payments made to the Named Executives.</w:t>
      </w:r>
    </w:p>
    <w:p>
      <w:pPr>
        <w:spacing w:after="0" w:line="108" w:lineRule="exact"/>
        <w:rPr>
          <w:sz w:val="20"/>
          <w:szCs w:val="20"/>
          <w:color w:val="auto"/>
        </w:rPr>
      </w:pPr>
    </w:p>
    <w:p>
      <w:pPr>
        <w:ind w:left="3" w:right="340"/>
        <w:spacing w:after="0" w:line="274" w:lineRule="auto"/>
        <w:rPr>
          <w:sz w:val="20"/>
          <w:szCs w:val="20"/>
          <w:color w:val="auto"/>
        </w:rPr>
      </w:pPr>
      <w:r>
        <w:rPr>
          <w:rFonts w:ascii="Arial" w:cs="Arial" w:eastAsia="Arial" w:hAnsi="Arial"/>
          <w:sz w:val="16"/>
          <w:szCs w:val="16"/>
          <w:b w:val="1"/>
          <w:bCs w:val="1"/>
          <w:i w:val="1"/>
          <w:iCs w:val="1"/>
          <w:color w:val="auto"/>
        </w:rPr>
        <w:t xml:space="preserve">Stock Awards. </w:t>
      </w:r>
      <w:r>
        <w:rPr>
          <w:rFonts w:ascii="Arial" w:cs="Arial" w:eastAsia="Arial" w:hAnsi="Arial"/>
          <w:sz w:val="16"/>
          <w:szCs w:val="16"/>
          <w:color w:val="auto"/>
        </w:rPr>
        <w:t>The amounts reported in the “Stock Awards” column for each Named Executive represent the aggregate grant date fair value of all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granted to Named Executives in 2022 computed in accordance with Financial Accounting Standards Board Accounting Standards Codification (“FASB ASC”) Topic 718, excluding the effect of estimated forfeitures.</w:t>
      </w:r>
    </w:p>
    <w:p>
      <w:pPr>
        <w:spacing w:after="0" w:line="52" w:lineRule="exact"/>
        <w:rPr>
          <w:sz w:val="20"/>
          <w:szCs w:val="20"/>
          <w:color w:val="auto"/>
        </w:rPr>
      </w:pPr>
    </w:p>
    <w:p>
      <w:pPr>
        <w:ind w:left="3" w:right="20"/>
        <w:spacing w:after="0" w:line="264" w:lineRule="auto"/>
        <w:rPr>
          <w:sz w:val="20"/>
          <w:szCs w:val="20"/>
          <w:color w:val="auto"/>
        </w:rPr>
      </w:pPr>
      <w:r>
        <w:rPr>
          <w:rFonts w:ascii="Arial" w:cs="Arial" w:eastAsia="Arial" w:hAnsi="Arial"/>
          <w:sz w:val="16"/>
          <w:szCs w:val="16"/>
          <w:color w:val="auto"/>
        </w:rPr>
        <w:t>The amounts reported in the "Stock Awards" column include the grant date fair values of restricted stock units and performance restricted stock units granted to our Named Executives in 2022. The values for performance restricted stock units are based on our Named Executives attaining target performance levels, which we determined was the probable outcome at the time of grant. Assuming maximum performance levels were probable, the grant date fair value of each Named Executive's performance restricted stock unit awards in 2022 (other than Mr. Duffy who was not an employee at the time of this grant) would be as follows: $4,352,285 for Mr. Geveden; $870,439 for Mr. LeMasters; $746,051 for Mr. McCabe; and $435,219 for Adm. McCoy.</w:t>
      </w:r>
    </w:p>
    <w:p>
      <w:pPr>
        <w:spacing w:after="0" w:line="60" w:lineRule="exact"/>
        <w:rPr>
          <w:sz w:val="20"/>
          <w:szCs w:val="20"/>
          <w:color w:val="auto"/>
        </w:rPr>
      </w:pPr>
    </w:p>
    <w:p>
      <w:pPr>
        <w:jc w:val="both"/>
        <w:ind w:left="3" w:right="180"/>
        <w:spacing w:after="0" w:line="274" w:lineRule="auto"/>
        <w:rPr>
          <w:sz w:val="20"/>
          <w:szCs w:val="20"/>
          <w:color w:val="auto"/>
        </w:rPr>
      </w:pPr>
      <w:r>
        <w:rPr>
          <w:rFonts w:ascii="Arial" w:cs="Arial" w:eastAsia="Arial" w:hAnsi="Arial"/>
          <w:sz w:val="16"/>
          <w:szCs w:val="16"/>
          <w:color w:val="auto"/>
        </w:rPr>
        <w:t>For a discussion of the valuation assumptions used in determining the grant date fair value, see Note 9 to our consolidated financial statements included in our annual report on Form 10-K for the year ended December 31, 2022. See also the “Grants of Plan-Based Awards” table for more information regarding the stock awards granted to our Named Executives in 2022.</w:t>
      </w:r>
    </w:p>
    <w:p>
      <w:pPr>
        <w:spacing w:after="0" w:line="312"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2C2C2C"/>
        </w:rPr>
        <w:t xml:space="preserve">38 </w:t>
      </w:r>
      <w:r>
        <w:rPr>
          <w:sz w:val="1"/>
          <w:szCs w:val="1"/>
          <w:color w:val="auto"/>
        </w:rPr>
        <w:drawing>
          <wp:inline distT="0" distB="0" distL="0" distR="0">
            <wp:extent cx="401955" cy="16256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171055" cy="406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50" w:name="page51"/>
    <w:bookmarkEnd w:id="50"/>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58876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588760" cy="762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i w:val="1"/>
          <w:iCs w:val="1"/>
          <w:color w:val="auto"/>
        </w:rPr>
        <w:t>Non-Equity Incentive Plan Compensation</w:t>
      </w:r>
      <w:r>
        <w:rPr>
          <w:rFonts w:ascii="Arial" w:cs="Arial" w:eastAsia="Arial" w:hAnsi="Arial"/>
          <w:sz w:val="16"/>
          <w:szCs w:val="16"/>
          <w:color w:val="auto"/>
        </w:rPr>
        <w:t>. The amounts reported in the “Non-Equity Incentive Plan Compensation” column are attributable to the annual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incentive awards earned under our EICP. See the “Grants of Plan-Based Awards” table for more information regarding the annual incentive awards earned in 2022.</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 Other Compensation</w:t>
      </w:r>
      <w:r>
        <w:rPr>
          <w:rFonts w:ascii="Arial" w:cs="Arial" w:eastAsia="Arial" w:hAnsi="Arial"/>
          <w:sz w:val="16"/>
          <w:szCs w:val="16"/>
          <w:color w:val="auto"/>
        </w:rPr>
        <w:t>. The amounts reported for 2022 in the “All Other Compensation” column are attributable to the following:</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OTHER COMPENSATION</w:t>
      </w:r>
    </w:p>
    <w:p>
      <w:pPr>
        <w:spacing w:after="0" w:line="122" w:lineRule="exact"/>
        <w:rPr>
          <w:sz w:val="20"/>
          <w:szCs w:val="20"/>
          <w:color w:val="auto"/>
        </w:rPr>
      </w:pPr>
    </w:p>
    <w:tbl>
      <w:tblPr>
        <w:tblLayout w:type="fixed"/>
        <w:tblInd w:w="820" w:type="dxa"/>
        <w:tblCellMar>
          <w:top w:w="0" w:type="dxa"/>
          <w:left w:w="0" w:type="dxa"/>
          <w:bottom w:w="0" w:type="dxa"/>
          <w:right w:w="0" w:type="dxa"/>
        </w:tblCellMar>
      </w:tblPr>
      <w:tr>
        <w:trPr>
          <w:trHeight w:val="149"/>
        </w:trPr>
        <w:tc>
          <w:tcPr>
            <w:tcW w:w="2060" w:type="dxa"/>
            <w:vAlign w:val="bottom"/>
            <w:shd w:val="clear" w:color="auto" w:fill="000000"/>
          </w:tcPr>
          <w:p>
            <w:pPr>
              <w:spacing w:after="0"/>
              <w:rPr>
                <w:sz w:val="13"/>
                <w:szCs w:val="13"/>
                <w:color w:val="auto"/>
              </w:rPr>
            </w:pPr>
          </w:p>
        </w:tc>
        <w:tc>
          <w:tcPr>
            <w:tcW w:w="1120" w:type="dxa"/>
            <w:vAlign w:val="bottom"/>
            <w:shd w:val="clear" w:color="auto" w:fill="000000"/>
          </w:tcPr>
          <w:p>
            <w:pPr>
              <w:spacing w:after="0"/>
              <w:rPr>
                <w:sz w:val="13"/>
                <w:szCs w:val="13"/>
                <w:color w:val="auto"/>
              </w:rPr>
            </w:pPr>
          </w:p>
        </w:tc>
        <w:tc>
          <w:tcPr>
            <w:tcW w:w="1160" w:type="dxa"/>
            <w:vAlign w:val="bottom"/>
            <w:vMerge w:val="restart"/>
            <w:shd w:val="clear" w:color="auto" w:fill="000000"/>
          </w:tcPr>
          <w:p>
            <w:pPr>
              <w:jc w:val="right"/>
              <w:ind w:right="269"/>
              <w:spacing w:after="0"/>
              <w:rPr>
                <w:sz w:val="20"/>
                <w:szCs w:val="20"/>
                <w:color w:val="auto"/>
              </w:rPr>
            </w:pPr>
            <w:r>
              <w:rPr>
                <w:rFonts w:ascii="Arial" w:cs="Arial" w:eastAsia="Arial" w:hAnsi="Arial"/>
                <w:sz w:val="13"/>
                <w:szCs w:val="13"/>
                <w:b w:val="1"/>
                <w:bCs w:val="1"/>
                <w:color w:val="FFFFFF"/>
              </w:rPr>
              <w:t>Thrift Plan</w:t>
            </w:r>
          </w:p>
        </w:tc>
        <w:tc>
          <w:tcPr>
            <w:tcW w:w="240" w:type="dxa"/>
            <w:vAlign w:val="bottom"/>
            <w:shd w:val="clear" w:color="auto" w:fill="000000"/>
          </w:tcPr>
          <w:p>
            <w:pPr>
              <w:spacing w:after="0"/>
              <w:rPr>
                <w:sz w:val="13"/>
                <w:szCs w:val="13"/>
                <w:color w:val="auto"/>
              </w:rPr>
            </w:pPr>
          </w:p>
        </w:tc>
        <w:tc>
          <w:tcPr>
            <w:tcW w:w="1260" w:type="dxa"/>
            <w:vAlign w:val="bottom"/>
            <w:shd w:val="clear" w:color="auto" w:fill="000000"/>
          </w:tcPr>
          <w:p>
            <w:pPr>
              <w:jc w:val="center"/>
              <w:ind w:right="110"/>
              <w:spacing w:after="0"/>
              <w:rPr>
                <w:sz w:val="20"/>
                <w:szCs w:val="20"/>
                <w:color w:val="auto"/>
              </w:rPr>
            </w:pPr>
            <w:r>
              <w:rPr>
                <w:rFonts w:ascii="Arial" w:cs="Arial" w:eastAsia="Arial" w:hAnsi="Arial"/>
                <w:sz w:val="13"/>
                <w:szCs w:val="13"/>
                <w:b w:val="1"/>
                <w:bCs w:val="1"/>
                <w:color w:val="FFFFFF"/>
                <w:w w:val="99"/>
              </w:rPr>
              <w:t>Restoration</w:t>
            </w:r>
          </w:p>
        </w:tc>
        <w:tc>
          <w:tcPr>
            <w:tcW w:w="220" w:type="dxa"/>
            <w:vAlign w:val="bottom"/>
            <w:shd w:val="clear" w:color="auto" w:fill="000000"/>
          </w:tcPr>
          <w:p>
            <w:pPr>
              <w:spacing w:after="0"/>
              <w:rPr>
                <w:sz w:val="13"/>
                <w:szCs w:val="13"/>
                <w:color w:val="auto"/>
              </w:rPr>
            </w:pPr>
          </w:p>
        </w:tc>
        <w:tc>
          <w:tcPr>
            <w:tcW w:w="1080" w:type="dxa"/>
            <w:vAlign w:val="bottom"/>
            <w:vMerge w:val="restart"/>
            <w:shd w:val="clear" w:color="auto" w:fill="000000"/>
          </w:tcPr>
          <w:p>
            <w:pPr>
              <w:jc w:val="right"/>
              <w:ind w:right="269"/>
              <w:spacing w:after="0"/>
              <w:rPr>
                <w:sz w:val="20"/>
                <w:szCs w:val="20"/>
                <w:color w:val="auto"/>
              </w:rPr>
            </w:pPr>
            <w:r>
              <w:rPr>
                <w:rFonts w:ascii="Arial" w:cs="Arial" w:eastAsia="Arial" w:hAnsi="Arial"/>
                <w:sz w:val="13"/>
                <w:szCs w:val="13"/>
                <w:b w:val="1"/>
                <w:bCs w:val="1"/>
                <w:color w:val="FFFFFF"/>
              </w:rPr>
              <w:t>Dividend</w:t>
            </w:r>
          </w:p>
        </w:tc>
        <w:tc>
          <w:tcPr>
            <w:tcW w:w="240" w:type="dxa"/>
            <w:vAlign w:val="bottom"/>
            <w:shd w:val="clear" w:color="auto" w:fill="000000"/>
          </w:tcPr>
          <w:p>
            <w:pPr>
              <w:spacing w:after="0"/>
              <w:rPr>
                <w:sz w:val="13"/>
                <w:szCs w:val="13"/>
                <w:color w:val="auto"/>
              </w:rPr>
            </w:pPr>
          </w:p>
        </w:tc>
        <w:tc>
          <w:tcPr>
            <w:tcW w:w="1080" w:type="dxa"/>
            <w:vAlign w:val="bottom"/>
            <w:shd w:val="clear" w:color="auto" w:fill="000000"/>
          </w:tcPr>
          <w:p>
            <w:pPr>
              <w:spacing w:after="0"/>
              <w:rPr>
                <w:sz w:val="13"/>
                <w:szCs w:val="13"/>
                <w:color w:val="auto"/>
              </w:rPr>
            </w:pPr>
          </w:p>
        </w:tc>
        <w:tc>
          <w:tcPr>
            <w:tcW w:w="280" w:type="dxa"/>
            <w:vAlign w:val="bottom"/>
            <w:shd w:val="clear" w:color="auto" w:fill="000000"/>
          </w:tcPr>
          <w:p>
            <w:pPr>
              <w:spacing w:after="0"/>
              <w:rPr>
                <w:sz w:val="13"/>
                <w:szCs w:val="13"/>
                <w:color w:val="auto"/>
              </w:rPr>
            </w:pPr>
          </w:p>
        </w:tc>
        <w:tc>
          <w:tcPr>
            <w:tcW w:w="8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2060" w:type="dxa"/>
            <w:vAlign w:val="bottom"/>
            <w:vMerge w:val="restart"/>
            <w:shd w:val="clear" w:color="auto" w:fill="000000"/>
          </w:tcPr>
          <w:p>
            <w:pPr>
              <w:spacing w:after="0"/>
              <w:rPr>
                <w:sz w:val="20"/>
                <w:szCs w:val="20"/>
                <w:color w:val="auto"/>
              </w:rPr>
            </w:pPr>
            <w:r>
              <w:rPr>
                <w:rFonts w:ascii="Arial" w:cs="Arial" w:eastAsia="Arial" w:hAnsi="Arial"/>
                <w:sz w:val="13"/>
                <w:szCs w:val="13"/>
                <w:b w:val="1"/>
                <w:bCs w:val="1"/>
                <w:color w:val="FFFFFF"/>
              </w:rPr>
              <w:t>Named Executive</w:t>
            </w:r>
          </w:p>
        </w:tc>
        <w:tc>
          <w:tcPr>
            <w:tcW w:w="1120" w:type="dxa"/>
            <w:vAlign w:val="bottom"/>
            <w:shd w:val="clear" w:color="auto" w:fill="000000"/>
          </w:tcPr>
          <w:p>
            <w:pPr>
              <w:spacing w:after="0"/>
              <w:rPr>
                <w:sz w:val="11"/>
                <w:szCs w:val="11"/>
                <w:color w:val="auto"/>
              </w:rPr>
            </w:pPr>
          </w:p>
        </w:tc>
        <w:tc>
          <w:tcPr>
            <w:tcW w:w="1160" w:type="dxa"/>
            <w:vAlign w:val="bottom"/>
            <w:vMerge w:val="continue"/>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1260" w:type="dxa"/>
            <w:vAlign w:val="bottom"/>
            <w:shd w:val="clear" w:color="auto" w:fill="000000"/>
          </w:tcPr>
          <w:p>
            <w:pPr>
              <w:jc w:val="center"/>
              <w:ind w:right="110"/>
              <w:spacing w:after="0" w:line="134" w:lineRule="exact"/>
              <w:rPr>
                <w:sz w:val="20"/>
                <w:szCs w:val="20"/>
                <w:color w:val="auto"/>
              </w:rPr>
            </w:pPr>
            <w:r>
              <w:rPr>
                <w:rFonts w:ascii="Arial" w:cs="Arial" w:eastAsia="Arial" w:hAnsi="Arial"/>
                <w:sz w:val="13"/>
                <w:szCs w:val="13"/>
                <w:b w:val="1"/>
                <w:bCs w:val="1"/>
                <w:color w:val="FFFFFF"/>
              </w:rPr>
              <w:t>Plan</w:t>
            </w:r>
          </w:p>
        </w:tc>
        <w:tc>
          <w:tcPr>
            <w:tcW w:w="220" w:type="dxa"/>
            <w:vAlign w:val="bottom"/>
            <w:shd w:val="clear" w:color="auto" w:fill="000000"/>
          </w:tcPr>
          <w:p>
            <w:pPr>
              <w:spacing w:after="0"/>
              <w:rPr>
                <w:sz w:val="11"/>
                <w:szCs w:val="11"/>
                <w:color w:val="auto"/>
              </w:rPr>
            </w:pPr>
          </w:p>
        </w:tc>
        <w:tc>
          <w:tcPr>
            <w:tcW w:w="1080" w:type="dxa"/>
            <w:vAlign w:val="bottom"/>
            <w:vMerge w:val="continue"/>
            <w:shd w:val="clear" w:color="auto" w:fill="000000"/>
          </w:tcPr>
          <w:p>
            <w:pPr>
              <w:spacing w:after="0"/>
              <w:rPr>
                <w:sz w:val="11"/>
                <w:szCs w:val="11"/>
                <w:color w:val="auto"/>
              </w:rPr>
            </w:pPr>
          </w:p>
        </w:tc>
        <w:tc>
          <w:tcPr>
            <w:tcW w:w="240" w:type="dxa"/>
            <w:vAlign w:val="bottom"/>
            <w:shd w:val="clear" w:color="auto" w:fill="000000"/>
          </w:tcPr>
          <w:p>
            <w:pPr>
              <w:spacing w:after="0"/>
              <w:rPr>
                <w:sz w:val="11"/>
                <w:szCs w:val="11"/>
                <w:color w:val="auto"/>
              </w:rPr>
            </w:pPr>
          </w:p>
        </w:tc>
        <w:tc>
          <w:tcPr>
            <w:tcW w:w="1080" w:type="dxa"/>
            <w:vAlign w:val="bottom"/>
            <w:vMerge w:val="restart"/>
            <w:shd w:val="clear" w:color="auto" w:fill="000000"/>
          </w:tcPr>
          <w:p>
            <w:pPr>
              <w:jc w:val="right"/>
              <w:ind w:right="208"/>
              <w:spacing w:after="0"/>
              <w:rPr>
                <w:sz w:val="20"/>
                <w:szCs w:val="20"/>
                <w:color w:val="auto"/>
              </w:rPr>
            </w:pPr>
            <w:r>
              <w:rPr>
                <w:rFonts w:ascii="Arial" w:cs="Arial" w:eastAsia="Arial" w:hAnsi="Arial"/>
                <w:sz w:val="13"/>
                <w:szCs w:val="13"/>
                <w:b w:val="1"/>
                <w:bCs w:val="1"/>
                <w:color w:val="FFFFFF"/>
              </w:rPr>
              <w:t>Perquisites</w:t>
            </w:r>
          </w:p>
        </w:tc>
        <w:tc>
          <w:tcPr>
            <w:tcW w:w="280" w:type="dxa"/>
            <w:vAlign w:val="bottom"/>
            <w:shd w:val="clear" w:color="auto" w:fill="000000"/>
          </w:tcPr>
          <w:p>
            <w:pPr>
              <w:spacing w:after="0"/>
              <w:rPr>
                <w:sz w:val="11"/>
                <w:szCs w:val="11"/>
                <w:color w:val="auto"/>
              </w:rPr>
            </w:pPr>
          </w:p>
        </w:tc>
        <w:tc>
          <w:tcPr>
            <w:tcW w:w="880" w:type="dxa"/>
            <w:vAlign w:val="bottom"/>
            <w:vMerge w:val="restart"/>
            <w:shd w:val="clear" w:color="auto" w:fill="000000"/>
          </w:tcPr>
          <w:p>
            <w:pPr>
              <w:jc w:val="right"/>
              <w:ind w:right="348"/>
              <w:spacing w:after="0"/>
              <w:rPr>
                <w:sz w:val="20"/>
                <w:szCs w:val="20"/>
                <w:color w:val="auto"/>
              </w:rPr>
            </w:pPr>
            <w:r>
              <w:rPr>
                <w:rFonts w:ascii="Arial" w:cs="Arial" w:eastAsia="Arial" w:hAnsi="Arial"/>
                <w:sz w:val="13"/>
                <w:szCs w:val="13"/>
                <w:b w:val="1"/>
                <w:bCs w:val="1"/>
                <w:color w:val="FFFFFF"/>
              </w:rPr>
              <w:t>Total</w:t>
            </w:r>
          </w:p>
        </w:tc>
        <w:tc>
          <w:tcPr>
            <w:tcW w:w="0" w:type="dxa"/>
            <w:vAlign w:val="bottom"/>
          </w:tcPr>
          <w:p>
            <w:pPr>
              <w:spacing w:after="0"/>
              <w:rPr>
                <w:sz w:val="1"/>
                <w:szCs w:val="1"/>
                <w:color w:val="auto"/>
              </w:rPr>
            </w:pPr>
          </w:p>
        </w:tc>
      </w:tr>
      <w:tr>
        <w:trPr>
          <w:trHeight w:val="171"/>
        </w:trPr>
        <w:tc>
          <w:tcPr>
            <w:tcW w:w="2060" w:type="dxa"/>
            <w:vAlign w:val="bottom"/>
            <w:vMerge w:val="continue"/>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1160" w:type="dxa"/>
            <w:vAlign w:val="bottom"/>
            <w:shd w:val="clear" w:color="auto" w:fill="000000"/>
          </w:tcPr>
          <w:p>
            <w:pPr>
              <w:jc w:val="right"/>
              <w:ind w:right="169"/>
              <w:spacing w:after="0"/>
              <w:rPr>
                <w:sz w:val="20"/>
                <w:szCs w:val="20"/>
                <w:color w:val="auto"/>
              </w:rPr>
            </w:pPr>
            <w:r>
              <w:rPr>
                <w:rFonts w:ascii="Arial" w:cs="Arial" w:eastAsia="Arial" w:hAnsi="Arial"/>
                <w:sz w:val="13"/>
                <w:szCs w:val="13"/>
                <w:b w:val="1"/>
                <w:bCs w:val="1"/>
                <w:color w:val="FFFFFF"/>
              </w:rPr>
              <w:t>Contributions</w:t>
            </w:r>
          </w:p>
        </w:tc>
        <w:tc>
          <w:tcPr>
            <w:tcW w:w="240" w:type="dxa"/>
            <w:vAlign w:val="bottom"/>
            <w:shd w:val="clear" w:color="auto" w:fill="000000"/>
          </w:tcPr>
          <w:p>
            <w:pPr>
              <w:spacing w:after="0"/>
              <w:rPr>
                <w:sz w:val="14"/>
                <w:szCs w:val="14"/>
                <w:color w:val="auto"/>
              </w:rPr>
            </w:pPr>
          </w:p>
        </w:tc>
        <w:tc>
          <w:tcPr>
            <w:tcW w:w="1260" w:type="dxa"/>
            <w:vAlign w:val="bottom"/>
            <w:shd w:val="clear" w:color="auto" w:fill="000000"/>
          </w:tcPr>
          <w:p>
            <w:pPr>
              <w:jc w:val="center"/>
              <w:ind w:right="130"/>
              <w:spacing w:after="0"/>
              <w:rPr>
                <w:sz w:val="20"/>
                <w:szCs w:val="20"/>
                <w:color w:val="auto"/>
              </w:rPr>
            </w:pPr>
            <w:r>
              <w:rPr>
                <w:rFonts w:ascii="Arial" w:cs="Arial" w:eastAsia="Arial" w:hAnsi="Arial"/>
                <w:sz w:val="13"/>
                <w:szCs w:val="13"/>
                <w:b w:val="1"/>
                <w:bCs w:val="1"/>
                <w:color w:val="FFFFFF"/>
              </w:rPr>
              <w:t>Contributions</w:t>
            </w:r>
          </w:p>
        </w:tc>
        <w:tc>
          <w:tcPr>
            <w:tcW w:w="220" w:type="dxa"/>
            <w:vAlign w:val="bottom"/>
            <w:shd w:val="clear" w:color="auto" w:fill="000000"/>
          </w:tcPr>
          <w:p>
            <w:pPr>
              <w:spacing w:after="0"/>
              <w:rPr>
                <w:sz w:val="14"/>
                <w:szCs w:val="14"/>
                <w:color w:val="auto"/>
              </w:rPr>
            </w:pPr>
          </w:p>
        </w:tc>
        <w:tc>
          <w:tcPr>
            <w:tcW w:w="1080" w:type="dxa"/>
            <w:vAlign w:val="bottom"/>
            <w:shd w:val="clear" w:color="auto" w:fill="000000"/>
          </w:tcPr>
          <w:p>
            <w:pPr>
              <w:jc w:val="right"/>
              <w:ind w:right="189"/>
              <w:spacing w:after="0"/>
              <w:rPr>
                <w:sz w:val="20"/>
                <w:szCs w:val="20"/>
                <w:color w:val="auto"/>
              </w:rPr>
            </w:pPr>
            <w:r>
              <w:rPr>
                <w:rFonts w:ascii="Arial" w:cs="Arial" w:eastAsia="Arial" w:hAnsi="Arial"/>
                <w:sz w:val="13"/>
                <w:szCs w:val="13"/>
                <w:b w:val="1"/>
                <w:bCs w:val="1"/>
                <w:color w:val="FFFFFF"/>
              </w:rPr>
              <w:t>Equivalents</w:t>
            </w:r>
          </w:p>
        </w:tc>
        <w:tc>
          <w:tcPr>
            <w:tcW w:w="240" w:type="dxa"/>
            <w:vAlign w:val="bottom"/>
            <w:shd w:val="clear" w:color="auto" w:fill="000000"/>
          </w:tcPr>
          <w:p>
            <w:pPr>
              <w:spacing w:after="0"/>
              <w:rPr>
                <w:sz w:val="14"/>
                <w:szCs w:val="14"/>
                <w:color w:val="auto"/>
              </w:rPr>
            </w:pPr>
          </w:p>
        </w:tc>
        <w:tc>
          <w:tcPr>
            <w:tcW w:w="1080" w:type="dxa"/>
            <w:vAlign w:val="bottom"/>
            <w:vMerge w:val="continue"/>
            <w:shd w:val="clear" w:color="auto" w:fill="000000"/>
          </w:tcPr>
          <w:p>
            <w:pPr>
              <w:spacing w:after="0"/>
              <w:rPr>
                <w:sz w:val="14"/>
                <w:szCs w:val="14"/>
                <w:color w:val="auto"/>
              </w:rPr>
            </w:pPr>
          </w:p>
        </w:tc>
        <w:tc>
          <w:tcPr>
            <w:tcW w:w="280" w:type="dxa"/>
            <w:vAlign w:val="bottom"/>
            <w:shd w:val="clear" w:color="auto" w:fill="000000"/>
          </w:tcPr>
          <w:p>
            <w:pPr>
              <w:spacing w:after="0"/>
              <w:rPr>
                <w:sz w:val="14"/>
                <w:szCs w:val="14"/>
                <w:color w:val="auto"/>
              </w:rPr>
            </w:pPr>
          </w:p>
        </w:tc>
        <w:tc>
          <w:tcPr>
            <w:tcW w:w="880" w:type="dxa"/>
            <w:vAlign w:val="bottom"/>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60" w:type="dxa"/>
            <w:vAlign w:val="bottom"/>
          </w:tcPr>
          <w:p>
            <w:pPr>
              <w:spacing w:after="0"/>
              <w:rPr>
                <w:sz w:val="20"/>
                <w:szCs w:val="20"/>
                <w:color w:val="auto"/>
              </w:rPr>
            </w:pPr>
            <w:r>
              <w:rPr>
                <w:rFonts w:ascii="Arial" w:cs="Arial" w:eastAsia="Arial" w:hAnsi="Arial"/>
                <w:sz w:val="15"/>
                <w:szCs w:val="15"/>
                <w:color w:val="auto"/>
              </w:rPr>
              <w:t>Mr. Geveden</w:t>
            </w:r>
          </w:p>
        </w:tc>
        <w:tc>
          <w:tcPr>
            <w:tcW w:w="11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21,101</w:t>
            </w:r>
          </w:p>
        </w:tc>
        <w:tc>
          <w:tcPr>
            <w:tcW w:w="2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260" w:type="dxa"/>
            <w:vAlign w:val="bottom"/>
          </w:tcPr>
          <w:p>
            <w:pPr>
              <w:jc w:val="right"/>
              <w:spacing w:after="0"/>
              <w:rPr>
                <w:sz w:val="20"/>
                <w:szCs w:val="20"/>
                <w:color w:val="auto"/>
              </w:rPr>
            </w:pPr>
            <w:r>
              <w:rPr>
                <w:rFonts w:ascii="Arial" w:cs="Arial" w:eastAsia="Arial" w:hAnsi="Arial"/>
                <w:sz w:val="15"/>
                <w:szCs w:val="15"/>
                <w:color w:val="auto"/>
              </w:rPr>
              <w:t>43,400</w:t>
            </w:r>
          </w:p>
        </w:tc>
        <w:tc>
          <w:tcPr>
            <w:tcW w:w="22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139,368</w:t>
            </w:r>
          </w:p>
        </w:tc>
        <w:tc>
          <w:tcPr>
            <w:tcW w:w="24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12,650</w:t>
            </w:r>
          </w:p>
        </w:tc>
        <w:tc>
          <w:tcPr>
            <w:tcW w:w="280" w:type="dxa"/>
            <w:vAlign w:val="bottom"/>
          </w:tcPr>
          <w:p>
            <w:pPr>
              <w:jc w:val="right"/>
              <w:ind w:right="87"/>
              <w:spacing w:after="0"/>
              <w:rPr>
                <w:sz w:val="20"/>
                <w:szCs w:val="20"/>
                <w:color w:val="auto"/>
              </w:rPr>
            </w:pPr>
            <w:r>
              <w:rPr>
                <w:rFonts w:ascii="Arial" w:cs="Arial" w:eastAsia="Arial" w:hAnsi="Arial"/>
                <w:sz w:val="15"/>
                <w:szCs w:val="15"/>
                <w:color w:val="auto"/>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216,519</w:t>
            </w:r>
          </w:p>
        </w:tc>
        <w:tc>
          <w:tcPr>
            <w:tcW w:w="0" w:type="dxa"/>
            <w:vAlign w:val="bottom"/>
          </w:tcPr>
          <w:p>
            <w:pPr>
              <w:spacing w:after="0"/>
              <w:rPr>
                <w:sz w:val="1"/>
                <w:szCs w:val="1"/>
                <w:color w:val="auto"/>
              </w:rPr>
            </w:pPr>
          </w:p>
        </w:tc>
      </w:tr>
      <w:tr>
        <w:trPr>
          <w:trHeight w:val="196"/>
        </w:trPr>
        <w:tc>
          <w:tcPr>
            <w:tcW w:w="2060" w:type="dxa"/>
            <w:vAlign w:val="bottom"/>
            <w:shd w:val="clear" w:color="auto" w:fill="DBDBDB"/>
          </w:tcPr>
          <w:p>
            <w:pPr>
              <w:spacing w:after="0"/>
              <w:rPr>
                <w:sz w:val="20"/>
                <w:szCs w:val="20"/>
                <w:color w:val="auto"/>
              </w:rPr>
            </w:pPr>
            <w:r>
              <w:rPr>
                <w:rFonts w:ascii="Arial" w:cs="Arial" w:eastAsia="Arial" w:hAnsi="Arial"/>
                <w:sz w:val="15"/>
                <w:szCs w:val="15"/>
                <w:color w:val="auto"/>
              </w:rPr>
              <w:t>Mr. LeMasters</w:t>
            </w:r>
          </w:p>
        </w:tc>
        <w:tc>
          <w:tcPr>
            <w:tcW w:w="11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17,941</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11,700</w:t>
            </w: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2,008</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12,650</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44,299</w:t>
            </w:r>
          </w:p>
        </w:tc>
        <w:tc>
          <w:tcPr>
            <w:tcW w:w="0" w:type="dxa"/>
            <w:vAlign w:val="bottom"/>
          </w:tcPr>
          <w:p>
            <w:pPr>
              <w:spacing w:after="0"/>
              <w:rPr>
                <w:sz w:val="1"/>
                <w:szCs w:val="1"/>
                <w:color w:val="auto"/>
              </w:rPr>
            </w:pPr>
          </w:p>
        </w:tc>
      </w:tr>
      <w:tr>
        <w:trPr>
          <w:trHeight w:val="194"/>
        </w:trPr>
        <w:tc>
          <w:tcPr>
            <w:tcW w:w="2060" w:type="dxa"/>
            <w:vAlign w:val="bottom"/>
          </w:tcPr>
          <w:p>
            <w:pPr>
              <w:spacing w:after="0"/>
              <w:rPr>
                <w:sz w:val="20"/>
                <w:szCs w:val="20"/>
                <w:color w:val="auto"/>
              </w:rPr>
            </w:pPr>
            <w:r>
              <w:rPr>
                <w:rFonts w:ascii="Arial" w:cs="Arial" w:eastAsia="Arial" w:hAnsi="Arial"/>
                <w:sz w:val="15"/>
                <w:szCs w:val="15"/>
                <w:color w:val="auto"/>
              </w:rPr>
              <w:t>Mr. McCabe</w:t>
            </w:r>
          </w:p>
        </w:tc>
        <w:tc>
          <w:tcPr>
            <w:tcW w:w="1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18,300</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14,400</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28,478</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84,460</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145,638</w:t>
            </w:r>
          </w:p>
        </w:tc>
        <w:tc>
          <w:tcPr>
            <w:tcW w:w="0" w:type="dxa"/>
            <w:vAlign w:val="bottom"/>
          </w:tcPr>
          <w:p>
            <w:pPr>
              <w:spacing w:after="0"/>
              <w:rPr>
                <w:sz w:val="1"/>
                <w:szCs w:val="1"/>
                <w:color w:val="auto"/>
              </w:rPr>
            </w:pPr>
          </w:p>
        </w:tc>
      </w:tr>
      <w:tr>
        <w:trPr>
          <w:trHeight w:val="196"/>
        </w:trPr>
        <w:tc>
          <w:tcPr>
            <w:tcW w:w="2060" w:type="dxa"/>
            <w:vAlign w:val="bottom"/>
            <w:shd w:val="clear" w:color="auto" w:fill="DBDBDB"/>
          </w:tcPr>
          <w:p>
            <w:pPr>
              <w:spacing w:after="0"/>
              <w:rPr>
                <w:sz w:val="20"/>
                <w:szCs w:val="20"/>
                <w:color w:val="auto"/>
              </w:rPr>
            </w:pPr>
            <w:r>
              <w:rPr>
                <w:rFonts w:ascii="Arial" w:cs="Arial" w:eastAsia="Arial" w:hAnsi="Arial"/>
                <w:sz w:val="15"/>
                <w:szCs w:val="15"/>
                <w:color w:val="auto"/>
              </w:rPr>
              <w:t>Adm. McCoy</w:t>
            </w:r>
          </w:p>
        </w:tc>
        <w:tc>
          <w:tcPr>
            <w:tcW w:w="112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18,300</w:t>
            </w:r>
          </w:p>
        </w:tc>
        <w:tc>
          <w:tcPr>
            <w:tcW w:w="240" w:type="dxa"/>
            <w:vAlign w:val="bottom"/>
            <w:shd w:val="clear" w:color="auto" w:fill="DBDBDB"/>
          </w:tcPr>
          <w:p>
            <w:pPr>
              <w:spacing w:after="0"/>
              <w:rPr>
                <w:sz w:val="17"/>
                <w:szCs w:val="17"/>
                <w:color w:val="auto"/>
              </w:rPr>
            </w:pPr>
          </w:p>
        </w:tc>
        <w:tc>
          <w:tcPr>
            <w:tcW w:w="12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25,800</w:t>
            </w:r>
          </w:p>
        </w:tc>
        <w:tc>
          <w:tcPr>
            <w:tcW w:w="22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DBDBDB"/>
          </w:tcPr>
          <w:p>
            <w:pPr>
              <w:spacing w:after="0"/>
              <w:rPr>
                <w:sz w:val="17"/>
                <w:szCs w:val="17"/>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w:t>
            </w:r>
          </w:p>
        </w:tc>
        <w:tc>
          <w:tcPr>
            <w:tcW w:w="280" w:type="dxa"/>
            <w:vAlign w:val="bottom"/>
            <w:shd w:val="clear" w:color="auto" w:fill="DBDBDB"/>
          </w:tcPr>
          <w:p>
            <w:pPr>
              <w:spacing w:after="0"/>
              <w:rPr>
                <w:sz w:val="17"/>
                <w:szCs w:val="17"/>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44,100</w:t>
            </w:r>
          </w:p>
        </w:tc>
        <w:tc>
          <w:tcPr>
            <w:tcW w:w="0" w:type="dxa"/>
            <w:vAlign w:val="bottom"/>
          </w:tcPr>
          <w:p>
            <w:pPr>
              <w:spacing w:after="0"/>
              <w:rPr>
                <w:sz w:val="1"/>
                <w:szCs w:val="1"/>
                <w:color w:val="auto"/>
              </w:rPr>
            </w:pPr>
          </w:p>
        </w:tc>
      </w:tr>
      <w:tr>
        <w:trPr>
          <w:trHeight w:val="192"/>
        </w:trPr>
        <w:tc>
          <w:tcPr>
            <w:tcW w:w="2060" w:type="dxa"/>
            <w:vAlign w:val="bottom"/>
          </w:tcPr>
          <w:p>
            <w:pPr>
              <w:spacing w:after="0"/>
              <w:rPr>
                <w:sz w:val="20"/>
                <w:szCs w:val="20"/>
                <w:color w:val="auto"/>
              </w:rPr>
            </w:pPr>
            <w:r>
              <w:rPr>
                <w:rFonts w:ascii="Arial" w:cs="Arial" w:eastAsia="Arial" w:hAnsi="Arial"/>
                <w:sz w:val="15"/>
                <w:szCs w:val="15"/>
                <w:color w:val="auto"/>
              </w:rPr>
              <w:t>Mr. Duffy</w:t>
            </w:r>
          </w:p>
        </w:tc>
        <w:tc>
          <w:tcPr>
            <w:tcW w:w="1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7,625</w:t>
            </w:r>
          </w:p>
        </w:tc>
        <w:tc>
          <w:tcPr>
            <w:tcW w:w="24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7,625</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Thrift Plan Contributions and Restoration Plan Contributions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amounts reported in these columns represent the total amount of matching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service-based contributions made to each Named Executive under our Thrift Plan and our Restoration Plan, respectively. Under our Thrift Plan, we will match 50% of employee’s contributions, up to 6%. Under our Restoration Plan, we will match 50% of the first 6% of employee’s deferral contributions. For information regarding our Thrift Plan and Restoration Plan matching contributions and service-based contributions, see “Compensation Discussion and Analysis – Other Benefits and Practices – Retirement Benefits” above.</w:t>
      </w:r>
    </w:p>
    <w:p>
      <w:pPr>
        <w:spacing w:after="0" w:line="48" w:lineRule="exact"/>
        <w:rPr>
          <w:sz w:val="20"/>
          <w:szCs w:val="20"/>
          <w:color w:val="auto"/>
        </w:rPr>
      </w:pPr>
    </w:p>
    <w:p>
      <w:pPr>
        <w:ind w:right="120"/>
        <w:spacing w:after="0" w:line="264" w:lineRule="auto"/>
        <w:rPr>
          <w:sz w:val="20"/>
          <w:szCs w:val="20"/>
          <w:color w:val="auto"/>
        </w:rPr>
      </w:pPr>
      <w:r>
        <w:rPr>
          <w:rFonts w:ascii="Arial" w:cs="Arial" w:eastAsia="Arial" w:hAnsi="Arial"/>
          <w:sz w:val="16"/>
          <w:szCs w:val="16"/>
          <w:b w:val="1"/>
          <w:bCs w:val="1"/>
          <w:i w:val="1"/>
          <w:iCs w:val="1"/>
          <w:color w:val="auto"/>
        </w:rPr>
        <w:t xml:space="preserve">Dividend Equivalents. </w:t>
      </w:r>
      <w:r>
        <w:rPr>
          <w:rFonts w:ascii="Arial" w:cs="Arial" w:eastAsia="Arial" w:hAnsi="Arial"/>
          <w:sz w:val="16"/>
          <w:szCs w:val="16"/>
          <w:color w:val="auto"/>
        </w:rPr>
        <w:t>The amounts listed in this column for each Named Executive represent the value of dividend equivalents credited to their vested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stock unit and performance restricted stock unit awards in 2022. Dividend equivalents credited to unvested restricted stock units and performance restricted stock units are subject to the same vesting period as the restricted stock units with respect to which the dividend equivalents are paid. Dividend equivalents credited to deferred restricted stock units and performance restricted stock units are subject to the same deferral period as the restricted stock units with respect to which the dividend equivalents are paid.</w:t>
      </w:r>
    </w:p>
    <w:p>
      <w:pPr>
        <w:spacing w:after="0" w:line="3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b w:val="1"/>
          <w:bCs w:val="1"/>
          <w:i w:val="1"/>
          <w:iCs w:val="1"/>
          <w:color w:val="auto"/>
        </w:rPr>
        <w:t>Perquisites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accordance with SEC rules, perquisites and other personal benefits received by a Named Executive are not included if their aggregate value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does not exceed $10,000. The perquisites and other personal benefits reported for our Named Executives in 2022 are as follows:</w:t>
      </w:r>
    </w:p>
    <w:p>
      <w:pPr>
        <w:spacing w:after="0" w:line="85" w:lineRule="exact"/>
        <w:rPr>
          <w:sz w:val="20"/>
          <w:szCs w:val="20"/>
          <w:color w:val="auto"/>
        </w:rPr>
      </w:pPr>
    </w:p>
    <w:p>
      <w:pPr>
        <w:ind w:left="320" w:hanging="286"/>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reported for Mr. Geveden is attributable to $12,650 for financial planning services.</w:t>
      </w:r>
    </w:p>
    <w:p>
      <w:pPr>
        <w:spacing w:after="0" w:line="108" w:lineRule="exact"/>
        <w:rPr>
          <w:rFonts w:ascii="Arial" w:cs="Arial" w:eastAsia="Arial" w:hAnsi="Arial"/>
          <w:sz w:val="16"/>
          <w:szCs w:val="16"/>
          <w:color w:val="auto"/>
        </w:rPr>
      </w:pPr>
    </w:p>
    <w:p>
      <w:pPr>
        <w:ind w:left="320" w:hanging="286"/>
        <w:spacing w:after="0"/>
        <w:tabs>
          <w:tab w:leader="none" w:pos="32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reported for Mr. LeMasters is attributable to $12,660 for financial planning services.</w:t>
      </w:r>
    </w:p>
    <w:p>
      <w:pPr>
        <w:spacing w:after="0" w:line="108" w:lineRule="exact"/>
        <w:rPr>
          <w:rFonts w:ascii="Arial" w:cs="Arial" w:eastAsia="Arial" w:hAnsi="Arial"/>
          <w:sz w:val="16"/>
          <w:szCs w:val="16"/>
          <w:color w:val="auto"/>
        </w:rPr>
      </w:pPr>
    </w:p>
    <w:p>
      <w:pPr>
        <w:ind w:left="320" w:right="40" w:hanging="286"/>
        <w:spacing w:after="0" w:line="294" w:lineRule="auto"/>
        <w:tabs>
          <w:tab w:leader="none" w:pos="316"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reported for Mr. McCabe is attributable to $12,650 for financial planning services and $71,810 for relocation costs related to his move to our Washington office during 2022.</w:t>
      </w:r>
    </w:p>
    <w:p>
      <w:pPr>
        <w:spacing w:after="0" w:line="36" w:lineRule="exact"/>
        <w:rPr>
          <w:sz w:val="20"/>
          <w:szCs w:val="20"/>
          <w:color w:val="auto"/>
        </w:rPr>
      </w:pPr>
    </w:p>
    <w:p>
      <w:pPr>
        <w:ind w:right="520"/>
        <w:spacing w:after="0" w:line="294" w:lineRule="auto"/>
        <w:rPr>
          <w:sz w:val="20"/>
          <w:szCs w:val="20"/>
          <w:color w:val="auto"/>
        </w:rPr>
      </w:pPr>
      <w:r>
        <w:rPr>
          <w:rFonts w:ascii="Arial" w:cs="Arial" w:eastAsia="Arial" w:hAnsi="Arial"/>
          <w:sz w:val="16"/>
          <w:szCs w:val="16"/>
          <w:color w:val="auto"/>
        </w:rPr>
        <w:t>We calculate all perquisites and personal benefits based on the incremental cost we incur to provide such benefits. For financial planning services, we compute incremental cost based on the actual cost incurred by us for the financial planning service for the applicable Named Executive.</w:t>
      </w:r>
    </w:p>
    <w:p>
      <w:pPr>
        <w:spacing w:after="0" w:line="27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1" w:name="page52"/>
    <w:bookmarkEnd w:id="51"/>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GRANTS OF PLAN-BASED AWARDS</w:t>
      </w:r>
    </w:p>
    <w:p>
      <w:pPr>
        <w:spacing w:after="0" w:line="9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The following table provides additional information on stock awards and non-equity incentive plan awards made to our Named Executives during the year ended December 31, 2022. No stock option awards were granted to our Named Executives in 2022.</w:t>
      </w:r>
    </w:p>
    <w:tbl>
      <w:tblPr>
        <w:tblLayout w:type="fixed"/>
        <w:tblInd w:w="0" w:type="dxa"/>
        <w:tblCellMar>
          <w:top w:w="0" w:type="dxa"/>
          <w:left w:w="0" w:type="dxa"/>
          <w:bottom w:w="0" w:type="dxa"/>
          <w:right w:w="0" w:type="dxa"/>
        </w:tblCellMar>
      </w:tblPr>
      <w:tr>
        <w:trPr>
          <w:trHeight w:val="122"/>
        </w:trPr>
        <w:tc>
          <w:tcPr>
            <w:tcW w:w="188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2360" w:type="dxa"/>
            <w:vAlign w:val="bottom"/>
            <w:gridSpan w:val="5"/>
            <w:vMerge w:val="restart"/>
            <w:shd w:val="clear" w:color="auto" w:fill="000000"/>
          </w:tcPr>
          <w:p>
            <w:pPr>
              <w:jc w:val="center"/>
              <w:ind w:left="498"/>
              <w:spacing w:after="0"/>
              <w:rPr>
                <w:sz w:val="20"/>
                <w:szCs w:val="20"/>
                <w:color w:val="auto"/>
              </w:rPr>
            </w:pPr>
            <w:r>
              <w:rPr>
                <w:rFonts w:ascii="Arial" w:cs="Arial" w:eastAsia="Arial" w:hAnsi="Arial"/>
                <w:sz w:val="11"/>
                <w:szCs w:val="11"/>
                <w:b w:val="1"/>
                <w:bCs w:val="1"/>
                <w:color w:val="FFFFFF"/>
              </w:rPr>
              <w:t>Estimated Future Payouts</w:t>
            </w:r>
          </w:p>
        </w:tc>
        <w:tc>
          <w:tcPr>
            <w:tcW w:w="540" w:type="dxa"/>
            <w:vAlign w:val="bottom"/>
            <w:shd w:val="clear" w:color="auto" w:fill="000000"/>
          </w:tcPr>
          <w:p>
            <w:pPr>
              <w:spacing w:after="0"/>
              <w:rPr>
                <w:sz w:val="10"/>
                <w:szCs w:val="10"/>
                <w:color w:val="auto"/>
              </w:rPr>
            </w:pPr>
          </w:p>
        </w:tc>
        <w:tc>
          <w:tcPr>
            <w:tcW w:w="2020" w:type="dxa"/>
            <w:vAlign w:val="bottom"/>
            <w:gridSpan w:val="3"/>
            <w:shd w:val="clear" w:color="auto" w:fill="000000"/>
          </w:tcPr>
          <w:p>
            <w:pPr>
              <w:jc w:val="center"/>
              <w:ind w:left="419"/>
              <w:spacing w:after="0" w:line="122" w:lineRule="exact"/>
              <w:rPr>
                <w:sz w:val="20"/>
                <w:szCs w:val="20"/>
                <w:color w:val="auto"/>
              </w:rPr>
            </w:pPr>
            <w:r>
              <w:rPr>
                <w:rFonts w:ascii="Arial" w:cs="Arial" w:eastAsia="Arial" w:hAnsi="Arial"/>
                <w:sz w:val="11"/>
                <w:szCs w:val="11"/>
                <w:b w:val="1"/>
                <w:bCs w:val="1"/>
                <w:color w:val="FFFFFF"/>
              </w:rPr>
              <w:t>Estimated Future Payouts</w:t>
            </w:r>
          </w:p>
        </w:tc>
        <w:tc>
          <w:tcPr>
            <w:tcW w:w="470" w:type="dxa"/>
            <w:vAlign w:val="bottom"/>
            <w:shd w:val="clear" w:color="auto" w:fill="000000"/>
          </w:tcPr>
          <w:p>
            <w:pPr>
              <w:spacing w:after="0"/>
              <w:rPr>
                <w:sz w:val="10"/>
                <w:szCs w:val="10"/>
                <w:color w:val="auto"/>
              </w:rPr>
            </w:pPr>
          </w:p>
        </w:tc>
        <w:tc>
          <w:tcPr>
            <w:tcW w:w="860" w:type="dxa"/>
            <w:vAlign w:val="bottom"/>
            <w:vMerge w:val="restart"/>
            <w:shd w:val="clear" w:color="auto" w:fill="000000"/>
          </w:tcPr>
          <w:p>
            <w:pPr>
              <w:jc w:val="center"/>
              <w:spacing w:after="0"/>
              <w:rPr>
                <w:sz w:val="20"/>
                <w:szCs w:val="20"/>
                <w:color w:val="auto"/>
              </w:rPr>
            </w:pPr>
            <w:r>
              <w:rPr>
                <w:rFonts w:ascii="Arial" w:cs="Arial" w:eastAsia="Arial" w:hAnsi="Arial"/>
                <w:sz w:val="11"/>
                <w:szCs w:val="11"/>
                <w:b w:val="1"/>
                <w:bCs w:val="1"/>
                <w:color w:val="FFFFFF"/>
              </w:rPr>
              <w:t>All Other</w:t>
            </w:r>
          </w:p>
        </w:tc>
        <w:tc>
          <w:tcPr>
            <w:tcW w:w="150" w:type="dxa"/>
            <w:vAlign w:val="bottom"/>
            <w:shd w:val="clear" w:color="auto" w:fill="000000"/>
          </w:tcPr>
          <w:p>
            <w:pPr>
              <w:spacing w:after="0"/>
              <w:rPr>
                <w:sz w:val="10"/>
                <w:szCs w:val="10"/>
                <w:color w:val="auto"/>
              </w:rPr>
            </w:pPr>
          </w:p>
        </w:tc>
        <w:tc>
          <w:tcPr>
            <w:tcW w:w="9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6"/>
        </w:trPr>
        <w:tc>
          <w:tcPr>
            <w:tcW w:w="188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2360" w:type="dxa"/>
            <w:vAlign w:val="bottom"/>
            <w:gridSpan w:val="5"/>
            <w:vMerge w:val="continue"/>
            <w:shd w:val="clear" w:color="auto" w:fill="000000"/>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2020" w:type="dxa"/>
            <w:vAlign w:val="bottom"/>
            <w:gridSpan w:val="3"/>
            <w:shd w:val="clear" w:color="auto" w:fill="000000"/>
          </w:tcPr>
          <w:p>
            <w:pPr>
              <w:jc w:val="center"/>
              <w:ind w:left="419"/>
              <w:spacing w:after="0" w:line="116" w:lineRule="exact"/>
              <w:rPr>
                <w:sz w:val="20"/>
                <w:szCs w:val="20"/>
                <w:color w:val="auto"/>
              </w:rPr>
            </w:pPr>
            <w:r>
              <w:rPr>
                <w:rFonts w:ascii="Arial" w:cs="Arial" w:eastAsia="Arial" w:hAnsi="Arial"/>
                <w:sz w:val="11"/>
                <w:szCs w:val="11"/>
                <w:b w:val="1"/>
                <w:bCs w:val="1"/>
                <w:color w:val="FFFFFF"/>
              </w:rPr>
              <w:t>Under Equity Incentive Plan</w:t>
            </w:r>
          </w:p>
        </w:tc>
        <w:tc>
          <w:tcPr>
            <w:tcW w:w="470" w:type="dxa"/>
            <w:vAlign w:val="bottom"/>
            <w:shd w:val="clear" w:color="auto" w:fill="000000"/>
          </w:tcPr>
          <w:p>
            <w:pPr>
              <w:spacing w:after="0"/>
              <w:rPr>
                <w:sz w:val="10"/>
                <w:szCs w:val="10"/>
                <w:color w:val="auto"/>
              </w:rPr>
            </w:pPr>
          </w:p>
        </w:tc>
        <w:tc>
          <w:tcPr>
            <w:tcW w:w="860" w:type="dxa"/>
            <w:vAlign w:val="bottom"/>
            <w:vMerge w:val="continue"/>
            <w:shd w:val="clear" w:color="auto" w:fill="000000"/>
          </w:tcPr>
          <w:p>
            <w:pPr>
              <w:spacing w:after="0"/>
              <w:rPr>
                <w:sz w:val="10"/>
                <w:szCs w:val="10"/>
                <w:color w:val="auto"/>
              </w:rPr>
            </w:pPr>
          </w:p>
        </w:tc>
        <w:tc>
          <w:tcPr>
            <w:tcW w:w="150" w:type="dxa"/>
            <w:vAlign w:val="bottom"/>
            <w:shd w:val="clear" w:color="auto" w:fill="000000"/>
          </w:tcPr>
          <w:p>
            <w:pPr>
              <w:spacing w:after="0"/>
              <w:rPr>
                <w:sz w:val="10"/>
                <w:szCs w:val="10"/>
                <w:color w:val="auto"/>
              </w:rPr>
            </w:pPr>
          </w:p>
        </w:tc>
        <w:tc>
          <w:tcPr>
            <w:tcW w:w="9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000000"/>
          </w:tcPr>
          <w:p>
            <w:pPr>
              <w:spacing w:after="0"/>
              <w:rPr>
                <w:sz w:val="12"/>
                <w:szCs w:val="12"/>
                <w:color w:val="auto"/>
              </w:rPr>
            </w:pPr>
          </w:p>
        </w:tc>
        <w:tc>
          <w:tcPr>
            <w:tcW w:w="940" w:type="dxa"/>
            <w:vAlign w:val="bottom"/>
            <w:shd w:val="clear" w:color="auto" w:fill="000000"/>
          </w:tcPr>
          <w:p>
            <w:pPr>
              <w:spacing w:after="0"/>
              <w:rPr>
                <w:sz w:val="12"/>
                <w:szCs w:val="12"/>
                <w:color w:val="auto"/>
              </w:rPr>
            </w:pPr>
          </w:p>
        </w:tc>
        <w:tc>
          <w:tcPr>
            <w:tcW w:w="980" w:type="dxa"/>
            <w:vAlign w:val="bottom"/>
            <w:shd w:val="clear" w:color="auto" w:fill="000000"/>
          </w:tcPr>
          <w:p>
            <w:pPr>
              <w:spacing w:after="0"/>
              <w:rPr>
                <w:sz w:val="12"/>
                <w:szCs w:val="12"/>
                <w:color w:val="auto"/>
              </w:rPr>
            </w:pPr>
          </w:p>
        </w:tc>
        <w:tc>
          <w:tcPr>
            <w:tcW w:w="2360" w:type="dxa"/>
            <w:vAlign w:val="bottom"/>
            <w:gridSpan w:val="5"/>
            <w:shd w:val="clear" w:color="auto" w:fill="000000"/>
          </w:tcPr>
          <w:p>
            <w:pPr>
              <w:jc w:val="center"/>
              <w:ind w:left="498"/>
              <w:spacing w:after="0"/>
              <w:rPr>
                <w:sz w:val="20"/>
                <w:szCs w:val="20"/>
                <w:color w:val="auto"/>
              </w:rPr>
            </w:pPr>
            <w:r>
              <w:rPr>
                <w:rFonts w:ascii="Arial" w:cs="Arial" w:eastAsia="Arial" w:hAnsi="Arial"/>
                <w:sz w:val="11"/>
                <w:szCs w:val="11"/>
                <w:b w:val="1"/>
                <w:bCs w:val="1"/>
                <w:color w:val="FFFFFF"/>
              </w:rPr>
              <w:t>Under Non-Equity Incentive Plan</w:t>
            </w:r>
          </w:p>
        </w:tc>
        <w:tc>
          <w:tcPr>
            <w:tcW w:w="540" w:type="dxa"/>
            <w:vAlign w:val="bottom"/>
            <w:shd w:val="clear" w:color="auto" w:fill="000000"/>
          </w:tcPr>
          <w:p>
            <w:pPr>
              <w:spacing w:after="0"/>
              <w:rPr>
                <w:sz w:val="12"/>
                <w:szCs w:val="12"/>
                <w:color w:val="auto"/>
              </w:rPr>
            </w:pPr>
          </w:p>
        </w:tc>
        <w:tc>
          <w:tcPr>
            <w:tcW w:w="2490" w:type="dxa"/>
            <w:vAlign w:val="bottom"/>
            <w:gridSpan w:val="4"/>
            <w:shd w:val="clear" w:color="auto" w:fill="000000"/>
          </w:tcPr>
          <w:p>
            <w:pPr>
              <w:jc w:val="center"/>
              <w:spacing w:after="0"/>
              <w:rPr>
                <w:sz w:val="20"/>
                <w:szCs w:val="20"/>
                <w:color w:val="auto"/>
              </w:rPr>
            </w:pPr>
            <w:r>
              <w:rPr>
                <w:rFonts w:ascii="Arial" w:cs="Arial" w:eastAsia="Arial" w:hAnsi="Arial"/>
                <w:sz w:val="11"/>
                <w:szCs w:val="11"/>
                <w:b w:val="1"/>
                <w:bCs w:val="1"/>
                <w:color w:val="FFFFFF"/>
              </w:rPr>
              <w:t>Awards; Number of Shares of Stock or</w:t>
            </w:r>
          </w:p>
        </w:tc>
        <w:tc>
          <w:tcPr>
            <w:tcW w:w="860" w:type="dxa"/>
            <w:vAlign w:val="bottom"/>
            <w:shd w:val="clear" w:color="auto" w:fill="000000"/>
          </w:tcPr>
          <w:p>
            <w:pPr>
              <w:jc w:val="center"/>
              <w:spacing w:after="0"/>
              <w:rPr>
                <w:sz w:val="20"/>
                <w:szCs w:val="20"/>
                <w:color w:val="auto"/>
              </w:rPr>
            </w:pPr>
            <w:r>
              <w:rPr>
                <w:rFonts w:ascii="Arial" w:cs="Arial" w:eastAsia="Arial" w:hAnsi="Arial"/>
                <w:sz w:val="11"/>
                <w:szCs w:val="11"/>
                <w:b w:val="1"/>
                <w:bCs w:val="1"/>
                <w:color w:val="FFFFFF"/>
              </w:rPr>
              <w:t>Stock</w:t>
            </w:r>
          </w:p>
        </w:tc>
        <w:tc>
          <w:tcPr>
            <w:tcW w:w="150" w:type="dxa"/>
            <w:vAlign w:val="bottom"/>
            <w:shd w:val="clear" w:color="auto" w:fill="000000"/>
          </w:tcPr>
          <w:p>
            <w:pPr>
              <w:spacing w:after="0"/>
              <w:rPr>
                <w:sz w:val="12"/>
                <w:szCs w:val="12"/>
                <w:color w:val="auto"/>
              </w:rPr>
            </w:pPr>
          </w:p>
        </w:tc>
        <w:tc>
          <w:tcPr>
            <w:tcW w:w="90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88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98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74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14"/>
                <w:szCs w:val="14"/>
                <w:b w:val="1"/>
                <w:bCs w:val="1"/>
                <w:color w:val="FFFFFF"/>
                <w:w w:val="97"/>
                <w:vertAlign w:val="superscript"/>
              </w:rPr>
              <w:t>(1)</w:t>
            </w:r>
          </w:p>
        </w:tc>
        <w:tc>
          <w:tcPr>
            <w:tcW w:w="180" w:type="dxa"/>
            <w:vAlign w:val="bottom"/>
            <w:shd w:val="clear" w:color="auto" w:fill="000000"/>
          </w:tcPr>
          <w:p>
            <w:pPr>
              <w:spacing w:after="0"/>
              <w:rPr>
                <w:sz w:val="10"/>
                <w:szCs w:val="10"/>
                <w:color w:val="auto"/>
              </w:rPr>
            </w:pPr>
          </w:p>
        </w:tc>
        <w:tc>
          <w:tcPr>
            <w:tcW w:w="320" w:type="dxa"/>
            <w:vAlign w:val="bottom"/>
            <w:shd w:val="clear" w:color="auto" w:fill="000000"/>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940" w:type="dxa"/>
            <w:vAlign w:val="bottom"/>
            <w:shd w:val="clear" w:color="auto" w:fill="000000"/>
          </w:tcPr>
          <w:p>
            <w:pPr>
              <w:spacing w:after="0"/>
              <w:rPr>
                <w:sz w:val="10"/>
                <w:szCs w:val="10"/>
                <w:color w:val="auto"/>
              </w:rPr>
            </w:pPr>
          </w:p>
        </w:tc>
        <w:tc>
          <w:tcPr>
            <w:tcW w:w="68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w w:val="97"/>
              </w:rPr>
              <w:t>Units</w:t>
            </w:r>
            <w:r>
              <w:rPr>
                <w:rFonts w:ascii="Arial" w:cs="Arial" w:eastAsia="Arial" w:hAnsi="Arial"/>
                <w:sz w:val="14"/>
                <w:szCs w:val="14"/>
                <w:b w:val="1"/>
                <w:bCs w:val="1"/>
                <w:color w:val="FFFFFF"/>
                <w:w w:val="97"/>
                <w:vertAlign w:val="superscript"/>
              </w:rPr>
              <w:t>(2)</w:t>
            </w:r>
          </w:p>
        </w:tc>
        <w:tc>
          <w:tcPr>
            <w:tcW w:w="400" w:type="dxa"/>
            <w:vAlign w:val="bottom"/>
            <w:shd w:val="clear" w:color="auto" w:fill="000000"/>
          </w:tcPr>
          <w:p>
            <w:pPr>
              <w:spacing w:after="0"/>
              <w:rPr>
                <w:sz w:val="10"/>
                <w:szCs w:val="10"/>
                <w:color w:val="auto"/>
              </w:rPr>
            </w:pPr>
          </w:p>
        </w:tc>
        <w:tc>
          <w:tcPr>
            <w:tcW w:w="470" w:type="dxa"/>
            <w:vAlign w:val="bottom"/>
            <w:shd w:val="clear" w:color="auto" w:fill="000000"/>
          </w:tcPr>
          <w:p>
            <w:pPr>
              <w:spacing w:after="0"/>
              <w:rPr>
                <w:sz w:val="10"/>
                <w:szCs w:val="10"/>
                <w:color w:val="auto"/>
              </w:rPr>
            </w:pPr>
          </w:p>
        </w:tc>
        <w:tc>
          <w:tcPr>
            <w:tcW w:w="86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rPr>
              <w:t>Awards:</w:t>
            </w:r>
          </w:p>
        </w:tc>
        <w:tc>
          <w:tcPr>
            <w:tcW w:w="150" w:type="dxa"/>
            <w:vAlign w:val="bottom"/>
            <w:shd w:val="clear" w:color="auto" w:fill="000000"/>
          </w:tcPr>
          <w:p>
            <w:pPr>
              <w:spacing w:after="0"/>
              <w:rPr>
                <w:sz w:val="10"/>
                <w:szCs w:val="10"/>
                <w:color w:val="auto"/>
              </w:rPr>
            </w:pPr>
          </w:p>
        </w:tc>
        <w:tc>
          <w:tcPr>
            <w:tcW w:w="90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880" w:type="dxa"/>
            <w:vAlign w:val="bottom"/>
            <w:shd w:val="clear" w:color="auto" w:fill="000000"/>
          </w:tcPr>
          <w:p>
            <w:pPr>
              <w:spacing w:after="0"/>
              <w:rPr>
                <w:sz w:val="9"/>
                <w:szCs w:val="9"/>
                <w:color w:val="auto"/>
              </w:rPr>
            </w:pPr>
          </w:p>
        </w:tc>
        <w:tc>
          <w:tcPr>
            <w:tcW w:w="940" w:type="dxa"/>
            <w:vAlign w:val="bottom"/>
            <w:shd w:val="clear" w:color="auto" w:fill="000000"/>
          </w:tcPr>
          <w:p>
            <w:pPr>
              <w:spacing w:after="0"/>
              <w:rPr>
                <w:sz w:val="9"/>
                <w:szCs w:val="9"/>
                <w:color w:val="auto"/>
              </w:rPr>
            </w:pPr>
          </w:p>
        </w:tc>
        <w:tc>
          <w:tcPr>
            <w:tcW w:w="980" w:type="dxa"/>
            <w:vAlign w:val="bottom"/>
            <w:vMerge w:val="restart"/>
            <w:shd w:val="clear" w:color="auto" w:fill="000000"/>
          </w:tcPr>
          <w:p>
            <w:pPr>
              <w:jc w:val="center"/>
              <w:spacing w:after="0"/>
              <w:rPr>
                <w:sz w:val="20"/>
                <w:szCs w:val="20"/>
                <w:color w:val="auto"/>
              </w:rPr>
            </w:pPr>
            <w:r>
              <w:rPr>
                <w:rFonts w:ascii="Arial" w:cs="Arial" w:eastAsia="Arial" w:hAnsi="Arial"/>
                <w:sz w:val="11"/>
                <w:szCs w:val="11"/>
                <w:b w:val="1"/>
                <w:bCs w:val="1"/>
                <w:color w:val="FFFFFF"/>
              </w:rPr>
              <w:t>Committee</w:t>
            </w:r>
          </w:p>
        </w:tc>
        <w:tc>
          <w:tcPr>
            <w:tcW w:w="9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320" w:type="dxa"/>
            <w:vAlign w:val="bottom"/>
            <w:shd w:val="clear" w:color="auto" w:fill="000000"/>
          </w:tcPr>
          <w:p>
            <w:pPr>
              <w:spacing w:after="0"/>
              <w:rPr>
                <w:sz w:val="9"/>
                <w:szCs w:val="9"/>
                <w:color w:val="auto"/>
              </w:rPr>
            </w:pPr>
          </w:p>
        </w:tc>
        <w:tc>
          <w:tcPr>
            <w:tcW w:w="540" w:type="dxa"/>
            <w:vAlign w:val="bottom"/>
            <w:shd w:val="clear" w:color="auto" w:fill="000000"/>
          </w:tcPr>
          <w:p>
            <w:pPr>
              <w:spacing w:after="0"/>
              <w:rPr>
                <w:sz w:val="9"/>
                <w:szCs w:val="9"/>
                <w:color w:val="auto"/>
              </w:rPr>
            </w:pPr>
          </w:p>
        </w:tc>
        <w:tc>
          <w:tcPr>
            <w:tcW w:w="940" w:type="dxa"/>
            <w:vAlign w:val="bottom"/>
            <w:shd w:val="clear" w:color="auto" w:fill="000000"/>
          </w:tcPr>
          <w:p>
            <w:pPr>
              <w:spacing w:after="0"/>
              <w:rPr>
                <w:sz w:val="9"/>
                <w:szCs w:val="9"/>
                <w:color w:val="auto"/>
              </w:rPr>
            </w:pPr>
          </w:p>
        </w:tc>
        <w:tc>
          <w:tcPr>
            <w:tcW w:w="680" w:type="dxa"/>
            <w:vAlign w:val="bottom"/>
            <w:shd w:val="clear" w:color="auto" w:fill="000000"/>
          </w:tcPr>
          <w:p>
            <w:pPr>
              <w:spacing w:after="0"/>
              <w:rPr>
                <w:sz w:val="9"/>
                <w:szCs w:val="9"/>
                <w:color w:val="auto"/>
              </w:rPr>
            </w:pPr>
          </w:p>
        </w:tc>
        <w:tc>
          <w:tcPr>
            <w:tcW w:w="400" w:type="dxa"/>
            <w:vAlign w:val="bottom"/>
            <w:shd w:val="clear" w:color="auto" w:fill="000000"/>
          </w:tcPr>
          <w:p>
            <w:pPr>
              <w:spacing w:after="0"/>
              <w:rPr>
                <w:sz w:val="9"/>
                <w:szCs w:val="9"/>
                <w:color w:val="auto"/>
              </w:rPr>
            </w:pPr>
          </w:p>
        </w:tc>
        <w:tc>
          <w:tcPr>
            <w:tcW w:w="470" w:type="dxa"/>
            <w:vAlign w:val="bottom"/>
            <w:shd w:val="clear" w:color="auto" w:fill="000000"/>
          </w:tcPr>
          <w:p>
            <w:pPr>
              <w:spacing w:after="0"/>
              <w:rPr>
                <w:sz w:val="9"/>
                <w:szCs w:val="9"/>
                <w:color w:val="auto"/>
              </w:rPr>
            </w:pPr>
          </w:p>
        </w:tc>
        <w:tc>
          <w:tcPr>
            <w:tcW w:w="860" w:type="dxa"/>
            <w:vAlign w:val="bottom"/>
            <w:shd w:val="clear" w:color="auto" w:fill="000000"/>
          </w:tcPr>
          <w:p>
            <w:pPr>
              <w:jc w:val="center"/>
              <w:spacing w:after="0" w:line="110" w:lineRule="exact"/>
              <w:rPr>
                <w:sz w:val="20"/>
                <w:szCs w:val="20"/>
                <w:color w:val="auto"/>
              </w:rPr>
            </w:pPr>
            <w:r>
              <w:rPr>
                <w:rFonts w:ascii="Arial" w:cs="Arial" w:eastAsia="Arial" w:hAnsi="Arial"/>
                <w:sz w:val="11"/>
                <w:szCs w:val="11"/>
                <w:b w:val="1"/>
                <w:bCs w:val="1"/>
                <w:color w:val="FFFFFF"/>
              </w:rPr>
              <w:t>Number of</w:t>
            </w:r>
          </w:p>
        </w:tc>
        <w:tc>
          <w:tcPr>
            <w:tcW w:w="150" w:type="dxa"/>
            <w:vAlign w:val="bottom"/>
            <w:shd w:val="clear" w:color="auto" w:fill="000000"/>
          </w:tcPr>
          <w:p>
            <w:pPr>
              <w:spacing w:after="0"/>
              <w:rPr>
                <w:sz w:val="9"/>
                <w:szCs w:val="9"/>
                <w:color w:val="auto"/>
              </w:rPr>
            </w:pPr>
          </w:p>
        </w:tc>
        <w:tc>
          <w:tcPr>
            <w:tcW w:w="900" w:type="dxa"/>
            <w:vAlign w:val="bottom"/>
            <w:shd w:val="clear" w:color="auto" w:fill="000000"/>
          </w:tcPr>
          <w:p>
            <w:pPr>
              <w:jc w:val="center"/>
              <w:ind w:right="98"/>
              <w:spacing w:after="0" w:line="110" w:lineRule="exact"/>
              <w:rPr>
                <w:sz w:val="20"/>
                <w:szCs w:val="20"/>
                <w:color w:val="auto"/>
              </w:rPr>
            </w:pPr>
            <w:r>
              <w:rPr>
                <w:rFonts w:ascii="Arial" w:cs="Arial" w:eastAsia="Arial" w:hAnsi="Arial"/>
                <w:sz w:val="11"/>
                <w:szCs w:val="11"/>
                <w:b w:val="1"/>
                <w:bCs w:val="1"/>
                <w:color w:val="FFFFFF"/>
              </w:rPr>
              <w:t>Grant Date</w:t>
            </w:r>
          </w:p>
        </w:tc>
        <w:tc>
          <w:tcPr>
            <w:tcW w:w="0" w:type="dxa"/>
            <w:vAlign w:val="bottom"/>
          </w:tcPr>
          <w:p>
            <w:pPr>
              <w:spacing w:after="0"/>
              <w:rPr>
                <w:sz w:val="1"/>
                <w:szCs w:val="1"/>
                <w:color w:val="auto"/>
              </w:rPr>
            </w:pPr>
          </w:p>
        </w:tc>
      </w:tr>
      <w:tr>
        <w:trPr>
          <w:trHeight w:val="110"/>
        </w:trPr>
        <w:tc>
          <w:tcPr>
            <w:tcW w:w="1880" w:type="dxa"/>
            <w:vAlign w:val="bottom"/>
            <w:shd w:val="clear" w:color="auto" w:fill="000000"/>
          </w:tcPr>
          <w:p>
            <w:pPr>
              <w:spacing w:after="0"/>
              <w:rPr>
                <w:sz w:val="9"/>
                <w:szCs w:val="9"/>
                <w:color w:val="auto"/>
              </w:rPr>
            </w:pPr>
          </w:p>
        </w:tc>
        <w:tc>
          <w:tcPr>
            <w:tcW w:w="940" w:type="dxa"/>
            <w:vAlign w:val="bottom"/>
            <w:vMerge w:val="restart"/>
            <w:shd w:val="clear" w:color="auto" w:fill="000000"/>
          </w:tcPr>
          <w:p>
            <w:pPr>
              <w:ind w:left="320"/>
              <w:spacing w:after="0"/>
              <w:rPr>
                <w:sz w:val="20"/>
                <w:szCs w:val="20"/>
                <w:color w:val="auto"/>
              </w:rPr>
            </w:pPr>
            <w:r>
              <w:rPr>
                <w:rFonts w:ascii="Arial" w:cs="Arial" w:eastAsia="Arial" w:hAnsi="Arial"/>
                <w:sz w:val="11"/>
                <w:szCs w:val="11"/>
                <w:b w:val="1"/>
                <w:bCs w:val="1"/>
                <w:color w:val="FFFFFF"/>
              </w:rPr>
              <w:t>Grant</w:t>
            </w:r>
          </w:p>
        </w:tc>
        <w:tc>
          <w:tcPr>
            <w:tcW w:w="980" w:type="dxa"/>
            <w:vAlign w:val="bottom"/>
            <w:vMerge w:val="continue"/>
            <w:shd w:val="clear" w:color="auto" w:fill="000000"/>
          </w:tcPr>
          <w:p>
            <w:pPr>
              <w:spacing w:after="0"/>
              <w:rPr>
                <w:sz w:val="9"/>
                <w:szCs w:val="9"/>
                <w:color w:val="auto"/>
              </w:rPr>
            </w:pPr>
          </w:p>
        </w:tc>
        <w:tc>
          <w:tcPr>
            <w:tcW w:w="9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740" w:type="dxa"/>
            <w:vAlign w:val="bottom"/>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320" w:type="dxa"/>
            <w:vAlign w:val="bottom"/>
            <w:shd w:val="clear" w:color="auto" w:fill="000000"/>
          </w:tcPr>
          <w:p>
            <w:pPr>
              <w:spacing w:after="0"/>
              <w:rPr>
                <w:sz w:val="9"/>
                <w:szCs w:val="9"/>
                <w:color w:val="auto"/>
              </w:rPr>
            </w:pPr>
          </w:p>
        </w:tc>
        <w:tc>
          <w:tcPr>
            <w:tcW w:w="540" w:type="dxa"/>
            <w:vAlign w:val="bottom"/>
            <w:shd w:val="clear" w:color="auto" w:fill="000000"/>
          </w:tcPr>
          <w:p>
            <w:pPr>
              <w:spacing w:after="0"/>
              <w:rPr>
                <w:sz w:val="9"/>
                <w:szCs w:val="9"/>
                <w:color w:val="auto"/>
              </w:rPr>
            </w:pPr>
          </w:p>
        </w:tc>
        <w:tc>
          <w:tcPr>
            <w:tcW w:w="940" w:type="dxa"/>
            <w:vAlign w:val="bottom"/>
            <w:shd w:val="clear" w:color="auto" w:fill="000000"/>
          </w:tcPr>
          <w:p>
            <w:pPr>
              <w:spacing w:after="0"/>
              <w:rPr>
                <w:sz w:val="9"/>
                <w:szCs w:val="9"/>
                <w:color w:val="auto"/>
              </w:rPr>
            </w:pPr>
          </w:p>
        </w:tc>
        <w:tc>
          <w:tcPr>
            <w:tcW w:w="680" w:type="dxa"/>
            <w:vAlign w:val="bottom"/>
            <w:shd w:val="clear" w:color="auto" w:fill="000000"/>
          </w:tcPr>
          <w:p>
            <w:pPr>
              <w:spacing w:after="0"/>
              <w:rPr>
                <w:sz w:val="9"/>
                <w:szCs w:val="9"/>
                <w:color w:val="auto"/>
              </w:rPr>
            </w:pPr>
          </w:p>
        </w:tc>
        <w:tc>
          <w:tcPr>
            <w:tcW w:w="400" w:type="dxa"/>
            <w:vAlign w:val="bottom"/>
            <w:shd w:val="clear" w:color="auto" w:fill="000000"/>
          </w:tcPr>
          <w:p>
            <w:pPr>
              <w:spacing w:after="0"/>
              <w:rPr>
                <w:sz w:val="9"/>
                <w:szCs w:val="9"/>
                <w:color w:val="auto"/>
              </w:rPr>
            </w:pPr>
          </w:p>
        </w:tc>
        <w:tc>
          <w:tcPr>
            <w:tcW w:w="470" w:type="dxa"/>
            <w:vAlign w:val="bottom"/>
            <w:shd w:val="clear" w:color="auto" w:fill="000000"/>
          </w:tcPr>
          <w:p>
            <w:pPr>
              <w:spacing w:after="0"/>
              <w:rPr>
                <w:sz w:val="9"/>
                <w:szCs w:val="9"/>
                <w:color w:val="auto"/>
              </w:rPr>
            </w:pPr>
          </w:p>
        </w:tc>
        <w:tc>
          <w:tcPr>
            <w:tcW w:w="860" w:type="dxa"/>
            <w:vAlign w:val="bottom"/>
            <w:shd w:val="clear" w:color="auto" w:fill="000000"/>
          </w:tcPr>
          <w:p>
            <w:pPr>
              <w:jc w:val="center"/>
              <w:spacing w:after="0" w:line="110" w:lineRule="exact"/>
              <w:rPr>
                <w:sz w:val="20"/>
                <w:szCs w:val="20"/>
                <w:color w:val="auto"/>
              </w:rPr>
            </w:pPr>
            <w:r>
              <w:rPr>
                <w:rFonts w:ascii="Arial" w:cs="Arial" w:eastAsia="Arial" w:hAnsi="Arial"/>
                <w:sz w:val="11"/>
                <w:szCs w:val="11"/>
                <w:b w:val="1"/>
                <w:bCs w:val="1"/>
                <w:color w:val="FFFFFF"/>
              </w:rPr>
              <w:t>Shares of</w:t>
            </w:r>
          </w:p>
        </w:tc>
        <w:tc>
          <w:tcPr>
            <w:tcW w:w="150" w:type="dxa"/>
            <w:vAlign w:val="bottom"/>
            <w:shd w:val="clear" w:color="auto" w:fill="000000"/>
          </w:tcPr>
          <w:p>
            <w:pPr>
              <w:spacing w:after="0"/>
              <w:rPr>
                <w:sz w:val="9"/>
                <w:szCs w:val="9"/>
                <w:color w:val="auto"/>
              </w:rPr>
            </w:pPr>
          </w:p>
        </w:tc>
        <w:tc>
          <w:tcPr>
            <w:tcW w:w="900" w:type="dxa"/>
            <w:vAlign w:val="bottom"/>
            <w:shd w:val="clear" w:color="auto" w:fill="000000"/>
          </w:tcPr>
          <w:p>
            <w:pPr>
              <w:jc w:val="center"/>
              <w:ind w:right="98"/>
              <w:spacing w:after="0" w:line="110" w:lineRule="exact"/>
              <w:rPr>
                <w:sz w:val="20"/>
                <w:szCs w:val="20"/>
                <w:color w:val="auto"/>
              </w:rPr>
            </w:pPr>
            <w:r>
              <w:rPr>
                <w:rFonts w:ascii="Arial" w:cs="Arial" w:eastAsia="Arial" w:hAnsi="Arial"/>
                <w:sz w:val="11"/>
                <w:szCs w:val="11"/>
                <w:b w:val="1"/>
                <w:bCs w:val="1"/>
                <w:color w:val="FFFFFF"/>
              </w:rPr>
              <w:t>Fair Value</w:t>
            </w:r>
          </w:p>
        </w:tc>
        <w:tc>
          <w:tcPr>
            <w:tcW w:w="0" w:type="dxa"/>
            <w:vAlign w:val="bottom"/>
          </w:tcPr>
          <w:p>
            <w:pPr>
              <w:spacing w:after="0"/>
              <w:rPr>
                <w:sz w:val="1"/>
                <w:szCs w:val="1"/>
                <w:color w:val="auto"/>
              </w:rPr>
            </w:pPr>
          </w:p>
        </w:tc>
      </w:tr>
      <w:tr>
        <w:trPr>
          <w:trHeight w:val="122"/>
        </w:trPr>
        <w:tc>
          <w:tcPr>
            <w:tcW w:w="1880" w:type="dxa"/>
            <w:vAlign w:val="bottom"/>
            <w:vMerge w:val="restart"/>
            <w:shd w:val="clear" w:color="auto" w:fill="000000"/>
          </w:tcPr>
          <w:p>
            <w:pPr>
              <w:ind w:left="140"/>
              <w:spacing w:after="0"/>
              <w:rPr>
                <w:sz w:val="20"/>
                <w:szCs w:val="20"/>
                <w:color w:val="auto"/>
              </w:rPr>
            </w:pPr>
            <w:r>
              <w:rPr>
                <w:rFonts w:ascii="Arial" w:cs="Arial" w:eastAsia="Arial" w:hAnsi="Arial"/>
                <w:sz w:val="11"/>
                <w:szCs w:val="11"/>
                <w:b w:val="1"/>
                <w:bCs w:val="1"/>
                <w:color w:val="FFFFFF"/>
              </w:rPr>
              <w:t>Name</w:t>
            </w:r>
          </w:p>
        </w:tc>
        <w:tc>
          <w:tcPr>
            <w:tcW w:w="940" w:type="dxa"/>
            <w:vAlign w:val="bottom"/>
            <w:vMerge w:val="continue"/>
            <w:shd w:val="clear" w:color="auto" w:fill="000000"/>
          </w:tcPr>
          <w:p>
            <w:pPr>
              <w:spacing w:after="0"/>
              <w:rPr>
                <w:sz w:val="10"/>
                <w:szCs w:val="10"/>
                <w:color w:val="auto"/>
              </w:rPr>
            </w:pPr>
          </w:p>
        </w:tc>
        <w:tc>
          <w:tcPr>
            <w:tcW w:w="98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rPr>
              <w:t>Action</w:t>
            </w:r>
          </w:p>
        </w:tc>
        <w:tc>
          <w:tcPr>
            <w:tcW w:w="940" w:type="dxa"/>
            <w:vAlign w:val="bottom"/>
            <w:vMerge w:val="restart"/>
            <w:shd w:val="clear" w:color="auto" w:fill="000000"/>
          </w:tcPr>
          <w:p>
            <w:pPr>
              <w:jc w:val="right"/>
              <w:ind w:right="118"/>
              <w:spacing w:after="0"/>
              <w:rPr>
                <w:sz w:val="20"/>
                <w:szCs w:val="20"/>
                <w:color w:val="auto"/>
              </w:rPr>
            </w:pPr>
            <w:r>
              <w:rPr>
                <w:rFonts w:ascii="Arial" w:cs="Arial" w:eastAsia="Arial" w:hAnsi="Arial"/>
                <w:sz w:val="11"/>
                <w:szCs w:val="11"/>
                <w:b w:val="1"/>
                <w:bCs w:val="1"/>
                <w:color w:val="FFFFFF"/>
              </w:rPr>
              <w:t>Threshold</w:t>
            </w:r>
          </w:p>
        </w:tc>
        <w:tc>
          <w:tcPr>
            <w:tcW w:w="180" w:type="dxa"/>
            <w:vAlign w:val="bottom"/>
            <w:shd w:val="clear" w:color="auto" w:fill="000000"/>
          </w:tcPr>
          <w:p>
            <w:pPr>
              <w:spacing w:after="0"/>
              <w:rPr>
                <w:sz w:val="10"/>
                <w:szCs w:val="10"/>
                <w:color w:val="auto"/>
              </w:rPr>
            </w:pPr>
          </w:p>
        </w:tc>
        <w:tc>
          <w:tcPr>
            <w:tcW w:w="740" w:type="dxa"/>
            <w:vAlign w:val="bottom"/>
            <w:vMerge w:val="restart"/>
            <w:shd w:val="clear" w:color="auto" w:fill="000000"/>
          </w:tcPr>
          <w:p>
            <w:pPr>
              <w:jc w:val="right"/>
              <w:ind w:right="217"/>
              <w:spacing w:after="0"/>
              <w:rPr>
                <w:sz w:val="20"/>
                <w:szCs w:val="20"/>
                <w:color w:val="auto"/>
              </w:rPr>
            </w:pPr>
            <w:r>
              <w:rPr>
                <w:rFonts w:ascii="Arial" w:cs="Arial" w:eastAsia="Arial" w:hAnsi="Arial"/>
                <w:sz w:val="11"/>
                <w:szCs w:val="11"/>
                <w:b w:val="1"/>
                <w:bCs w:val="1"/>
                <w:color w:val="FFFFFF"/>
              </w:rPr>
              <w:t>Target</w:t>
            </w:r>
          </w:p>
        </w:tc>
        <w:tc>
          <w:tcPr>
            <w:tcW w:w="180" w:type="dxa"/>
            <w:vAlign w:val="bottom"/>
            <w:shd w:val="clear" w:color="auto" w:fill="000000"/>
          </w:tcPr>
          <w:p>
            <w:pPr>
              <w:spacing w:after="0"/>
              <w:rPr>
                <w:sz w:val="10"/>
                <w:szCs w:val="10"/>
                <w:color w:val="auto"/>
              </w:rPr>
            </w:pPr>
          </w:p>
        </w:tc>
        <w:tc>
          <w:tcPr>
            <w:tcW w:w="860" w:type="dxa"/>
            <w:vAlign w:val="bottom"/>
            <w:gridSpan w:val="2"/>
            <w:vMerge w:val="restart"/>
            <w:shd w:val="clear" w:color="auto" w:fill="000000"/>
          </w:tcPr>
          <w:p>
            <w:pPr>
              <w:jc w:val="right"/>
              <w:ind w:right="175"/>
              <w:spacing w:after="0"/>
              <w:rPr>
                <w:sz w:val="20"/>
                <w:szCs w:val="20"/>
                <w:color w:val="auto"/>
              </w:rPr>
            </w:pPr>
            <w:r>
              <w:rPr>
                <w:rFonts w:ascii="Arial" w:cs="Arial" w:eastAsia="Arial" w:hAnsi="Arial"/>
                <w:sz w:val="11"/>
                <w:szCs w:val="11"/>
                <w:b w:val="1"/>
                <w:bCs w:val="1"/>
                <w:color w:val="FFFFFF"/>
              </w:rPr>
              <w:t>Maximum</w:t>
            </w:r>
          </w:p>
        </w:tc>
        <w:tc>
          <w:tcPr>
            <w:tcW w:w="940" w:type="dxa"/>
            <w:vAlign w:val="bottom"/>
            <w:vMerge w:val="restart"/>
            <w:shd w:val="clear" w:color="auto" w:fill="000000"/>
          </w:tcPr>
          <w:p>
            <w:pPr>
              <w:jc w:val="right"/>
              <w:ind w:right="119"/>
              <w:spacing w:after="0"/>
              <w:rPr>
                <w:sz w:val="20"/>
                <w:szCs w:val="20"/>
                <w:color w:val="auto"/>
              </w:rPr>
            </w:pPr>
            <w:r>
              <w:rPr>
                <w:rFonts w:ascii="Arial" w:cs="Arial" w:eastAsia="Arial" w:hAnsi="Arial"/>
                <w:sz w:val="11"/>
                <w:szCs w:val="11"/>
                <w:b w:val="1"/>
                <w:bCs w:val="1"/>
                <w:color w:val="FFFFFF"/>
              </w:rPr>
              <w:t>Threshold</w:t>
            </w:r>
          </w:p>
        </w:tc>
        <w:tc>
          <w:tcPr>
            <w:tcW w:w="680" w:type="dxa"/>
            <w:vAlign w:val="bottom"/>
            <w:vMerge w:val="restart"/>
            <w:shd w:val="clear" w:color="auto" w:fill="000000"/>
          </w:tcPr>
          <w:p>
            <w:pPr>
              <w:jc w:val="right"/>
              <w:ind w:right="98"/>
              <w:spacing w:after="0"/>
              <w:rPr>
                <w:sz w:val="20"/>
                <w:szCs w:val="20"/>
                <w:color w:val="auto"/>
              </w:rPr>
            </w:pPr>
            <w:r>
              <w:rPr>
                <w:rFonts w:ascii="Arial" w:cs="Arial" w:eastAsia="Arial" w:hAnsi="Arial"/>
                <w:sz w:val="11"/>
                <w:szCs w:val="11"/>
                <w:b w:val="1"/>
                <w:bCs w:val="1"/>
                <w:color w:val="FFFFFF"/>
              </w:rPr>
              <w:t>Target</w:t>
            </w:r>
          </w:p>
        </w:tc>
        <w:tc>
          <w:tcPr>
            <w:tcW w:w="870" w:type="dxa"/>
            <w:vAlign w:val="bottom"/>
            <w:gridSpan w:val="2"/>
            <w:vMerge w:val="restart"/>
            <w:shd w:val="clear" w:color="auto" w:fill="000000"/>
          </w:tcPr>
          <w:p>
            <w:pPr>
              <w:jc w:val="right"/>
              <w:ind w:right="105"/>
              <w:spacing w:after="0"/>
              <w:rPr>
                <w:sz w:val="20"/>
                <w:szCs w:val="20"/>
                <w:color w:val="auto"/>
              </w:rPr>
            </w:pPr>
            <w:r>
              <w:rPr>
                <w:rFonts w:ascii="Arial" w:cs="Arial" w:eastAsia="Arial" w:hAnsi="Arial"/>
                <w:sz w:val="11"/>
                <w:szCs w:val="11"/>
                <w:b w:val="1"/>
                <w:bCs w:val="1"/>
                <w:color w:val="FFFFFF"/>
              </w:rPr>
              <w:t>Maximum</w:t>
            </w:r>
          </w:p>
        </w:tc>
        <w:tc>
          <w:tcPr>
            <w:tcW w:w="86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w w:val="99"/>
              </w:rPr>
              <w:t>Stock or</w:t>
            </w:r>
          </w:p>
        </w:tc>
        <w:tc>
          <w:tcPr>
            <w:tcW w:w="150" w:type="dxa"/>
            <w:vAlign w:val="bottom"/>
            <w:shd w:val="clear" w:color="auto" w:fill="000000"/>
          </w:tcPr>
          <w:p>
            <w:pPr>
              <w:spacing w:after="0"/>
              <w:rPr>
                <w:sz w:val="10"/>
                <w:szCs w:val="10"/>
                <w:color w:val="auto"/>
              </w:rPr>
            </w:pPr>
          </w:p>
        </w:tc>
        <w:tc>
          <w:tcPr>
            <w:tcW w:w="900" w:type="dxa"/>
            <w:vAlign w:val="bottom"/>
            <w:shd w:val="clear" w:color="auto" w:fill="000000"/>
          </w:tcPr>
          <w:p>
            <w:pPr>
              <w:jc w:val="center"/>
              <w:ind w:right="78"/>
              <w:spacing w:after="0" w:line="122" w:lineRule="exact"/>
              <w:rPr>
                <w:sz w:val="20"/>
                <w:szCs w:val="20"/>
                <w:color w:val="auto"/>
              </w:rPr>
            </w:pPr>
            <w:r>
              <w:rPr>
                <w:rFonts w:ascii="Arial" w:cs="Arial" w:eastAsia="Arial" w:hAnsi="Arial"/>
                <w:sz w:val="11"/>
                <w:szCs w:val="11"/>
                <w:b w:val="1"/>
                <w:bCs w:val="1"/>
                <w:color w:val="FFFFFF"/>
              </w:rPr>
              <w:t>of Stock</w:t>
            </w:r>
          </w:p>
        </w:tc>
        <w:tc>
          <w:tcPr>
            <w:tcW w:w="0" w:type="dxa"/>
            <w:vAlign w:val="bottom"/>
          </w:tcPr>
          <w:p>
            <w:pPr>
              <w:spacing w:after="0"/>
              <w:rPr>
                <w:sz w:val="1"/>
                <w:szCs w:val="1"/>
                <w:color w:val="auto"/>
              </w:rPr>
            </w:pPr>
          </w:p>
        </w:tc>
      </w:tr>
      <w:tr>
        <w:trPr>
          <w:trHeight w:val="171"/>
        </w:trPr>
        <w:tc>
          <w:tcPr>
            <w:tcW w:w="1880" w:type="dxa"/>
            <w:vAlign w:val="bottom"/>
            <w:vMerge w:val="continue"/>
            <w:shd w:val="clear" w:color="auto" w:fill="000000"/>
          </w:tcPr>
          <w:p>
            <w:pPr>
              <w:spacing w:after="0"/>
              <w:rPr>
                <w:sz w:val="14"/>
                <w:szCs w:val="14"/>
                <w:color w:val="auto"/>
              </w:rPr>
            </w:pPr>
          </w:p>
        </w:tc>
        <w:tc>
          <w:tcPr>
            <w:tcW w:w="940" w:type="dxa"/>
            <w:vAlign w:val="bottom"/>
            <w:shd w:val="clear" w:color="auto" w:fill="000000"/>
          </w:tcPr>
          <w:p>
            <w:pPr>
              <w:ind w:left="360"/>
              <w:spacing w:after="0"/>
              <w:rPr>
                <w:sz w:val="20"/>
                <w:szCs w:val="20"/>
                <w:color w:val="auto"/>
              </w:rPr>
            </w:pPr>
            <w:r>
              <w:rPr>
                <w:rFonts w:ascii="Arial" w:cs="Arial" w:eastAsia="Arial" w:hAnsi="Arial"/>
                <w:sz w:val="11"/>
                <w:szCs w:val="11"/>
                <w:b w:val="1"/>
                <w:bCs w:val="1"/>
                <w:color w:val="FFFFFF"/>
              </w:rPr>
              <w:t>Date</w:t>
            </w:r>
          </w:p>
        </w:tc>
        <w:tc>
          <w:tcPr>
            <w:tcW w:w="980" w:type="dxa"/>
            <w:vAlign w:val="bottom"/>
            <w:shd w:val="clear" w:color="auto" w:fill="000000"/>
          </w:tcPr>
          <w:p>
            <w:pPr>
              <w:jc w:val="center"/>
              <w:spacing w:after="0"/>
              <w:rPr>
                <w:sz w:val="20"/>
                <w:szCs w:val="20"/>
                <w:color w:val="auto"/>
              </w:rPr>
            </w:pPr>
            <w:r>
              <w:rPr>
                <w:rFonts w:ascii="Arial" w:cs="Arial" w:eastAsia="Arial" w:hAnsi="Arial"/>
                <w:sz w:val="11"/>
                <w:szCs w:val="11"/>
                <w:b w:val="1"/>
                <w:bCs w:val="1"/>
                <w:color w:val="FFFFFF"/>
              </w:rPr>
              <w:t>Date</w:t>
            </w:r>
          </w:p>
        </w:tc>
        <w:tc>
          <w:tcPr>
            <w:tcW w:w="940" w:type="dxa"/>
            <w:vAlign w:val="bottom"/>
            <w:vMerge w:val="continue"/>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740" w:type="dxa"/>
            <w:vAlign w:val="bottom"/>
            <w:vMerge w:val="continue"/>
            <w:shd w:val="clear" w:color="auto" w:fill="000000"/>
          </w:tcPr>
          <w:p>
            <w:pPr>
              <w:spacing w:after="0"/>
              <w:rPr>
                <w:sz w:val="14"/>
                <w:szCs w:val="14"/>
                <w:color w:val="auto"/>
              </w:rPr>
            </w:pPr>
          </w:p>
        </w:tc>
        <w:tc>
          <w:tcPr>
            <w:tcW w:w="180" w:type="dxa"/>
            <w:vAlign w:val="bottom"/>
            <w:shd w:val="clear" w:color="auto" w:fill="000000"/>
          </w:tcPr>
          <w:p>
            <w:pPr>
              <w:spacing w:after="0"/>
              <w:rPr>
                <w:sz w:val="14"/>
                <w:szCs w:val="14"/>
                <w:color w:val="auto"/>
              </w:rPr>
            </w:pPr>
          </w:p>
        </w:tc>
        <w:tc>
          <w:tcPr>
            <w:tcW w:w="860" w:type="dxa"/>
            <w:vAlign w:val="bottom"/>
            <w:gridSpan w:val="2"/>
            <w:vMerge w:val="continue"/>
            <w:shd w:val="clear" w:color="auto" w:fill="000000"/>
          </w:tcPr>
          <w:p>
            <w:pPr>
              <w:spacing w:after="0"/>
              <w:rPr>
                <w:sz w:val="14"/>
                <w:szCs w:val="14"/>
                <w:color w:val="auto"/>
              </w:rPr>
            </w:pPr>
          </w:p>
        </w:tc>
        <w:tc>
          <w:tcPr>
            <w:tcW w:w="940" w:type="dxa"/>
            <w:vAlign w:val="bottom"/>
            <w:vMerge w:val="continue"/>
            <w:shd w:val="clear" w:color="auto" w:fill="000000"/>
          </w:tcPr>
          <w:p>
            <w:pPr>
              <w:spacing w:after="0"/>
              <w:rPr>
                <w:sz w:val="14"/>
                <w:szCs w:val="14"/>
                <w:color w:val="auto"/>
              </w:rPr>
            </w:pPr>
          </w:p>
        </w:tc>
        <w:tc>
          <w:tcPr>
            <w:tcW w:w="680" w:type="dxa"/>
            <w:vAlign w:val="bottom"/>
            <w:vMerge w:val="continue"/>
            <w:shd w:val="clear" w:color="auto" w:fill="000000"/>
          </w:tcPr>
          <w:p>
            <w:pPr>
              <w:spacing w:after="0"/>
              <w:rPr>
                <w:sz w:val="14"/>
                <w:szCs w:val="14"/>
                <w:color w:val="auto"/>
              </w:rPr>
            </w:pPr>
          </w:p>
        </w:tc>
        <w:tc>
          <w:tcPr>
            <w:tcW w:w="870" w:type="dxa"/>
            <w:vAlign w:val="bottom"/>
            <w:gridSpan w:val="2"/>
            <w:vMerge w:val="continue"/>
            <w:shd w:val="clear" w:color="auto" w:fill="000000"/>
          </w:tcPr>
          <w:p>
            <w:pPr>
              <w:spacing w:after="0"/>
              <w:rPr>
                <w:sz w:val="14"/>
                <w:szCs w:val="14"/>
                <w:color w:val="auto"/>
              </w:rPr>
            </w:pPr>
          </w:p>
        </w:tc>
        <w:tc>
          <w:tcPr>
            <w:tcW w:w="860" w:type="dxa"/>
            <w:vAlign w:val="bottom"/>
            <w:shd w:val="clear" w:color="auto" w:fill="000000"/>
          </w:tcPr>
          <w:p>
            <w:pPr>
              <w:jc w:val="center"/>
              <w:spacing w:after="0" w:line="159" w:lineRule="exact"/>
              <w:rPr>
                <w:sz w:val="20"/>
                <w:szCs w:val="20"/>
                <w:color w:val="auto"/>
              </w:rPr>
            </w:pPr>
            <w:r>
              <w:rPr>
                <w:rFonts w:ascii="Arial" w:cs="Arial" w:eastAsia="Arial" w:hAnsi="Arial"/>
                <w:sz w:val="11"/>
                <w:szCs w:val="11"/>
                <w:b w:val="1"/>
                <w:bCs w:val="1"/>
                <w:color w:val="FFFFFF"/>
                <w:w w:val="92"/>
              </w:rPr>
              <w:t>Units</w:t>
            </w:r>
            <w:r>
              <w:rPr>
                <w:rFonts w:ascii="Arial" w:cs="Arial" w:eastAsia="Arial" w:hAnsi="Arial"/>
                <w:sz w:val="14"/>
                <w:szCs w:val="14"/>
                <w:b w:val="1"/>
                <w:bCs w:val="1"/>
                <w:color w:val="FFFFFF"/>
                <w:w w:val="92"/>
                <w:vertAlign w:val="superscript"/>
              </w:rPr>
              <w:t>(3)</w:t>
            </w:r>
          </w:p>
        </w:tc>
        <w:tc>
          <w:tcPr>
            <w:tcW w:w="150" w:type="dxa"/>
            <w:vAlign w:val="bottom"/>
            <w:shd w:val="clear" w:color="auto" w:fill="000000"/>
          </w:tcPr>
          <w:p>
            <w:pPr>
              <w:spacing w:after="0"/>
              <w:rPr>
                <w:sz w:val="14"/>
                <w:szCs w:val="14"/>
                <w:color w:val="auto"/>
              </w:rPr>
            </w:pPr>
          </w:p>
        </w:tc>
        <w:tc>
          <w:tcPr>
            <w:tcW w:w="900" w:type="dxa"/>
            <w:vAlign w:val="bottom"/>
            <w:shd w:val="clear" w:color="auto" w:fill="000000"/>
          </w:tcPr>
          <w:p>
            <w:pPr>
              <w:jc w:val="center"/>
              <w:ind w:right="98"/>
              <w:spacing w:after="0" w:line="159" w:lineRule="exact"/>
              <w:rPr>
                <w:sz w:val="20"/>
                <w:szCs w:val="20"/>
                <w:color w:val="auto"/>
              </w:rPr>
            </w:pPr>
            <w:r>
              <w:rPr>
                <w:rFonts w:ascii="Arial" w:cs="Arial" w:eastAsia="Arial" w:hAnsi="Arial"/>
                <w:sz w:val="11"/>
                <w:szCs w:val="11"/>
                <w:b w:val="1"/>
                <w:bCs w:val="1"/>
                <w:color w:val="FFFFFF"/>
                <w:w w:val="97"/>
              </w:rPr>
              <w:t>Awards</w:t>
            </w:r>
            <w:r>
              <w:rPr>
                <w:rFonts w:ascii="Arial" w:cs="Arial" w:eastAsia="Arial" w:hAnsi="Arial"/>
                <w:sz w:val="14"/>
                <w:szCs w:val="14"/>
                <w:b w:val="1"/>
                <w:bCs w:val="1"/>
                <w:color w:val="FFFFFF"/>
                <w:w w:val="97"/>
                <w:vertAlign w:val="superscript"/>
              </w:rPr>
              <w:t>(4)</w:t>
            </w:r>
          </w:p>
        </w:tc>
        <w:tc>
          <w:tcPr>
            <w:tcW w:w="0" w:type="dxa"/>
            <w:vAlign w:val="bottom"/>
          </w:tcPr>
          <w:p>
            <w:pPr>
              <w:spacing w:after="0"/>
              <w:rPr>
                <w:sz w:val="1"/>
                <w:szCs w:val="1"/>
                <w:color w:val="auto"/>
              </w:rPr>
            </w:pPr>
          </w:p>
        </w:tc>
      </w:tr>
      <w:tr>
        <w:trPr>
          <w:trHeight w:val="182"/>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Rex D. Geveden</w:t>
            </w: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jc w:val="right"/>
              <w:spacing w:after="0"/>
              <w:rPr>
                <w:sz w:val="20"/>
                <w:szCs w:val="20"/>
                <w:color w:val="auto"/>
              </w:rPr>
            </w:pPr>
            <w:r>
              <w:rPr>
                <w:rFonts w:ascii="Arial" w:cs="Arial" w:eastAsia="Arial" w:hAnsi="Arial"/>
                <w:sz w:val="13"/>
                <w:szCs w:val="13"/>
                <w:color w:val="auto"/>
              </w:rPr>
              <w:t>462,500</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925,000</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spacing w:after="0"/>
              <w:rPr>
                <w:sz w:val="20"/>
                <w:szCs w:val="20"/>
                <w:color w:val="auto"/>
              </w:rPr>
            </w:pPr>
            <w:r>
              <w:rPr>
                <w:rFonts w:ascii="Arial" w:cs="Arial" w:eastAsia="Arial" w:hAnsi="Arial"/>
                <w:sz w:val="13"/>
                <w:szCs w:val="13"/>
                <w:color w:val="auto"/>
              </w:rPr>
              <w:t>1,850,000</w:t>
            </w: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tcPr>
          <w:p>
            <w:pPr>
              <w:spacing w:after="0"/>
              <w:rPr>
                <w:sz w:val="15"/>
                <w:szCs w:val="15"/>
                <w:color w:val="auto"/>
              </w:rPr>
            </w:pP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23,951</w:t>
            </w:r>
          </w:p>
        </w:tc>
        <w:tc>
          <w:tcPr>
            <w:tcW w:w="680" w:type="dxa"/>
            <w:vAlign w:val="bottom"/>
          </w:tcPr>
          <w:p>
            <w:pPr>
              <w:jc w:val="right"/>
              <w:spacing w:after="0"/>
              <w:rPr>
                <w:sz w:val="20"/>
                <w:szCs w:val="20"/>
                <w:color w:val="auto"/>
              </w:rPr>
            </w:pPr>
            <w:r>
              <w:rPr>
                <w:rFonts w:ascii="Arial" w:cs="Arial" w:eastAsia="Arial" w:hAnsi="Arial"/>
                <w:sz w:val="13"/>
                <w:szCs w:val="13"/>
                <w:color w:val="auto"/>
              </w:rPr>
              <w:t>47,901</w:t>
            </w:r>
          </w:p>
        </w:tc>
        <w:tc>
          <w:tcPr>
            <w:tcW w:w="400" w:type="dxa"/>
            <w:vAlign w:val="bottom"/>
          </w:tcPr>
          <w:p>
            <w:pPr>
              <w:spacing w:after="0"/>
              <w:rPr>
                <w:sz w:val="15"/>
                <w:szCs w:val="15"/>
                <w:color w:val="auto"/>
              </w:rPr>
            </w:pPr>
          </w:p>
        </w:tc>
        <w:tc>
          <w:tcPr>
            <w:tcW w:w="470" w:type="dxa"/>
            <w:vAlign w:val="bottom"/>
          </w:tcPr>
          <w:p>
            <w:pPr>
              <w:jc w:val="right"/>
              <w:ind w:right="5"/>
              <w:spacing w:after="0"/>
              <w:rPr>
                <w:sz w:val="20"/>
                <w:szCs w:val="20"/>
                <w:color w:val="auto"/>
              </w:rPr>
            </w:pPr>
            <w:r>
              <w:rPr>
                <w:rFonts w:ascii="Arial" w:cs="Arial" w:eastAsia="Arial" w:hAnsi="Arial"/>
                <w:sz w:val="13"/>
                <w:szCs w:val="13"/>
                <w:color w:val="auto"/>
                <w:w w:val="95"/>
              </w:rPr>
              <w:t>95,802</w:t>
            </w:r>
          </w:p>
        </w:tc>
        <w:tc>
          <w:tcPr>
            <w:tcW w:w="101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tcPr>
          <w:p>
            <w:pPr>
              <w:jc w:val="right"/>
              <w:spacing w:after="0"/>
              <w:rPr>
                <w:sz w:val="20"/>
                <w:szCs w:val="20"/>
                <w:color w:val="auto"/>
              </w:rPr>
            </w:pPr>
            <w:r>
              <w:rPr>
                <w:rFonts w:ascii="Arial" w:cs="Arial" w:eastAsia="Arial" w:hAnsi="Arial"/>
                <w:sz w:val="13"/>
                <w:szCs w:val="13"/>
                <w:color w:val="auto"/>
              </w:rPr>
              <w:t>2,176,142</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3"/>
                <w:szCs w:val="13"/>
                <w:color w:val="auto"/>
              </w:rPr>
              <w:t>31,935</w:t>
            </w:r>
          </w:p>
        </w:tc>
        <w:tc>
          <w:tcPr>
            <w:tcW w:w="15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1,400,030</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Robb A. LeMasters</w:t>
            </w: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175,000</w:t>
            </w: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350,000</w:t>
            </w: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7"/>
              </w:rPr>
              <w:t>700,000</w:t>
            </w:r>
          </w:p>
        </w:tc>
        <w:tc>
          <w:tcPr>
            <w:tcW w:w="9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DBDBDB"/>
          </w:tcPr>
          <w:p>
            <w:pPr>
              <w:spacing w:after="0"/>
              <w:rPr>
                <w:sz w:val="15"/>
                <w:szCs w:val="15"/>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4,790</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9,580</w:t>
            </w: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jc w:val="right"/>
              <w:ind w:right="5"/>
              <w:spacing w:after="0"/>
              <w:rPr>
                <w:sz w:val="20"/>
                <w:szCs w:val="20"/>
                <w:color w:val="auto"/>
              </w:rPr>
            </w:pPr>
            <w:r>
              <w:rPr>
                <w:rFonts w:ascii="Arial" w:cs="Arial" w:eastAsia="Arial" w:hAnsi="Arial"/>
                <w:sz w:val="13"/>
                <w:szCs w:val="13"/>
                <w:color w:val="auto"/>
                <w:w w:val="95"/>
              </w:rPr>
              <w:t>19,160</w:t>
            </w:r>
          </w:p>
        </w:tc>
        <w:tc>
          <w:tcPr>
            <w:tcW w:w="860" w:type="dxa"/>
            <w:vAlign w:val="bottom"/>
            <w:shd w:val="clear" w:color="auto" w:fill="DBDBDB"/>
          </w:tcPr>
          <w:p>
            <w:pPr>
              <w:spacing w:after="0"/>
              <w:rPr>
                <w:sz w:val="15"/>
                <w:szCs w:val="15"/>
                <w:color w:val="auto"/>
              </w:rPr>
            </w:pP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435,219</w:t>
            </w:r>
          </w:p>
        </w:tc>
        <w:tc>
          <w:tcPr>
            <w:tcW w:w="0" w:type="dxa"/>
            <w:vAlign w:val="bottom"/>
          </w:tcPr>
          <w:p>
            <w:pPr>
              <w:spacing w:after="0"/>
              <w:rPr>
                <w:sz w:val="1"/>
                <w:szCs w:val="1"/>
                <w:color w:val="auto"/>
              </w:rPr>
            </w:pPr>
          </w:p>
        </w:tc>
      </w:tr>
      <w:tr>
        <w:trPr>
          <w:trHeight w:val="183"/>
        </w:trPr>
        <w:tc>
          <w:tcPr>
            <w:tcW w:w="1880" w:type="dxa"/>
            <w:vAlign w:val="bottom"/>
            <w:shd w:val="clear" w:color="auto" w:fill="DBDBDB"/>
          </w:tcPr>
          <w:p>
            <w:pPr>
              <w:spacing w:after="0"/>
              <w:rPr>
                <w:sz w:val="15"/>
                <w:szCs w:val="15"/>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spacing w:after="0"/>
              <w:rPr>
                <w:sz w:val="15"/>
                <w:szCs w:val="15"/>
                <w:color w:val="auto"/>
              </w:rPr>
            </w:pPr>
          </w:p>
        </w:tc>
        <w:tc>
          <w:tcPr>
            <w:tcW w:w="860" w:type="dxa"/>
            <w:vAlign w:val="bottom"/>
            <w:shd w:val="clear" w:color="auto" w:fill="DBDBDB"/>
          </w:tcPr>
          <w:p>
            <w:pPr>
              <w:jc w:val="right"/>
              <w:ind w:right="9"/>
              <w:spacing w:after="0"/>
              <w:rPr>
                <w:sz w:val="20"/>
                <w:szCs w:val="20"/>
                <w:color w:val="auto"/>
              </w:rPr>
            </w:pPr>
            <w:r>
              <w:rPr>
                <w:rFonts w:ascii="Arial" w:cs="Arial" w:eastAsia="Arial" w:hAnsi="Arial"/>
                <w:sz w:val="13"/>
                <w:szCs w:val="13"/>
                <w:color w:val="auto"/>
              </w:rPr>
              <w:t>6,387</w:t>
            </w: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280,006</w:t>
            </w:r>
          </w:p>
        </w:tc>
        <w:tc>
          <w:tcPr>
            <w:tcW w:w="0" w:type="dxa"/>
            <w:vAlign w:val="bottom"/>
          </w:tcPr>
          <w:p>
            <w:pPr>
              <w:spacing w:after="0"/>
              <w:rPr>
                <w:sz w:val="1"/>
                <w:szCs w:val="1"/>
                <w:color w:val="auto"/>
              </w:rPr>
            </w:pPr>
          </w:p>
        </w:tc>
      </w:tr>
      <w:tr>
        <w:trPr>
          <w:trHeight w:val="189"/>
        </w:trPr>
        <w:tc>
          <w:tcPr>
            <w:tcW w:w="18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7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5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Thomas E. McCabe</w:t>
            </w:r>
            <w:r>
              <w:rPr>
                <w:rFonts w:ascii="Arial" w:cs="Arial" w:eastAsia="Arial" w:hAnsi="Arial"/>
                <w:sz w:val="16"/>
                <w:szCs w:val="16"/>
                <w:b w:val="1"/>
                <w:bCs w:val="1"/>
                <w:color w:val="auto"/>
                <w:vertAlign w:val="superscript"/>
              </w:rPr>
              <w:t>(5)</w:t>
            </w: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jc w:val="right"/>
              <w:spacing w:after="0"/>
              <w:rPr>
                <w:sz w:val="20"/>
                <w:szCs w:val="20"/>
                <w:color w:val="auto"/>
              </w:rPr>
            </w:pPr>
            <w:r>
              <w:rPr>
                <w:rFonts w:ascii="Arial" w:cs="Arial" w:eastAsia="Arial" w:hAnsi="Arial"/>
                <w:sz w:val="13"/>
                <w:szCs w:val="13"/>
                <w:color w:val="auto"/>
              </w:rPr>
              <w:t>177,125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354,250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708,500</w:t>
            </w: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4,106</w:t>
            </w:r>
          </w:p>
        </w:tc>
        <w:tc>
          <w:tcPr>
            <w:tcW w:w="680" w:type="dxa"/>
            <w:vAlign w:val="bottom"/>
          </w:tcPr>
          <w:p>
            <w:pPr>
              <w:jc w:val="right"/>
              <w:spacing w:after="0"/>
              <w:rPr>
                <w:sz w:val="20"/>
                <w:szCs w:val="20"/>
                <w:color w:val="auto"/>
              </w:rPr>
            </w:pPr>
            <w:r>
              <w:rPr>
                <w:rFonts w:ascii="Arial" w:cs="Arial" w:eastAsia="Arial" w:hAnsi="Arial"/>
                <w:sz w:val="13"/>
                <w:szCs w:val="13"/>
                <w:color w:val="auto"/>
              </w:rPr>
              <w:t>8,211</w:t>
            </w:r>
          </w:p>
        </w:tc>
        <w:tc>
          <w:tcPr>
            <w:tcW w:w="400" w:type="dxa"/>
            <w:vAlign w:val="bottom"/>
          </w:tcPr>
          <w:p>
            <w:pPr>
              <w:spacing w:after="0"/>
              <w:rPr>
                <w:sz w:val="14"/>
                <w:szCs w:val="14"/>
                <w:color w:val="auto"/>
              </w:rPr>
            </w:pPr>
          </w:p>
        </w:tc>
        <w:tc>
          <w:tcPr>
            <w:tcW w:w="470" w:type="dxa"/>
            <w:vAlign w:val="bottom"/>
          </w:tcPr>
          <w:p>
            <w:pPr>
              <w:jc w:val="right"/>
              <w:ind w:right="5"/>
              <w:spacing w:after="0"/>
              <w:rPr>
                <w:sz w:val="20"/>
                <w:szCs w:val="20"/>
                <w:color w:val="auto"/>
              </w:rPr>
            </w:pPr>
            <w:r>
              <w:rPr>
                <w:rFonts w:ascii="Arial" w:cs="Arial" w:eastAsia="Arial" w:hAnsi="Arial"/>
                <w:sz w:val="13"/>
                <w:szCs w:val="13"/>
                <w:color w:val="auto"/>
                <w:w w:val="95"/>
              </w:rPr>
              <w:t>16,422</w:t>
            </w:r>
          </w:p>
        </w:tc>
        <w:tc>
          <w:tcPr>
            <w:tcW w:w="86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373,026</w:t>
            </w:r>
          </w:p>
        </w:tc>
        <w:tc>
          <w:tcPr>
            <w:tcW w:w="0" w:type="dxa"/>
            <w:vAlign w:val="bottom"/>
          </w:tcPr>
          <w:p>
            <w:pPr>
              <w:spacing w:after="0"/>
              <w:rPr>
                <w:sz w:val="1"/>
                <w:szCs w:val="1"/>
                <w:color w:val="auto"/>
              </w:rPr>
            </w:pPr>
          </w:p>
        </w:tc>
      </w:tr>
      <w:tr>
        <w:trPr>
          <w:trHeight w:val="183"/>
        </w:trPr>
        <w:tc>
          <w:tcPr>
            <w:tcW w:w="1880" w:type="dxa"/>
            <w:vAlign w:val="bottom"/>
          </w:tcPr>
          <w:p>
            <w:pPr>
              <w:spacing w:after="0"/>
              <w:rPr>
                <w:sz w:val="15"/>
                <w:szCs w:val="15"/>
                <w:color w:val="auto"/>
              </w:rPr>
            </w:pPr>
          </w:p>
        </w:tc>
        <w:tc>
          <w:tcPr>
            <w:tcW w:w="940" w:type="dxa"/>
            <w:vAlign w:val="bottom"/>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70" w:type="dxa"/>
            <w:vAlign w:val="bottom"/>
          </w:tcPr>
          <w:p>
            <w:pPr>
              <w:spacing w:after="0"/>
              <w:rPr>
                <w:sz w:val="15"/>
                <w:szCs w:val="15"/>
                <w:color w:val="auto"/>
              </w:rPr>
            </w:pPr>
          </w:p>
        </w:tc>
        <w:tc>
          <w:tcPr>
            <w:tcW w:w="860" w:type="dxa"/>
            <w:vAlign w:val="bottom"/>
          </w:tcPr>
          <w:p>
            <w:pPr>
              <w:jc w:val="right"/>
              <w:ind w:right="9"/>
              <w:spacing w:after="0"/>
              <w:rPr>
                <w:sz w:val="20"/>
                <w:szCs w:val="20"/>
                <w:color w:val="auto"/>
              </w:rPr>
            </w:pPr>
            <w:r>
              <w:rPr>
                <w:rFonts w:ascii="Arial" w:cs="Arial" w:eastAsia="Arial" w:hAnsi="Arial"/>
                <w:sz w:val="13"/>
                <w:szCs w:val="13"/>
                <w:color w:val="auto"/>
              </w:rPr>
              <w:t>5,475</w:t>
            </w:r>
          </w:p>
        </w:tc>
        <w:tc>
          <w:tcPr>
            <w:tcW w:w="15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240,024</w:t>
            </w:r>
          </w:p>
        </w:tc>
        <w:tc>
          <w:tcPr>
            <w:tcW w:w="0" w:type="dxa"/>
            <w:vAlign w:val="bottom"/>
          </w:tcPr>
          <w:p>
            <w:pPr>
              <w:spacing w:after="0"/>
              <w:rPr>
                <w:sz w:val="1"/>
                <w:szCs w:val="1"/>
                <w:color w:val="auto"/>
              </w:rPr>
            </w:pPr>
          </w:p>
        </w:tc>
      </w:tr>
      <w:tr>
        <w:trPr>
          <w:trHeight w:val="189"/>
        </w:trPr>
        <w:tc>
          <w:tcPr>
            <w:tcW w:w="18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188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Kevin M. McCoy</w:t>
            </w: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238,875</w:t>
            </w: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477,750</w:t>
            </w: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97"/>
              </w:rPr>
              <w:t>955,500</w:t>
            </w:r>
          </w:p>
        </w:tc>
        <w:tc>
          <w:tcPr>
            <w:tcW w:w="9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spacing w:after="0"/>
              <w:rPr>
                <w:sz w:val="15"/>
                <w:szCs w:val="15"/>
                <w:color w:val="auto"/>
              </w:rPr>
            </w:pPr>
          </w:p>
        </w:tc>
        <w:tc>
          <w:tcPr>
            <w:tcW w:w="860" w:type="dxa"/>
            <w:vAlign w:val="bottom"/>
            <w:shd w:val="clear" w:color="auto" w:fill="DBDBDB"/>
          </w:tcPr>
          <w:p>
            <w:pPr>
              <w:spacing w:after="0"/>
              <w:rPr>
                <w:sz w:val="15"/>
                <w:szCs w:val="15"/>
                <w:color w:val="auto"/>
              </w:rPr>
            </w:pP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880" w:type="dxa"/>
            <w:vAlign w:val="bottom"/>
            <w:shd w:val="clear" w:color="auto" w:fill="DBDBDB"/>
          </w:tcPr>
          <w:p>
            <w:pPr>
              <w:spacing w:after="0"/>
              <w:rPr>
                <w:sz w:val="15"/>
                <w:szCs w:val="15"/>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2,395</w:t>
            </w:r>
          </w:p>
        </w:tc>
        <w:tc>
          <w:tcPr>
            <w:tcW w:w="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4,790</w:t>
            </w: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jc w:val="right"/>
              <w:ind w:right="5"/>
              <w:spacing w:after="0"/>
              <w:rPr>
                <w:sz w:val="20"/>
                <w:szCs w:val="20"/>
                <w:color w:val="auto"/>
              </w:rPr>
            </w:pPr>
            <w:r>
              <w:rPr>
                <w:rFonts w:ascii="Arial" w:cs="Arial" w:eastAsia="Arial" w:hAnsi="Arial"/>
                <w:sz w:val="13"/>
                <w:szCs w:val="13"/>
                <w:color w:val="auto"/>
              </w:rPr>
              <w:t>9,580</w:t>
            </w:r>
          </w:p>
        </w:tc>
        <w:tc>
          <w:tcPr>
            <w:tcW w:w="860" w:type="dxa"/>
            <w:vAlign w:val="bottom"/>
            <w:shd w:val="clear" w:color="auto" w:fill="DBDBDB"/>
          </w:tcPr>
          <w:p>
            <w:pPr>
              <w:spacing w:after="0"/>
              <w:rPr>
                <w:sz w:val="15"/>
                <w:szCs w:val="15"/>
                <w:color w:val="auto"/>
              </w:rPr>
            </w:pP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217,610</w:t>
            </w:r>
          </w:p>
        </w:tc>
        <w:tc>
          <w:tcPr>
            <w:tcW w:w="0" w:type="dxa"/>
            <w:vAlign w:val="bottom"/>
          </w:tcPr>
          <w:p>
            <w:pPr>
              <w:spacing w:after="0"/>
              <w:rPr>
                <w:sz w:val="1"/>
                <w:szCs w:val="1"/>
                <w:color w:val="auto"/>
              </w:rPr>
            </w:pPr>
          </w:p>
        </w:tc>
      </w:tr>
      <w:tr>
        <w:trPr>
          <w:trHeight w:val="183"/>
        </w:trPr>
        <w:tc>
          <w:tcPr>
            <w:tcW w:w="1880" w:type="dxa"/>
            <w:vAlign w:val="bottom"/>
            <w:shd w:val="clear" w:color="auto" w:fill="DBDBDB"/>
          </w:tcPr>
          <w:p>
            <w:pPr>
              <w:spacing w:after="0"/>
              <w:rPr>
                <w:sz w:val="15"/>
                <w:szCs w:val="15"/>
                <w:color w:val="auto"/>
              </w:rPr>
            </w:pPr>
          </w:p>
        </w:tc>
        <w:tc>
          <w:tcPr>
            <w:tcW w:w="940" w:type="dxa"/>
            <w:vAlign w:val="bottom"/>
            <w:shd w:val="clear" w:color="auto" w:fill="DBDBDB"/>
          </w:tcPr>
          <w:p>
            <w:pPr>
              <w:ind w:left="340"/>
              <w:spacing w:after="0"/>
              <w:rPr>
                <w:sz w:val="20"/>
                <w:szCs w:val="20"/>
                <w:color w:val="auto"/>
              </w:rPr>
            </w:pPr>
            <w:r>
              <w:rPr>
                <w:rFonts w:ascii="Arial" w:cs="Arial" w:eastAsia="Arial" w:hAnsi="Arial"/>
                <w:sz w:val="13"/>
                <w:szCs w:val="13"/>
                <w:color w:val="auto"/>
              </w:rPr>
              <w:t>2/18/2022</w:t>
            </w:r>
          </w:p>
        </w:tc>
        <w:tc>
          <w:tcPr>
            <w:tcW w:w="9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2/17/2022</w:t>
            </w:r>
          </w:p>
        </w:tc>
        <w:tc>
          <w:tcPr>
            <w:tcW w:w="9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3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94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400" w:type="dxa"/>
            <w:vAlign w:val="bottom"/>
            <w:shd w:val="clear" w:color="auto" w:fill="DBDBDB"/>
          </w:tcPr>
          <w:p>
            <w:pPr>
              <w:spacing w:after="0"/>
              <w:rPr>
                <w:sz w:val="15"/>
                <w:szCs w:val="15"/>
                <w:color w:val="auto"/>
              </w:rPr>
            </w:pPr>
          </w:p>
        </w:tc>
        <w:tc>
          <w:tcPr>
            <w:tcW w:w="470" w:type="dxa"/>
            <w:vAlign w:val="bottom"/>
            <w:shd w:val="clear" w:color="auto" w:fill="DBDBDB"/>
          </w:tcPr>
          <w:p>
            <w:pPr>
              <w:spacing w:after="0"/>
              <w:rPr>
                <w:sz w:val="15"/>
                <w:szCs w:val="15"/>
                <w:color w:val="auto"/>
              </w:rPr>
            </w:pPr>
          </w:p>
        </w:tc>
        <w:tc>
          <w:tcPr>
            <w:tcW w:w="860" w:type="dxa"/>
            <w:vAlign w:val="bottom"/>
            <w:shd w:val="clear" w:color="auto" w:fill="DBDBDB"/>
          </w:tcPr>
          <w:p>
            <w:pPr>
              <w:jc w:val="right"/>
              <w:ind w:right="9"/>
              <w:spacing w:after="0"/>
              <w:rPr>
                <w:sz w:val="20"/>
                <w:szCs w:val="20"/>
                <w:color w:val="auto"/>
              </w:rPr>
            </w:pPr>
            <w:r>
              <w:rPr>
                <w:rFonts w:ascii="Arial" w:cs="Arial" w:eastAsia="Arial" w:hAnsi="Arial"/>
                <w:sz w:val="13"/>
                <w:szCs w:val="13"/>
                <w:color w:val="auto"/>
              </w:rPr>
              <w:t>3,192</w:t>
            </w:r>
          </w:p>
        </w:tc>
        <w:tc>
          <w:tcPr>
            <w:tcW w:w="150" w:type="dxa"/>
            <w:vAlign w:val="bottom"/>
            <w:shd w:val="clear" w:color="auto" w:fill="DBDBDB"/>
          </w:tcPr>
          <w:p>
            <w:pPr>
              <w:spacing w:after="0"/>
              <w:rPr>
                <w:sz w:val="15"/>
                <w:szCs w:val="15"/>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139,937</w:t>
            </w:r>
          </w:p>
        </w:tc>
        <w:tc>
          <w:tcPr>
            <w:tcW w:w="0" w:type="dxa"/>
            <w:vAlign w:val="bottom"/>
          </w:tcPr>
          <w:p>
            <w:pPr>
              <w:spacing w:after="0"/>
              <w:rPr>
                <w:sz w:val="1"/>
                <w:szCs w:val="1"/>
                <w:color w:val="auto"/>
              </w:rPr>
            </w:pPr>
          </w:p>
        </w:tc>
      </w:tr>
      <w:tr>
        <w:trPr>
          <w:trHeight w:val="189"/>
        </w:trPr>
        <w:tc>
          <w:tcPr>
            <w:tcW w:w="18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98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32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94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400" w:type="dxa"/>
            <w:vAlign w:val="bottom"/>
            <w:shd w:val="clear" w:color="auto" w:fill="DBDBDB"/>
          </w:tcPr>
          <w:p>
            <w:pPr>
              <w:spacing w:after="0"/>
              <w:rPr>
                <w:sz w:val="16"/>
                <w:szCs w:val="16"/>
                <w:color w:val="auto"/>
              </w:rPr>
            </w:pPr>
          </w:p>
        </w:tc>
        <w:tc>
          <w:tcPr>
            <w:tcW w:w="47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c>
          <w:tcPr>
            <w:tcW w:w="15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880" w:type="dxa"/>
            <w:vAlign w:val="bottom"/>
          </w:tcPr>
          <w:p>
            <w:pPr>
              <w:ind w:left="20"/>
              <w:spacing w:after="0"/>
              <w:rPr>
                <w:sz w:val="20"/>
                <w:szCs w:val="20"/>
                <w:color w:val="auto"/>
              </w:rPr>
            </w:pPr>
            <w:r>
              <w:rPr>
                <w:rFonts w:ascii="Arial" w:cs="Arial" w:eastAsia="Arial" w:hAnsi="Arial"/>
                <w:sz w:val="13"/>
                <w:szCs w:val="13"/>
                <w:b w:val="1"/>
                <w:bCs w:val="1"/>
                <w:color w:val="auto"/>
              </w:rPr>
              <w:t>Robert L. Duffy</w:t>
            </w:r>
            <w:r>
              <w:rPr>
                <w:rFonts w:ascii="Arial" w:cs="Arial" w:eastAsia="Arial" w:hAnsi="Arial"/>
                <w:sz w:val="16"/>
                <w:szCs w:val="16"/>
                <w:b w:val="1"/>
                <w:bCs w:val="1"/>
                <w:color w:val="auto"/>
                <w:vertAlign w:val="superscript"/>
              </w:rPr>
              <w:t>(6)</w:t>
            </w:r>
          </w:p>
        </w:tc>
        <w:tc>
          <w:tcPr>
            <w:tcW w:w="940" w:type="dxa"/>
            <w:vAlign w:val="bottom"/>
          </w:tcPr>
          <w:p>
            <w:pPr>
              <w:ind w:left="340"/>
              <w:spacing w:after="0"/>
              <w:rPr>
                <w:sz w:val="20"/>
                <w:szCs w:val="20"/>
                <w:color w:val="auto"/>
              </w:rPr>
            </w:pPr>
            <w:r>
              <w:rPr>
                <w:rFonts w:ascii="Arial" w:cs="Arial" w:eastAsia="Arial" w:hAnsi="Arial"/>
                <w:sz w:val="13"/>
                <w:szCs w:val="13"/>
                <w:color w:val="auto"/>
              </w:rPr>
              <w:t>8/22/2022</w:t>
            </w:r>
          </w:p>
        </w:tc>
        <w:tc>
          <w:tcPr>
            <w:tcW w:w="980" w:type="dxa"/>
            <w:vAlign w:val="bottom"/>
          </w:tcPr>
          <w:p>
            <w:pPr>
              <w:jc w:val="right"/>
              <w:spacing w:after="0"/>
              <w:rPr>
                <w:sz w:val="20"/>
                <w:szCs w:val="20"/>
                <w:color w:val="auto"/>
              </w:rPr>
            </w:pPr>
            <w:r>
              <w:rPr>
                <w:rFonts w:ascii="Arial" w:cs="Arial" w:eastAsia="Arial" w:hAnsi="Arial"/>
                <w:sz w:val="13"/>
                <w:szCs w:val="13"/>
                <w:color w:val="auto"/>
              </w:rPr>
              <w:t>8/19/2022</w:t>
            </w:r>
          </w:p>
        </w:tc>
        <w:tc>
          <w:tcPr>
            <w:tcW w:w="940" w:type="dxa"/>
            <w:vAlign w:val="bottom"/>
          </w:tcPr>
          <w:p>
            <w:pPr>
              <w:jc w:val="right"/>
              <w:spacing w:after="0"/>
              <w:rPr>
                <w:sz w:val="20"/>
                <w:szCs w:val="20"/>
                <w:color w:val="auto"/>
              </w:rPr>
            </w:pPr>
            <w:r>
              <w:rPr>
                <w:rFonts w:ascii="Arial" w:cs="Arial" w:eastAsia="Arial" w:hAnsi="Arial"/>
                <w:sz w:val="13"/>
                <w:szCs w:val="13"/>
                <w:color w:val="auto"/>
              </w:rPr>
              <w:t>34,375</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68,750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w w:val="97"/>
              </w:rPr>
              <w:t>137,500</w:t>
            </w:r>
          </w:p>
        </w:tc>
        <w:tc>
          <w:tcPr>
            <w:tcW w:w="9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7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5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80" w:type="dxa"/>
            <w:vAlign w:val="bottom"/>
          </w:tcPr>
          <w:p>
            <w:pPr>
              <w:spacing w:after="0"/>
              <w:rPr>
                <w:sz w:val="14"/>
                <w:szCs w:val="14"/>
                <w:color w:val="auto"/>
              </w:rPr>
            </w:pPr>
          </w:p>
        </w:tc>
        <w:tc>
          <w:tcPr>
            <w:tcW w:w="940" w:type="dxa"/>
            <w:vAlign w:val="bottom"/>
          </w:tcPr>
          <w:p>
            <w:pPr>
              <w:ind w:left="340"/>
              <w:spacing w:after="0"/>
              <w:rPr>
                <w:sz w:val="20"/>
                <w:szCs w:val="20"/>
                <w:color w:val="auto"/>
              </w:rPr>
            </w:pPr>
            <w:r>
              <w:rPr>
                <w:rFonts w:ascii="Arial" w:cs="Arial" w:eastAsia="Arial" w:hAnsi="Arial"/>
                <w:sz w:val="13"/>
                <w:szCs w:val="13"/>
                <w:color w:val="auto"/>
              </w:rPr>
              <w:t>8/29/2022</w:t>
            </w:r>
          </w:p>
        </w:tc>
        <w:tc>
          <w:tcPr>
            <w:tcW w:w="980" w:type="dxa"/>
            <w:vAlign w:val="bottom"/>
          </w:tcPr>
          <w:p>
            <w:pPr>
              <w:jc w:val="right"/>
              <w:spacing w:after="0"/>
              <w:rPr>
                <w:sz w:val="20"/>
                <w:szCs w:val="20"/>
                <w:color w:val="auto"/>
              </w:rPr>
            </w:pPr>
            <w:r>
              <w:rPr>
                <w:rFonts w:ascii="Arial" w:cs="Arial" w:eastAsia="Arial" w:hAnsi="Arial"/>
                <w:sz w:val="13"/>
                <w:szCs w:val="13"/>
                <w:color w:val="auto"/>
              </w:rPr>
              <w:t>8/19/2022</w:t>
            </w: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70" w:type="dxa"/>
            <w:vAlign w:val="bottom"/>
          </w:tcPr>
          <w:p>
            <w:pPr>
              <w:spacing w:after="0"/>
              <w:rPr>
                <w:sz w:val="14"/>
                <w:szCs w:val="14"/>
                <w:color w:val="auto"/>
              </w:rPr>
            </w:pPr>
          </w:p>
        </w:tc>
        <w:tc>
          <w:tcPr>
            <w:tcW w:w="860" w:type="dxa"/>
            <w:vAlign w:val="bottom"/>
          </w:tcPr>
          <w:p>
            <w:pPr>
              <w:jc w:val="right"/>
              <w:ind w:right="9"/>
              <w:spacing w:after="0"/>
              <w:rPr>
                <w:sz w:val="20"/>
                <w:szCs w:val="20"/>
                <w:color w:val="auto"/>
              </w:rPr>
            </w:pPr>
            <w:r>
              <w:rPr>
                <w:rFonts w:ascii="Arial" w:cs="Arial" w:eastAsia="Arial" w:hAnsi="Arial"/>
                <w:sz w:val="13"/>
                <w:szCs w:val="13"/>
                <w:color w:val="auto"/>
              </w:rPr>
              <w:t>22,608</w:t>
            </w:r>
          </w:p>
        </w:tc>
        <w:tc>
          <w:tcPr>
            <w:tcW w:w="15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1,200,033</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400" w:right="20" w:hanging="293"/>
        <w:spacing w:after="0" w:line="254" w:lineRule="auto"/>
        <w:tabs>
          <w:tab w:leader="none" w:pos="388"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Amounts shown represent the range of potential payouts under our annual incentive compensation plan. See “Estimated Future Payouts Under Non-Equity Incentive Plan Awards” below for a discussion of the amounts included in this column. The actual amounts paid to our Named Executives are included in the Non-Equity Incentive Plan Compensation column of the “Summary Compensation Table” above.</w:t>
      </w:r>
    </w:p>
    <w:p>
      <w:pPr>
        <w:ind w:left="380" w:hanging="273"/>
        <w:spacing w:after="0"/>
        <w:tabs>
          <w:tab w:leader="none" w:pos="3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See "Estimated Future Payouts Under Equity Incentive Plan Awards" below for a discussion of the amounts included in this column.</w:t>
      </w:r>
    </w:p>
    <w:p>
      <w:pPr>
        <w:spacing w:after="0" w:line="8" w:lineRule="exact"/>
        <w:rPr>
          <w:rFonts w:ascii="Arial" w:cs="Arial" w:eastAsia="Arial" w:hAnsi="Arial"/>
          <w:sz w:val="13"/>
          <w:szCs w:val="13"/>
          <w:i w:val="1"/>
          <w:iCs w:val="1"/>
          <w:color w:val="auto"/>
        </w:rPr>
      </w:pPr>
    </w:p>
    <w:p>
      <w:pPr>
        <w:ind w:left="380" w:hanging="273"/>
        <w:spacing w:after="0"/>
        <w:tabs>
          <w:tab w:leader="none" w:pos="3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Amounts shown represent shares of our common stock underlying restricted stock units. See “All Other Stock Awards” below for a discussion of the amounts included in this column.</w:t>
      </w:r>
    </w:p>
    <w:p>
      <w:pPr>
        <w:spacing w:after="0" w:line="8" w:lineRule="exact"/>
        <w:rPr>
          <w:rFonts w:ascii="Arial" w:cs="Arial" w:eastAsia="Arial" w:hAnsi="Arial"/>
          <w:sz w:val="13"/>
          <w:szCs w:val="13"/>
          <w:i w:val="1"/>
          <w:iCs w:val="1"/>
          <w:color w:val="auto"/>
        </w:rPr>
      </w:pPr>
    </w:p>
    <w:p>
      <w:pPr>
        <w:ind w:left="380" w:hanging="273"/>
        <w:spacing w:after="0"/>
        <w:tabs>
          <w:tab w:leader="none" w:pos="3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See "Grant Date Fair Value of Stock Awards" below for a discussion of the amounts included in this column.</w:t>
      </w:r>
    </w:p>
    <w:p>
      <w:pPr>
        <w:spacing w:after="0" w:line="8" w:lineRule="exact"/>
        <w:rPr>
          <w:rFonts w:ascii="Arial" w:cs="Arial" w:eastAsia="Arial" w:hAnsi="Arial"/>
          <w:sz w:val="13"/>
          <w:szCs w:val="13"/>
          <w:i w:val="1"/>
          <w:iCs w:val="1"/>
          <w:color w:val="auto"/>
        </w:rPr>
      </w:pPr>
    </w:p>
    <w:p>
      <w:pPr>
        <w:ind w:left="400" w:right="240" w:hanging="293"/>
        <w:spacing w:after="0" w:line="254" w:lineRule="auto"/>
        <w:tabs>
          <w:tab w:leader="none" w:pos="388"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Mr. McCabe served as our Senior Vice President, General Counsel and Secretary until January 2, 2023 when he transitioned to Special Advisor to the CEO. Pursuant to the terms of the Transition Agreement, dated December 29, 2022, Mr. McCabe forfeited his outstanding and unvested equity awards as of that date in return for a one-time payment.</w:t>
      </w:r>
    </w:p>
    <w:p>
      <w:pPr>
        <w:ind w:left="380" w:hanging="273"/>
        <w:spacing w:after="0"/>
        <w:tabs>
          <w:tab w:leader="none" w:pos="380" w:val="left"/>
        </w:tabs>
        <w:numPr>
          <w:ilvl w:val="0"/>
          <w:numId w:val="80"/>
        </w:numPr>
        <w:rPr>
          <w:rFonts w:ascii="Arial" w:cs="Arial" w:eastAsia="Arial" w:hAnsi="Arial"/>
          <w:sz w:val="13"/>
          <w:szCs w:val="13"/>
          <w:i w:val="1"/>
          <w:iCs w:val="1"/>
          <w:color w:val="auto"/>
        </w:rPr>
      </w:pPr>
      <w:r>
        <w:rPr>
          <w:rFonts w:ascii="Arial" w:cs="Arial" w:eastAsia="Arial" w:hAnsi="Arial"/>
          <w:sz w:val="13"/>
          <w:szCs w:val="13"/>
          <w:i w:val="1"/>
          <w:iCs w:val="1"/>
          <w:color w:val="auto"/>
        </w:rPr>
        <w:t>Mr. Duffy joined the Company as Senior Vice President and Chief Administrative Officer on August 29, 2022.</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Estimated Future Payouts Under Non-Equity Incentive Plan Awards</w:t>
      </w:r>
    </w:p>
    <w:p>
      <w:pPr>
        <w:spacing w:after="0" w:line="8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amounts shown in this column reflect the threshold, target and maximum pay opportunities for each Named Executive under the EICP for 2022. Generally, EICP payout depends on three principal factors: (i) financial, safety and individual performance, (ii) the Named Executive’s target percentage, and (iii) the Named Executive’s earnings from base salary. For 2022, the target percentage for each Named Executive was as follows:</w:t>
      </w:r>
    </w:p>
    <w:p>
      <w:pPr>
        <w:spacing w:after="0" w:line="81" w:lineRule="exact"/>
        <w:rPr>
          <w:sz w:val="20"/>
          <w:szCs w:val="20"/>
          <w:color w:val="auto"/>
        </w:rPr>
      </w:pPr>
    </w:p>
    <w:tbl>
      <w:tblPr>
        <w:tblLayout w:type="fixed"/>
        <w:tblInd w:w="3660" w:type="dxa"/>
        <w:tblCellMar>
          <w:top w:w="0" w:type="dxa"/>
          <w:left w:w="0" w:type="dxa"/>
          <w:bottom w:w="0" w:type="dxa"/>
          <w:right w:w="0" w:type="dxa"/>
        </w:tblCellMar>
      </w:tblPr>
      <w:tr>
        <w:trPr>
          <w:trHeight w:val="151"/>
        </w:trPr>
        <w:tc>
          <w:tcPr>
            <w:tcW w:w="215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FFFFF"/>
              </w:rPr>
              <w:t>Named Executive</w:t>
            </w:r>
          </w:p>
        </w:tc>
        <w:tc>
          <w:tcPr>
            <w:tcW w:w="110" w:type="dxa"/>
            <w:vAlign w:val="bottom"/>
            <w:shd w:val="clear" w:color="auto" w:fill="000000"/>
          </w:tcPr>
          <w:p>
            <w:pPr>
              <w:spacing w:after="0"/>
              <w:rPr>
                <w:sz w:val="13"/>
                <w:szCs w:val="13"/>
                <w:color w:val="auto"/>
              </w:rPr>
            </w:pPr>
          </w:p>
        </w:tc>
        <w:tc>
          <w:tcPr>
            <w:tcW w:w="17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Target Percentage</w:t>
            </w:r>
          </w:p>
        </w:tc>
        <w:tc>
          <w:tcPr>
            <w:tcW w:w="0" w:type="dxa"/>
            <w:vAlign w:val="bottom"/>
          </w:tcPr>
          <w:p>
            <w:pPr>
              <w:spacing w:after="0"/>
              <w:rPr>
                <w:sz w:val="1"/>
                <w:szCs w:val="1"/>
                <w:color w:val="auto"/>
              </w:rPr>
            </w:pPr>
          </w:p>
        </w:tc>
      </w:tr>
      <w:tr>
        <w:trPr>
          <w:trHeight w:val="178"/>
        </w:trPr>
        <w:tc>
          <w:tcPr>
            <w:tcW w:w="2150" w:type="dxa"/>
            <w:vAlign w:val="bottom"/>
            <w:vMerge w:val="continue"/>
            <w:shd w:val="clear" w:color="auto" w:fill="000000"/>
          </w:tcPr>
          <w:p>
            <w:pPr>
              <w:spacing w:after="0"/>
              <w:rPr>
                <w:sz w:val="15"/>
                <w:szCs w:val="15"/>
                <w:color w:val="auto"/>
              </w:rPr>
            </w:pPr>
          </w:p>
        </w:tc>
        <w:tc>
          <w:tcPr>
            <w:tcW w:w="110" w:type="dxa"/>
            <w:vAlign w:val="bottom"/>
            <w:shd w:val="clear" w:color="auto" w:fill="000000"/>
          </w:tcPr>
          <w:p>
            <w:pPr>
              <w:spacing w:after="0"/>
              <w:rPr>
                <w:sz w:val="15"/>
                <w:szCs w:val="15"/>
                <w:color w:val="auto"/>
              </w:rPr>
            </w:pPr>
          </w:p>
        </w:tc>
        <w:tc>
          <w:tcPr>
            <w:tcW w:w="17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 of Salary)</w:t>
            </w:r>
          </w:p>
        </w:tc>
        <w:tc>
          <w:tcPr>
            <w:tcW w:w="0" w:type="dxa"/>
            <w:vAlign w:val="bottom"/>
          </w:tcPr>
          <w:p>
            <w:pPr>
              <w:spacing w:after="0"/>
              <w:rPr>
                <w:sz w:val="1"/>
                <w:szCs w:val="1"/>
                <w:color w:val="auto"/>
              </w:rPr>
            </w:pPr>
          </w:p>
        </w:tc>
      </w:tr>
      <w:tr>
        <w:trPr>
          <w:trHeight w:val="194"/>
        </w:trPr>
        <w:tc>
          <w:tcPr>
            <w:tcW w:w="2260" w:type="dxa"/>
            <w:vAlign w:val="bottom"/>
            <w:gridSpan w:val="2"/>
          </w:tcPr>
          <w:p>
            <w:pPr>
              <w:ind w:left="20"/>
              <w:spacing w:after="0"/>
              <w:rPr>
                <w:sz w:val="20"/>
                <w:szCs w:val="20"/>
                <w:color w:val="auto"/>
              </w:rPr>
            </w:pPr>
            <w:r>
              <w:rPr>
                <w:rFonts w:ascii="Arial" w:cs="Arial" w:eastAsia="Arial" w:hAnsi="Arial"/>
                <w:sz w:val="15"/>
                <w:szCs w:val="15"/>
                <w:color w:val="auto"/>
              </w:rPr>
              <w:t>Rex D. Geveden</w:t>
            </w:r>
          </w:p>
        </w:tc>
        <w:tc>
          <w:tcPr>
            <w:tcW w:w="1720" w:type="dxa"/>
            <w:vAlign w:val="bottom"/>
          </w:tcPr>
          <w:p>
            <w:pPr>
              <w:jc w:val="center"/>
              <w:spacing w:after="0"/>
              <w:rPr>
                <w:sz w:val="20"/>
                <w:szCs w:val="20"/>
                <w:color w:val="auto"/>
              </w:rPr>
            </w:pPr>
            <w:r>
              <w:rPr>
                <w:rFonts w:ascii="Arial" w:cs="Arial" w:eastAsia="Arial" w:hAnsi="Arial"/>
                <w:sz w:val="15"/>
                <w:szCs w:val="15"/>
                <w:color w:val="auto"/>
                <w:w w:val="98"/>
              </w:rPr>
              <w:t>100%</w:t>
            </w: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Robb A. LeMasters</w:t>
            </w:r>
          </w:p>
        </w:tc>
        <w:tc>
          <w:tcPr>
            <w:tcW w:w="172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70%</w:t>
            </w:r>
          </w:p>
        </w:tc>
        <w:tc>
          <w:tcPr>
            <w:tcW w:w="0" w:type="dxa"/>
            <w:vAlign w:val="bottom"/>
          </w:tcPr>
          <w:p>
            <w:pPr>
              <w:spacing w:after="0"/>
              <w:rPr>
                <w:sz w:val="1"/>
                <w:szCs w:val="1"/>
                <w:color w:val="auto"/>
              </w:rPr>
            </w:pPr>
          </w:p>
        </w:tc>
      </w:tr>
      <w:tr>
        <w:trPr>
          <w:trHeight w:val="194"/>
        </w:trPr>
        <w:tc>
          <w:tcPr>
            <w:tcW w:w="2260" w:type="dxa"/>
            <w:vAlign w:val="bottom"/>
            <w:gridSpan w:val="2"/>
          </w:tcPr>
          <w:p>
            <w:pPr>
              <w:ind w:left="20"/>
              <w:spacing w:after="0"/>
              <w:rPr>
                <w:sz w:val="20"/>
                <w:szCs w:val="20"/>
                <w:color w:val="auto"/>
              </w:rPr>
            </w:pPr>
            <w:r>
              <w:rPr>
                <w:rFonts w:ascii="Arial" w:cs="Arial" w:eastAsia="Arial" w:hAnsi="Arial"/>
                <w:sz w:val="15"/>
                <w:szCs w:val="15"/>
                <w:color w:val="auto"/>
              </w:rPr>
              <w:t>Thomas E. McCabe</w:t>
            </w:r>
          </w:p>
        </w:tc>
        <w:tc>
          <w:tcPr>
            <w:tcW w:w="1720" w:type="dxa"/>
            <w:vAlign w:val="bottom"/>
          </w:tcPr>
          <w:p>
            <w:pPr>
              <w:jc w:val="center"/>
              <w:spacing w:after="0"/>
              <w:rPr>
                <w:sz w:val="20"/>
                <w:szCs w:val="20"/>
                <w:color w:val="auto"/>
              </w:rPr>
            </w:pPr>
            <w:r>
              <w:rPr>
                <w:rFonts w:ascii="Arial" w:cs="Arial" w:eastAsia="Arial" w:hAnsi="Arial"/>
                <w:sz w:val="15"/>
                <w:szCs w:val="15"/>
                <w:color w:val="auto"/>
                <w:w w:val="99"/>
              </w:rPr>
              <w:t>65%</w:t>
            </w:r>
          </w:p>
        </w:tc>
        <w:tc>
          <w:tcPr>
            <w:tcW w:w="0" w:type="dxa"/>
            <w:vAlign w:val="bottom"/>
          </w:tcPr>
          <w:p>
            <w:pPr>
              <w:spacing w:after="0"/>
              <w:rPr>
                <w:sz w:val="1"/>
                <w:szCs w:val="1"/>
                <w:color w:val="auto"/>
              </w:rPr>
            </w:pPr>
          </w:p>
        </w:tc>
      </w:tr>
      <w:tr>
        <w:trPr>
          <w:trHeight w:val="196"/>
        </w:trPr>
        <w:tc>
          <w:tcPr>
            <w:tcW w:w="22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Kevin M. McCoy</w:t>
            </w:r>
          </w:p>
        </w:tc>
        <w:tc>
          <w:tcPr>
            <w:tcW w:w="1720" w:type="dxa"/>
            <w:vAlign w:val="bottom"/>
            <w:shd w:val="clear" w:color="auto" w:fill="DBDBDB"/>
          </w:tcPr>
          <w:p>
            <w:pPr>
              <w:jc w:val="center"/>
              <w:spacing w:after="0"/>
              <w:rPr>
                <w:sz w:val="20"/>
                <w:szCs w:val="20"/>
                <w:color w:val="auto"/>
              </w:rPr>
            </w:pPr>
            <w:r>
              <w:rPr>
                <w:rFonts w:ascii="Arial" w:cs="Arial" w:eastAsia="Arial" w:hAnsi="Arial"/>
                <w:sz w:val="15"/>
                <w:szCs w:val="15"/>
                <w:color w:val="auto"/>
                <w:w w:val="99"/>
              </w:rPr>
              <w:t>65%</w:t>
            </w:r>
          </w:p>
        </w:tc>
        <w:tc>
          <w:tcPr>
            <w:tcW w:w="0" w:type="dxa"/>
            <w:vAlign w:val="bottom"/>
          </w:tcPr>
          <w:p>
            <w:pPr>
              <w:spacing w:after="0"/>
              <w:rPr>
                <w:sz w:val="1"/>
                <w:szCs w:val="1"/>
                <w:color w:val="auto"/>
              </w:rPr>
            </w:pPr>
          </w:p>
        </w:tc>
      </w:tr>
      <w:tr>
        <w:trPr>
          <w:trHeight w:val="192"/>
        </w:trPr>
        <w:tc>
          <w:tcPr>
            <w:tcW w:w="2260" w:type="dxa"/>
            <w:vAlign w:val="bottom"/>
            <w:gridSpan w:val="2"/>
          </w:tcPr>
          <w:p>
            <w:pPr>
              <w:ind w:left="20"/>
              <w:spacing w:after="0"/>
              <w:rPr>
                <w:sz w:val="20"/>
                <w:szCs w:val="20"/>
                <w:color w:val="auto"/>
              </w:rPr>
            </w:pPr>
            <w:r>
              <w:rPr>
                <w:rFonts w:ascii="Arial" w:cs="Arial" w:eastAsia="Arial" w:hAnsi="Arial"/>
                <w:sz w:val="15"/>
                <w:szCs w:val="15"/>
                <w:color w:val="auto"/>
              </w:rPr>
              <w:t>Robert L. Duffy</w:t>
            </w:r>
          </w:p>
        </w:tc>
        <w:tc>
          <w:tcPr>
            <w:tcW w:w="1720" w:type="dxa"/>
            <w:vAlign w:val="bottom"/>
          </w:tcPr>
          <w:p>
            <w:pPr>
              <w:jc w:val="center"/>
              <w:spacing w:after="0"/>
              <w:rPr>
                <w:sz w:val="20"/>
                <w:szCs w:val="20"/>
                <w:color w:val="auto"/>
              </w:rPr>
            </w:pPr>
            <w:r>
              <w:rPr>
                <w:rFonts w:ascii="Arial" w:cs="Arial" w:eastAsia="Arial" w:hAnsi="Arial"/>
                <w:sz w:val="15"/>
                <w:szCs w:val="15"/>
                <w:color w:val="auto"/>
                <w:w w:val="99"/>
              </w:rPr>
              <w:t>50%</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300"/>
        <w:spacing w:after="0" w:line="267" w:lineRule="auto"/>
        <w:rPr>
          <w:sz w:val="20"/>
          <w:szCs w:val="20"/>
          <w:color w:val="auto"/>
        </w:rPr>
      </w:pPr>
      <w:r>
        <w:rPr>
          <w:rFonts w:ascii="Arial" w:cs="Arial" w:eastAsia="Arial" w:hAnsi="Arial"/>
          <w:sz w:val="16"/>
          <w:szCs w:val="16"/>
          <w:color w:val="auto"/>
        </w:rPr>
        <w:t>The amounts reflected in the “target” column of the “Grants of Plan Based Awards” table represent the value of the payout opportunity under the EICP at target financial performance levels. All threshold, target and maximum amounts reported in the table above assume that our Compensation Committee exercises no discretion over the annual incentive compensation award ultimately paid. See “Compensation Discussion and Analysis — Compensation Analysis and Outcomes — Annual Incentive Compensation” above for more information about the 2022 EICP awards and performance goals.</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40 </w:t>
      </w:r>
      <w:r>
        <w:rPr>
          <w:sz w:val="1"/>
          <w:szCs w:val="1"/>
          <w:color w:val="auto"/>
        </w:rPr>
        <w:drawing>
          <wp:inline distT="0" distB="0" distL="0" distR="0">
            <wp:extent cx="401955" cy="16256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52" w:name="page53"/>
    <w:bookmarkEnd w:id="52"/>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58876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88760" cy="762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Estimated Future Payouts Under Equity Incentive Plan Awards</w:t>
      </w:r>
    </w:p>
    <w:p>
      <w:pPr>
        <w:spacing w:after="0" w:line="82"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The amounts shown reflect the threshold, target and maximum payout opportunities of performance restricted stock units granted in 2022 under the 2020 Plan. Each grant represents a right to receive one share of BWXT common stock if performance targets are met. Upon vesting, the performance restricted stock units are settled into shares of BWXT common stock. The amount of performance restricted stock units that vest, if any, is determined based (1) 40% on the average annual ROIC during the three-year performance period; (2) 40% on the Company’s cumulative adjusted EBITDA during the same period; and (3) 20% on the relative total shareholder return during the same period. We withhold a portion of these shares to satisfy the minimum statutory withholding tax for each Named Executive due on vesting. The amounts shown in the “target” column represent the number of performance shares that will vest, which is 100% of the amount granted, if the target levels of average annual ROIC and cumulative adjusted EBITDA are attained. The amounts shown in the “maximum” column represent the number of performance shares that will vest, which is 200% of the amount granted, if the maximum level of average annual ROIC and cumulative adjusted EBITDA are attained. The amounts shown in the “threshold” column represent the minimum number of performance shares that will vest, which is 50% of the amount granted, if the threshold level of average annual ROIC, cumulative adjusted EBITDA and relative total shareholder return are attained. No amount of performance shares will vest if the levels of all three such performance metrics are less than the threshold performance level. See “Compensation Discussion and Analysis — Compensation Analysis — Long-Term Incentive Compensation” above for more information regarding the performance shares.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All Other Stock Awards</w:t>
      </w:r>
    </w:p>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6"/>
          <w:szCs w:val="16"/>
          <w:color w:val="auto"/>
        </w:rPr>
        <w:t>The amounts shown reflect 2022 grants of restricted stock units under our 2020 Plan. Each restricted stock unit represents the right to receive one share of Company common stock and is generally scheduled to vest one-third each year beginning on the first anniversary of the date of grant. Upon vesting, the restricted stock units are settled into shares of Company common stock. We withhold a portion of these shares to satisfy the minimum statutory withholding tax for each Named Executive due on vesting. See “Compensation Discussion and Analysis — Compensation Analysis and Outcomes — Long-Term Incentive Compensation” for more information regarding the restricted stock units.</w:t>
      </w:r>
    </w:p>
    <w:p>
      <w:pPr>
        <w:spacing w:after="0" w:line="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Grant Date Fair Value of Stock Awards</w:t>
      </w:r>
    </w:p>
    <w:p>
      <w:pPr>
        <w:spacing w:after="0" w:line="70"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The amounts included in the “Grant Date Fair Value of Stock Awards” column for each Named Executive represent the full grant date fair values of the equity awards computed in accordance with FASB ASC Topic 718, disregarding potential forfeitures based on service requirements. The grant date fair value of restricted stock units is based on the closing price of one share of our common stock on the date of grant, which is $43.84 for awards granted on February 18, 2022 ($53.08 for the sign-on award granted to Mr. Duffy on August 29, 2022). The grant date fair value of the performance restricted stock units is based on the probable outcome of each of the three performance conditions. The grant date fair value for the EBITDA and ROIC performance condition portions of the awards is $43.84, based on the closing price of one share of our common stock on the February 18, 2022 date of grant. The grant date fair value for the relative TSR performance condition portion of the award is $51.78, which is determined using a Monte Carlo model that simulates our stock price and TSR relative to other companies in the S&amp;P Aerospace and Defense Select Industry Index. The values for performance restricted stock units are based on our Named Executives attaining target performance levels. For more information regarding the compensation expense related to 2022 awards, see Note 9 to our consolidated financial statements included in our annual report on Form 10-K for the year ended December 31, 2022.</w:t>
      </w:r>
    </w:p>
    <w:p>
      <w:pPr>
        <w:spacing w:after="0" w:line="57" w:lineRule="exact"/>
        <w:rPr>
          <w:sz w:val="20"/>
          <w:szCs w:val="20"/>
          <w:color w:val="auto"/>
        </w:rPr>
      </w:pPr>
    </w:p>
    <w:p>
      <w:pPr>
        <w:ind w:right="180"/>
        <w:spacing w:after="0" w:line="267" w:lineRule="auto"/>
        <w:rPr>
          <w:sz w:val="20"/>
          <w:szCs w:val="20"/>
          <w:color w:val="auto"/>
        </w:rPr>
      </w:pPr>
      <w:r>
        <w:rPr>
          <w:rFonts w:ascii="Arial" w:cs="Arial" w:eastAsia="Arial" w:hAnsi="Arial"/>
          <w:sz w:val="16"/>
          <w:szCs w:val="16"/>
          <w:color w:val="auto"/>
        </w:rPr>
        <w:t>The amounts reported in the “Grant Date Fair Value of Stock Awards” column for restricted stock unit awards do not factor in the value of dividend equivalents credited to each unvested restricted stock unit as a result of dividends on stock declared by the Company in 2022. For more information on the value of dividend equivalents credited to our Named Executives’ vested restricted stock unit awards, see “All Other Compensation” under the “Summary Compensation 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3" w:name="page54"/>
    <w:bookmarkEnd w:id="53"/>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OUTSTANDING EQUITY AWARDS AT FISCAL YEAR-END 2022</w:t>
      </w:r>
    </w:p>
    <w:p>
      <w:pPr>
        <w:spacing w:after="0" w:line="95" w:lineRule="exact"/>
        <w:rPr>
          <w:sz w:val="20"/>
          <w:szCs w:val="20"/>
          <w:color w:val="auto"/>
        </w:rPr>
      </w:pPr>
    </w:p>
    <w:p>
      <w:pPr>
        <w:ind w:right="560"/>
        <w:spacing w:after="0" w:line="294" w:lineRule="auto"/>
        <w:rPr>
          <w:sz w:val="20"/>
          <w:szCs w:val="20"/>
          <w:color w:val="auto"/>
        </w:rPr>
      </w:pPr>
      <w:r>
        <w:rPr>
          <w:rFonts w:ascii="Arial" w:cs="Arial" w:eastAsia="Arial" w:hAnsi="Arial"/>
          <w:sz w:val="16"/>
          <w:szCs w:val="16"/>
          <w:color w:val="auto"/>
        </w:rPr>
        <w:t>The following Outstanding Equity Awards at Fiscal Year-End table summarizes the equity awards we have made to our Named Executives that were outstanding as of December 31, 2022. None of our Named Executives had outstanding stock options as of December 31, 2022.</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6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1040" w:type="dxa"/>
            <w:vAlign w:val="bottom"/>
            <w:shd w:val="clear" w:color="auto" w:fill="000000"/>
          </w:tcPr>
          <w:p>
            <w:pPr>
              <w:spacing w:after="0"/>
              <w:rPr>
                <w:sz w:val="14"/>
                <w:szCs w:val="14"/>
                <w:color w:val="auto"/>
              </w:rPr>
            </w:pPr>
          </w:p>
        </w:tc>
        <w:tc>
          <w:tcPr>
            <w:tcW w:w="1120" w:type="dxa"/>
            <w:vAlign w:val="bottom"/>
            <w:shd w:val="clear" w:color="auto" w:fill="000000"/>
          </w:tcPr>
          <w:p>
            <w:pPr>
              <w:spacing w:after="0"/>
              <w:rPr>
                <w:sz w:val="14"/>
                <w:szCs w:val="14"/>
                <w:color w:val="auto"/>
              </w:rPr>
            </w:pPr>
          </w:p>
        </w:tc>
        <w:tc>
          <w:tcPr>
            <w:tcW w:w="540" w:type="dxa"/>
            <w:vAlign w:val="bottom"/>
            <w:shd w:val="clear" w:color="auto" w:fill="000000"/>
          </w:tcPr>
          <w:p>
            <w:pPr>
              <w:spacing w:after="0"/>
              <w:rPr>
                <w:sz w:val="14"/>
                <w:szCs w:val="14"/>
                <w:color w:val="auto"/>
              </w:rPr>
            </w:pPr>
          </w:p>
        </w:tc>
        <w:tc>
          <w:tcPr>
            <w:tcW w:w="2660" w:type="dxa"/>
            <w:vAlign w:val="bottom"/>
            <w:gridSpan w:val="3"/>
            <w:shd w:val="clear" w:color="auto" w:fill="000000"/>
          </w:tcPr>
          <w:p>
            <w:pPr>
              <w:ind w:left="840"/>
              <w:spacing w:after="0"/>
              <w:rPr>
                <w:sz w:val="20"/>
                <w:szCs w:val="20"/>
                <w:color w:val="auto"/>
              </w:rPr>
            </w:pPr>
            <w:r>
              <w:rPr>
                <w:rFonts w:ascii="Arial" w:cs="Arial" w:eastAsia="Arial" w:hAnsi="Arial"/>
                <w:sz w:val="11"/>
                <w:szCs w:val="11"/>
                <w:b w:val="1"/>
                <w:bCs w:val="1"/>
                <w:color w:val="FFFFFF"/>
              </w:rPr>
              <w:t>Stock Awards</w:t>
            </w:r>
            <w:r>
              <w:rPr>
                <w:rFonts w:ascii="Arial" w:cs="Arial" w:eastAsia="Arial" w:hAnsi="Arial"/>
                <w:sz w:val="14"/>
                <w:szCs w:val="14"/>
                <w:b w:val="1"/>
                <w:bCs w:val="1"/>
                <w:color w:val="FFFFFF"/>
                <w:vertAlign w:val="superscript"/>
              </w:rPr>
              <w:t>(1)</w:t>
            </w:r>
          </w:p>
        </w:tc>
        <w:tc>
          <w:tcPr>
            <w:tcW w:w="120" w:type="dxa"/>
            <w:vAlign w:val="bottom"/>
            <w:shd w:val="clear" w:color="auto" w:fill="000000"/>
          </w:tcPr>
          <w:p>
            <w:pPr>
              <w:spacing w:after="0"/>
              <w:rPr>
                <w:sz w:val="14"/>
                <w:szCs w:val="14"/>
                <w:color w:val="auto"/>
              </w:rPr>
            </w:pPr>
          </w:p>
        </w:tc>
        <w:tc>
          <w:tcPr>
            <w:tcW w:w="132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8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40" w:type="dxa"/>
            <w:vAlign w:val="bottom"/>
            <w:shd w:val="clear" w:color="auto" w:fill="000000"/>
          </w:tcPr>
          <w:p>
            <w:pPr>
              <w:spacing w:after="0"/>
              <w:rPr>
                <w:sz w:val="10"/>
                <w:szCs w:val="10"/>
                <w:color w:val="auto"/>
              </w:rPr>
            </w:pPr>
          </w:p>
        </w:tc>
        <w:tc>
          <w:tcPr>
            <w:tcW w:w="1120" w:type="dxa"/>
            <w:vAlign w:val="bottom"/>
            <w:shd w:val="clear" w:color="auto" w:fill="000000"/>
          </w:tcPr>
          <w:p>
            <w:pPr>
              <w:jc w:val="center"/>
              <w:ind w:left="338"/>
              <w:spacing w:after="0" w:line="122" w:lineRule="exact"/>
              <w:rPr>
                <w:sz w:val="20"/>
                <w:szCs w:val="20"/>
                <w:color w:val="auto"/>
              </w:rPr>
            </w:pPr>
            <w:r>
              <w:rPr>
                <w:rFonts w:ascii="Arial" w:cs="Arial" w:eastAsia="Arial" w:hAnsi="Arial"/>
                <w:sz w:val="11"/>
                <w:szCs w:val="11"/>
                <w:b w:val="1"/>
                <w:bCs w:val="1"/>
                <w:color w:val="FFFFFF"/>
              </w:rPr>
              <w:t>Number of</w:t>
            </w:r>
          </w:p>
        </w:tc>
        <w:tc>
          <w:tcPr>
            <w:tcW w:w="540" w:type="dxa"/>
            <w:vAlign w:val="bottom"/>
            <w:shd w:val="clear" w:color="auto" w:fill="000000"/>
          </w:tcPr>
          <w:p>
            <w:pPr>
              <w:spacing w:after="0"/>
              <w:rPr>
                <w:sz w:val="10"/>
                <w:szCs w:val="10"/>
                <w:color w:val="auto"/>
              </w:rPr>
            </w:pPr>
          </w:p>
        </w:tc>
        <w:tc>
          <w:tcPr>
            <w:tcW w:w="1080" w:type="dxa"/>
            <w:vAlign w:val="bottom"/>
            <w:shd w:val="clear" w:color="auto" w:fill="000000"/>
          </w:tcPr>
          <w:p>
            <w:pPr>
              <w:spacing w:after="0"/>
              <w:rPr>
                <w:sz w:val="10"/>
                <w:szCs w:val="10"/>
                <w:color w:val="auto"/>
              </w:rPr>
            </w:pPr>
          </w:p>
        </w:tc>
        <w:tc>
          <w:tcPr>
            <w:tcW w:w="1480" w:type="dxa"/>
            <w:vAlign w:val="bottom"/>
            <w:vMerge w:val="restart"/>
            <w:shd w:val="clear" w:color="auto" w:fill="000000"/>
          </w:tcPr>
          <w:p>
            <w:pPr>
              <w:jc w:val="center"/>
              <w:spacing w:after="0"/>
              <w:rPr>
                <w:sz w:val="20"/>
                <w:szCs w:val="20"/>
                <w:color w:val="auto"/>
              </w:rPr>
            </w:pPr>
            <w:r>
              <w:rPr>
                <w:rFonts w:ascii="Arial" w:cs="Arial" w:eastAsia="Arial" w:hAnsi="Arial"/>
                <w:sz w:val="11"/>
                <w:szCs w:val="11"/>
                <w:b w:val="1"/>
                <w:bCs w:val="1"/>
                <w:color w:val="FFFFFF"/>
              </w:rPr>
              <w:t>Equity Incentive Plan</w:t>
            </w: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320" w:type="dxa"/>
            <w:vAlign w:val="bottom"/>
            <w:shd w:val="clear" w:color="auto" w:fill="000000"/>
          </w:tcPr>
          <w:p>
            <w:pPr>
              <w:jc w:val="center"/>
              <w:ind w:right="58"/>
              <w:spacing w:after="0" w:line="122" w:lineRule="exact"/>
              <w:rPr>
                <w:sz w:val="20"/>
                <w:szCs w:val="20"/>
                <w:color w:val="auto"/>
              </w:rPr>
            </w:pPr>
            <w:r>
              <w:rPr>
                <w:rFonts w:ascii="Arial" w:cs="Arial" w:eastAsia="Arial" w:hAnsi="Arial"/>
                <w:sz w:val="11"/>
                <w:szCs w:val="11"/>
                <w:b w:val="1"/>
                <w:bCs w:val="1"/>
                <w:color w:val="FFFFFF"/>
              </w:rPr>
              <w:t>Equity Incentive Plan</w:t>
            </w:r>
          </w:p>
        </w:tc>
        <w:tc>
          <w:tcPr>
            <w:tcW w:w="0" w:type="dxa"/>
            <w:vAlign w:val="bottom"/>
          </w:tcPr>
          <w:p>
            <w:pPr>
              <w:spacing w:after="0"/>
              <w:rPr>
                <w:sz w:val="1"/>
                <w:szCs w:val="1"/>
                <w:color w:val="auto"/>
              </w:rPr>
            </w:pPr>
          </w:p>
        </w:tc>
      </w:tr>
      <w:tr>
        <w:trPr>
          <w:trHeight w:val="110"/>
        </w:trPr>
        <w:tc>
          <w:tcPr>
            <w:tcW w:w="38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040" w:type="dxa"/>
            <w:vAlign w:val="bottom"/>
            <w:shd w:val="clear" w:color="auto" w:fill="000000"/>
          </w:tcPr>
          <w:p>
            <w:pPr>
              <w:spacing w:after="0"/>
              <w:rPr>
                <w:sz w:val="9"/>
                <w:szCs w:val="9"/>
                <w:color w:val="auto"/>
              </w:rPr>
            </w:pPr>
          </w:p>
        </w:tc>
        <w:tc>
          <w:tcPr>
            <w:tcW w:w="1120" w:type="dxa"/>
            <w:vAlign w:val="bottom"/>
            <w:shd w:val="clear" w:color="auto" w:fill="000000"/>
          </w:tcPr>
          <w:p>
            <w:pPr>
              <w:jc w:val="center"/>
              <w:ind w:left="338"/>
              <w:spacing w:after="0" w:line="110" w:lineRule="exact"/>
              <w:rPr>
                <w:sz w:val="20"/>
                <w:szCs w:val="20"/>
                <w:color w:val="auto"/>
              </w:rPr>
            </w:pPr>
            <w:r>
              <w:rPr>
                <w:rFonts w:ascii="Arial" w:cs="Arial" w:eastAsia="Arial" w:hAnsi="Arial"/>
                <w:sz w:val="11"/>
                <w:szCs w:val="11"/>
                <w:b w:val="1"/>
                <w:bCs w:val="1"/>
                <w:color w:val="FFFFFF"/>
              </w:rPr>
              <w:t>Shares or</w:t>
            </w:r>
          </w:p>
        </w:tc>
        <w:tc>
          <w:tcPr>
            <w:tcW w:w="540" w:type="dxa"/>
            <w:vAlign w:val="bottom"/>
            <w:shd w:val="clear" w:color="auto" w:fill="000000"/>
          </w:tcPr>
          <w:p>
            <w:pPr>
              <w:spacing w:after="0"/>
              <w:rPr>
                <w:sz w:val="9"/>
                <w:szCs w:val="9"/>
                <w:color w:val="auto"/>
              </w:rPr>
            </w:pPr>
          </w:p>
        </w:tc>
        <w:tc>
          <w:tcPr>
            <w:tcW w:w="1080" w:type="dxa"/>
            <w:vAlign w:val="bottom"/>
            <w:vMerge w:val="restart"/>
            <w:shd w:val="clear" w:color="auto" w:fill="000000"/>
          </w:tcPr>
          <w:p>
            <w:pPr>
              <w:jc w:val="center"/>
              <w:ind w:right="37"/>
              <w:spacing w:after="0"/>
              <w:rPr>
                <w:sz w:val="20"/>
                <w:szCs w:val="20"/>
                <w:color w:val="auto"/>
              </w:rPr>
            </w:pPr>
            <w:r>
              <w:rPr>
                <w:rFonts w:ascii="Arial" w:cs="Arial" w:eastAsia="Arial" w:hAnsi="Arial"/>
                <w:sz w:val="11"/>
                <w:szCs w:val="11"/>
                <w:b w:val="1"/>
                <w:bCs w:val="1"/>
                <w:color w:val="FFFFFF"/>
              </w:rPr>
              <w:t>Market Value of</w:t>
            </w:r>
          </w:p>
        </w:tc>
        <w:tc>
          <w:tcPr>
            <w:tcW w:w="1480" w:type="dxa"/>
            <w:vAlign w:val="bottom"/>
            <w:vMerge w:val="continue"/>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320" w:type="dxa"/>
            <w:vAlign w:val="bottom"/>
            <w:shd w:val="clear" w:color="auto" w:fill="000000"/>
          </w:tcPr>
          <w:p>
            <w:pPr>
              <w:jc w:val="center"/>
              <w:ind w:right="58"/>
              <w:spacing w:after="0" w:line="110" w:lineRule="exact"/>
              <w:rPr>
                <w:sz w:val="20"/>
                <w:szCs w:val="20"/>
                <w:color w:val="auto"/>
              </w:rPr>
            </w:pPr>
            <w:r>
              <w:rPr>
                <w:rFonts w:ascii="Arial" w:cs="Arial" w:eastAsia="Arial" w:hAnsi="Arial"/>
                <w:sz w:val="11"/>
                <w:szCs w:val="11"/>
                <w:b w:val="1"/>
                <w:bCs w:val="1"/>
                <w:color w:val="FFFFFF"/>
              </w:rPr>
              <w:t>Awards: Market or</w:t>
            </w:r>
          </w:p>
        </w:tc>
        <w:tc>
          <w:tcPr>
            <w:tcW w:w="0" w:type="dxa"/>
            <w:vAlign w:val="bottom"/>
          </w:tcPr>
          <w:p>
            <w:pPr>
              <w:spacing w:after="0"/>
              <w:rPr>
                <w:sz w:val="1"/>
                <w:szCs w:val="1"/>
                <w:color w:val="auto"/>
              </w:rPr>
            </w:pPr>
          </w:p>
        </w:tc>
      </w:tr>
      <w:tr>
        <w:trPr>
          <w:trHeight w:val="122"/>
        </w:trPr>
        <w:tc>
          <w:tcPr>
            <w:tcW w:w="38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040" w:type="dxa"/>
            <w:vAlign w:val="bottom"/>
            <w:shd w:val="clear" w:color="auto" w:fill="000000"/>
          </w:tcPr>
          <w:p>
            <w:pPr>
              <w:spacing w:after="0"/>
              <w:rPr>
                <w:sz w:val="10"/>
                <w:szCs w:val="10"/>
                <w:color w:val="auto"/>
              </w:rPr>
            </w:pPr>
          </w:p>
        </w:tc>
        <w:tc>
          <w:tcPr>
            <w:tcW w:w="1120" w:type="dxa"/>
            <w:vAlign w:val="bottom"/>
            <w:shd w:val="clear" w:color="auto" w:fill="000000"/>
          </w:tcPr>
          <w:p>
            <w:pPr>
              <w:jc w:val="center"/>
              <w:ind w:left="358"/>
              <w:spacing w:after="0" w:line="122" w:lineRule="exact"/>
              <w:rPr>
                <w:sz w:val="20"/>
                <w:szCs w:val="20"/>
                <w:color w:val="auto"/>
              </w:rPr>
            </w:pPr>
            <w:r>
              <w:rPr>
                <w:rFonts w:ascii="Arial" w:cs="Arial" w:eastAsia="Arial" w:hAnsi="Arial"/>
                <w:sz w:val="11"/>
                <w:szCs w:val="11"/>
                <w:b w:val="1"/>
                <w:bCs w:val="1"/>
                <w:color w:val="FFFFFF"/>
              </w:rPr>
              <w:t>Units of</w:t>
            </w:r>
          </w:p>
        </w:tc>
        <w:tc>
          <w:tcPr>
            <w:tcW w:w="540" w:type="dxa"/>
            <w:vAlign w:val="bottom"/>
            <w:shd w:val="clear" w:color="auto" w:fill="000000"/>
          </w:tcPr>
          <w:p>
            <w:pPr>
              <w:spacing w:after="0"/>
              <w:rPr>
                <w:sz w:val="10"/>
                <w:szCs w:val="10"/>
                <w:color w:val="auto"/>
              </w:rPr>
            </w:pPr>
          </w:p>
        </w:tc>
        <w:tc>
          <w:tcPr>
            <w:tcW w:w="1080" w:type="dxa"/>
            <w:vAlign w:val="bottom"/>
            <w:vMerge w:val="continue"/>
            <w:shd w:val="clear" w:color="auto" w:fill="000000"/>
          </w:tcPr>
          <w:p>
            <w:pPr>
              <w:spacing w:after="0"/>
              <w:rPr>
                <w:sz w:val="10"/>
                <w:szCs w:val="10"/>
                <w:color w:val="auto"/>
              </w:rPr>
            </w:pPr>
          </w:p>
        </w:tc>
        <w:tc>
          <w:tcPr>
            <w:tcW w:w="1480" w:type="dxa"/>
            <w:vAlign w:val="bottom"/>
            <w:shd w:val="clear" w:color="auto" w:fill="000000"/>
          </w:tcPr>
          <w:p>
            <w:pPr>
              <w:jc w:val="center"/>
              <w:spacing w:after="0" w:line="122" w:lineRule="exact"/>
              <w:rPr>
                <w:sz w:val="20"/>
                <w:szCs w:val="20"/>
                <w:color w:val="auto"/>
              </w:rPr>
            </w:pPr>
            <w:r>
              <w:rPr>
                <w:rFonts w:ascii="Arial" w:cs="Arial" w:eastAsia="Arial" w:hAnsi="Arial"/>
                <w:sz w:val="11"/>
                <w:szCs w:val="11"/>
                <w:b w:val="1"/>
                <w:bCs w:val="1"/>
                <w:color w:val="FFFFFF"/>
              </w:rPr>
              <w:t>Awards: Number of</w:t>
            </w:r>
          </w:p>
        </w:tc>
        <w:tc>
          <w:tcPr>
            <w:tcW w:w="10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320" w:type="dxa"/>
            <w:vAlign w:val="bottom"/>
            <w:shd w:val="clear" w:color="auto" w:fill="000000"/>
          </w:tcPr>
          <w:p>
            <w:pPr>
              <w:jc w:val="center"/>
              <w:ind w:right="58"/>
              <w:spacing w:after="0" w:line="122" w:lineRule="exact"/>
              <w:rPr>
                <w:sz w:val="20"/>
                <w:szCs w:val="20"/>
                <w:color w:val="auto"/>
              </w:rPr>
            </w:pPr>
            <w:r>
              <w:rPr>
                <w:rFonts w:ascii="Arial" w:cs="Arial" w:eastAsia="Arial" w:hAnsi="Arial"/>
                <w:sz w:val="11"/>
                <w:szCs w:val="11"/>
                <w:b w:val="1"/>
                <w:bCs w:val="1"/>
                <w:color w:val="FFFFFF"/>
              </w:rPr>
              <w:t>Payout Value of</w:t>
            </w:r>
          </w:p>
        </w:tc>
        <w:tc>
          <w:tcPr>
            <w:tcW w:w="0" w:type="dxa"/>
            <w:vAlign w:val="bottom"/>
          </w:tcPr>
          <w:p>
            <w:pPr>
              <w:spacing w:after="0"/>
              <w:rPr>
                <w:sz w:val="1"/>
                <w:szCs w:val="1"/>
                <w:color w:val="auto"/>
              </w:rPr>
            </w:pPr>
          </w:p>
        </w:tc>
      </w:tr>
      <w:tr>
        <w:trPr>
          <w:trHeight w:val="110"/>
        </w:trPr>
        <w:tc>
          <w:tcPr>
            <w:tcW w:w="38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040" w:type="dxa"/>
            <w:vAlign w:val="bottom"/>
            <w:vMerge w:val="restart"/>
            <w:shd w:val="clear" w:color="auto" w:fill="000000"/>
          </w:tcPr>
          <w:p>
            <w:pPr>
              <w:jc w:val="right"/>
              <w:ind w:right="303"/>
              <w:spacing w:after="0"/>
              <w:rPr>
                <w:sz w:val="20"/>
                <w:szCs w:val="20"/>
                <w:color w:val="auto"/>
              </w:rPr>
            </w:pPr>
            <w:r>
              <w:rPr>
                <w:rFonts w:ascii="Arial" w:cs="Arial" w:eastAsia="Arial" w:hAnsi="Arial"/>
                <w:sz w:val="11"/>
                <w:szCs w:val="11"/>
                <w:b w:val="1"/>
                <w:bCs w:val="1"/>
                <w:color w:val="FFFFFF"/>
              </w:rPr>
              <w:t>Grant</w:t>
            </w:r>
          </w:p>
        </w:tc>
        <w:tc>
          <w:tcPr>
            <w:tcW w:w="1120" w:type="dxa"/>
            <w:vAlign w:val="bottom"/>
            <w:shd w:val="clear" w:color="auto" w:fill="000000"/>
          </w:tcPr>
          <w:p>
            <w:pPr>
              <w:jc w:val="center"/>
              <w:ind w:left="358"/>
              <w:spacing w:after="0" w:line="110" w:lineRule="exact"/>
              <w:rPr>
                <w:sz w:val="20"/>
                <w:szCs w:val="20"/>
                <w:color w:val="auto"/>
              </w:rPr>
            </w:pPr>
            <w:r>
              <w:rPr>
                <w:rFonts w:ascii="Arial" w:cs="Arial" w:eastAsia="Arial" w:hAnsi="Arial"/>
                <w:sz w:val="11"/>
                <w:szCs w:val="11"/>
                <w:b w:val="1"/>
                <w:bCs w:val="1"/>
                <w:color w:val="FFFFFF"/>
              </w:rPr>
              <w:t>Stock That</w:t>
            </w:r>
          </w:p>
        </w:tc>
        <w:tc>
          <w:tcPr>
            <w:tcW w:w="540" w:type="dxa"/>
            <w:vAlign w:val="bottom"/>
            <w:shd w:val="clear" w:color="auto" w:fill="000000"/>
          </w:tcPr>
          <w:p>
            <w:pPr>
              <w:spacing w:after="0"/>
              <w:rPr>
                <w:sz w:val="9"/>
                <w:szCs w:val="9"/>
                <w:color w:val="auto"/>
              </w:rPr>
            </w:pPr>
          </w:p>
        </w:tc>
        <w:tc>
          <w:tcPr>
            <w:tcW w:w="1080" w:type="dxa"/>
            <w:vAlign w:val="bottom"/>
            <w:shd w:val="clear" w:color="auto" w:fill="000000"/>
          </w:tcPr>
          <w:p>
            <w:pPr>
              <w:jc w:val="center"/>
              <w:ind w:right="37"/>
              <w:spacing w:after="0" w:line="110" w:lineRule="exact"/>
              <w:rPr>
                <w:sz w:val="20"/>
                <w:szCs w:val="20"/>
                <w:color w:val="auto"/>
              </w:rPr>
            </w:pPr>
            <w:r>
              <w:rPr>
                <w:rFonts w:ascii="Arial" w:cs="Arial" w:eastAsia="Arial" w:hAnsi="Arial"/>
                <w:sz w:val="11"/>
                <w:szCs w:val="11"/>
                <w:b w:val="1"/>
                <w:bCs w:val="1"/>
                <w:color w:val="FFFFFF"/>
              </w:rPr>
              <w:t>Shares or Units of</w:t>
            </w:r>
          </w:p>
        </w:tc>
        <w:tc>
          <w:tcPr>
            <w:tcW w:w="1480" w:type="dxa"/>
            <w:vAlign w:val="bottom"/>
            <w:shd w:val="clear" w:color="auto" w:fill="000000"/>
          </w:tcPr>
          <w:p>
            <w:pPr>
              <w:jc w:val="center"/>
              <w:spacing w:after="0" w:line="110" w:lineRule="exact"/>
              <w:rPr>
                <w:sz w:val="20"/>
                <w:szCs w:val="20"/>
                <w:color w:val="auto"/>
              </w:rPr>
            </w:pPr>
            <w:r>
              <w:rPr>
                <w:rFonts w:ascii="Arial" w:cs="Arial" w:eastAsia="Arial" w:hAnsi="Arial"/>
                <w:sz w:val="11"/>
                <w:szCs w:val="11"/>
                <w:b w:val="1"/>
                <w:bCs w:val="1"/>
                <w:color w:val="FFFFFF"/>
              </w:rPr>
              <w:t>Unearned Shares, Units or</w:t>
            </w:r>
          </w:p>
        </w:tc>
        <w:tc>
          <w:tcPr>
            <w:tcW w:w="100" w:type="dxa"/>
            <w:vAlign w:val="bottom"/>
            <w:shd w:val="clear" w:color="auto" w:fill="000000"/>
          </w:tcPr>
          <w:p>
            <w:pPr>
              <w:spacing w:after="0"/>
              <w:rPr>
                <w:sz w:val="9"/>
                <w:szCs w:val="9"/>
                <w:color w:val="auto"/>
              </w:rPr>
            </w:pPr>
          </w:p>
        </w:tc>
        <w:tc>
          <w:tcPr>
            <w:tcW w:w="1440" w:type="dxa"/>
            <w:vAlign w:val="bottom"/>
            <w:gridSpan w:val="2"/>
            <w:shd w:val="clear" w:color="auto" w:fill="000000"/>
          </w:tcPr>
          <w:p>
            <w:pPr>
              <w:jc w:val="center"/>
              <w:spacing w:after="0" w:line="110" w:lineRule="exact"/>
              <w:rPr>
                <w:sz w:val="20"/>
                <w:szCs w:val="20"/>
                <w:color w:val="auto"/>
              </w:rPr>
            </w:pPr>
            <w:r>
              <w:rPr>
                <w:rFonts w:ascii="Arial" w:cs="Arial" w:eastAsia="Arial" w:hAnsi="Arial"/>
                <w:sz w:val="11"/>
                <w:szCs w:val="11"/>
                <w:b w:val="1"/>
                <w:bCs w:val="1"/>
                <w:color w:val="FFFFFF"/>
              </w:rPr>
              <w:t>Unearned Shares, Units</w:t>
            </w:r>
          </w:p>
        </w:tc>
        <w:tc>
          <w:tcPr>
            <w:tcW w:w="0" w:type="dxa"/>
            <w:vAlign w:val="bottom"/>
          </w:tcPr>
          <w:p>
            <w:pPr>
              <w:spacing w:after="0"/>
              <w:rPr>
                <w:sz w:val="1"/>
                <w:szCs w:val="1"/>
                <w:color w:val="auto"/>
              </w:rPr>
            </w:pPr>
          </w:p>
        </w:tc>
      </w:tr>
      <w:tr>
        <w:trPr>
          <w:trHeight w:val="110"/>
        </w:trPr>
        <w:tc>
          <w:tcPr>
            <w:tcW w:w="3860" w:type="dxa"/>
            <w:vAlign w:val="bottom"/>
            <w:vMerge w:val="restart"/>
            <w:shd w:val="clear" w:color="auto" w:fill="000000"/>
          </w:tcPr>
          <w:p>
            <w:pPr>
              <w:ind w:left="80"/>
              <w:spacing w:after="0"/>
              <w:rPr>
                <w:sz w:val="20"/>
                <w:szCs w:val="20"/>
                <w:color w:val="auto"/>
              </w:rPr>
            </w:pPr>
            <w:r>
              <w:rPr>
                <w:rFonts w:ascii="Arial" w:cs="Arial" w:eastAsia="Arial" w:hAnsi="Arial"/>
                <w:sz w:val="11"/>
                <w:szCs w:val="11"/>
                <w:b w:val="1"/>
                <w:bCs w:val="1"/>
                <w:color w:val="FFFFFF"/>
              </w:rPr>
              <w:t>Name</w:t>
            </w:r>
          </w:p>
        </w:tc>
        <w:tc>
          <w:tcPr>
            <w:tcW w:w="100" w:type="dxa"/>
            <w:vAlign w:val="bottom"/>
            <w:shd w:val="clear" w:color="auto" w:fill="000000"/>
          </w:tcPr>
          <w:p>
            <w:pPr>
              <w:spacing w:after="0"/>
              <w:rPr>
                <w:sz w:val="9"/>
                <w:szCs w:val="9"/>
                <w:color w:val="auto"/>
              </w:rPr>
            </w:pPr>
          </w:p>
        </w:tc>
        <w:tc>
          <w:tcPr>
            <w:tcW w:w="1040" w:type="dxa"/>
            <w:vAlign w:val="bottom"/>
            <w:vMerge w:val="continue"/>
            <w:shd w:val="clear" w:color="auto" w:fill="000000"/>
          </w:tcPr>
          <w:p>
            <w:pPr>
              <w:spacing w:after="0"/>
              <w:rPr>
                <w:sz w:val="9"/>
                <w:szCs w:val="9"/>
                <w:color w:val="auto"/>
              </w:rPr>
            </w:pPr>
          </w:p>
        </w:tc>
        <w:tc>
          <w:tcPr>
            <w:tcW w:w="1120" w:type="dxa"/>
            <w:vAlign w:val="bottom"/>
            <w:shd w:val="clear" w:color="auto" w:fill="000000"/>
          </w:tcPr>
          <w:p>
            <w:pPr>
              <w:jc w:val="center"/>
              <w:ind w:left="358"/>
              <w:spacing w:after="0" w:line="110" w:lineRule="exact"/>
              <w:rPr>
                <w:sz w:val="20"/>
                <w:szCs w:val="20"/>
                <w:color w:val="auto"/>
              </w:rPr>
            </w:pPr>
            <w:r>
              <w:rPr>
                <w:rFonts w:ascii="Arial" w:cs="Arial" w:eastAsia="Arial" w:hAnsi="Arial"/>
                <w:sz w:val="11"/>
                <w:szCs w:val="11"/>
                <w:b w:val="1"/>
                <w:bCs w:val="1"/>
                <w:color w:val="FFFFFF"/>
              </w:rPr>
              <w:t>Have Not</w:t>
            </w:r>
          </w:p>
        </w:tc>
        <w:tc>
          <w:tcPr>
            <w:tcW w:w="1620" w:type="dxa"/>
            <w:vAlign w:val="bottom"/>
            <w:gridSpan w:val="2"/>
            <w:shd w:val="clear" w:color="auto" w:fill="000000"/>
          </w:tcPr>
          <w:p>
            <w:pPr>
              <w:jc w:val="center"/>
              <w:ind w:left="379"/>
              <w:spacing w:after="0" w:line="110" w:lineRule="exact"/>
              <w:rPr>
                <w:sz w:val="20"/>
                <w:szCs w:val="20"/>
                <w:color w:val="auto"/>
              </w:rPr>
            </w:pPr>
            <w:r>
              <w:rPr>
                <w:rFonts w:ascii="Arial" w:cs="Arial" w:eastAsia="Arial" w:hAnsi="Arial"/>
                <w:sz w:val="11"/>
                <w:szCs w:val="11"/>
                <w:b w:val="1"/>
                <w:bCs w:val="1"/>
                <w:color w:val="FFFFFF"/>
              </w:rPr>
              <w:t>Stock That Have Not</w:t>
            </w:r>
          </w:p>
        </w:tc>
        <w:tc>
          <w:tcPr>
            <w:tcW w:w="1480" w:type="dxa"/>
            <w:vAlign w:val="bottom"/>
            <w:shd w:val="clear" w:color="auto" w:fill="000000"/>
          </w:tcPr>
          <w:p>
            <w:pPr>
              <w:jc w:val="center"/>
              <w:spacing w:after="0" w:line="110" w:lineRule="exact"/>
              <w:rPr>
                <w:sz w:val="20"/>
                <w:szCs w:val="20"/>
                <w:color w:val="auto"/>
              </w:rPr>
            </w:pPr>
            <w:r>
              <w:rPr>
                <w:rFonts w:ascii="Arial" w:cs="Arial" w:eastAsia="Arial" w:hAnsi="Arial"/>
                <w:sz w:val="11"/>
                <w:szCs w:val="11"/>
                <w:b w:val="1"/>
                <w:bCs w:val="1"/>
                <w:color w:val="FFFFFF"/>
              </w:rPr>
              <w:t>Other Rights That Have</w:t>
            </w:r>
          </w:p>
        </w:tc>
        <w:tc>
          <w:tcPr>
            <w:tcW w:w="100" w:type="dxa"/>
            <w:vAlign w:val="bottom"/>
            <w:shd w:val="clear" w:color="auto" w:fill="000000"/>
          </w:tcPr>
          <w:p>
            <w:pPr>
              <w:spacing w:after="0"/>
              <w:rPr>
                <w:sz w:val="9"/>
                <w:szCs w:val="9"/>
                <w:color w:val="auto"/>
              </w:rPr>
            </w:pPr>
          </w:p>
        </w:tc>
        <w:tc>
          <w:tcPr>
            <w:tcW w:w="120" w:type="dxa"/>
            <w:vAlign w:val="bottom"/>
            <w:shd w:val="clear" w:color="auto" w:fill="000000"/>
          </w:tcPr>
          <w:p>
            <w:pPr>
              <w:spacing w:after="0"/>
              <w:rPr>
                <w:sz w:val="9"/>
                <w:szCs w:val="9"/>
                <w:color w:val="auto"/>
              </w:rPr>
            </w:pPr>
          </w:p>
        </w:tc>
        <w:tc>
          <w:tcPr>
            <w:tcW w:w="1320" w:type="dxa"/>
            <w:vAlign w:val="bottom"/>
            <w:shd w:val="clear" w:color="auto" w:fill="000000"/>
          </w:tcPr>
          <w:p>
            <w:pPr>
              <w:jc w:val="center"/>
              <w:ind w:right="58"/>
              <w:spacing w:after="0" w:line="110" w:lineRule="exact"/>
              <w:rPr>
                <w:sz w:val="20"/>
                <w:szCs w:val="20"/>
                <w:color w:val="auto"/>
              </w:rPr>
            </w:pPr>
            <w:r>
              <w:rPr>
                <w:rFonts w:ascii="Arial" w:cs="Arial" w:eastAsia="Arial" w:hAnsi="Arial"/>
                <w:sz w:val="11"/>
                <w:szCs w:val="11"/>
                <w:b w:val="1"/>
                <w:bCs w:val="1"/>
                <w:color w:val="FFFFFF"/>
              </w:rPr>
              <w:t>or Other Rights That</w:t>
            </w:r>
          </w:p>
        </w:tc>
        <w:tc>
          <w:tcPr>
            <w:tcW w:w="0" w:type="dxa"/>
            <w:vAlign w:val="bottom"/>
          </w:tcPr>
          <w:p>
            <w:pPr>
              <w:spacing w:after="0"/>
              <w:rPr>
                <w:sz w:val="1"/>
                <w:szCs w:val="1"/>
                <w:color w:val="auto"/>
              </w:rPr>
            </w:pPr>
          </w:p>
        </w:tc>
      </w:tr>
      <w:tr>
        <w:trPr>
          <w:trHeight w:val="183"/>
        </w:trPr>
        <w:tc>
          <w:tcPr>
            <w:tcW w:w="3860" w:type="dxa"/>
            <w:vAlign w:val="bottom"/>
            <w:vMerge w:val="continue"/>
            <w:shd w:val="clear" w:color="auto" w:fill="000000"/>
          </w:tcPr>
          <w:p>
            <w:pPr>
              <w:spacing w:after="0"/>
              <w:rPr>
                <w:sz w:val="15"/>
                <w:szCs w:val="15"/>
                <w:color w:val="auto"/>
              </w:rPr>
            </w:pPr>
          </w:p>
        </w:tc>
        <w:tc>
          <w:tcPr>
            <w:tcW w:w="100" w:type="dxa"/>
            <w:vAlign w:val="bottom"/>
            <w:shd w:val="clear" w:color="auto" w:fill="000000"/>
          </w:tcPr>
          <w:p>
            <w:pPr>
              <w:spacing w:after="0"/>
              <w:rPr>
                <w:sz w:val="15"/>
                <w:szCs w:val="15"/>
                <w:color w:val="auto"/>
              </w:rPr>
            </w:pPr>
          </w:p>
        </w:tc>
        <w:tc>
          <w:tcPr>
            <w:tcW w:w="1040" w:type="dxa"/>
            <w:vAlign w:val="bottom"/>
            <w:shd w:val="clear" w:color="auto" w:fill="000000"/>
          </w:tcPr>
          <w:p>
            <w:pPr>
              <w:jc w:val="right"/>
              <w:ind w:right="343"/>
              <w:spacing w:after="0"/>
              <w:rPr>
                <w:sz w:val="20"/>
                <w:szCs w:val="20"/>
                <w:color w:val="auto"/>
              </w:rPr>
            </w:pPr>
            <w:r>
              <w:rPr>
                <w:rFonts w:ascii="Arial" w:cs="Arial" w:eastAsia="Arial" w:hAnsi="Arial"/>
                <w:sz w:val="11"/>
                <w:szCs w:val="11"/>
                <w:b w:val="1"/>
                <w:bCs w:val="1"/>
                <w:color w:val="FFFFFF"/>
              </w:rPr>
              <w:t>Date</w:t>
            </w:r>
          </w:p>
        </w:tc>
        <w:tc>
          <w:tcPr>
            <w:tcW w:w="1120" w:type="dxa"/>
            <w:vAlign w:val="bottom"/>
            <w:shd w:val="clear" w:color="auto" w:fill="000000"/>
          </w:tcPr>
          <w:p>
            <w:pPr>
              <w:jc w:val="center"/>
              <w:ind w:left="338"/>
              <w:spacing w:after="0"/>
              <w:rPr>
                <w:sz w:val="20"/>
                <w:szCs w:val="20"/>
                <w:color w:val="auto"/>
              </w:rPr>
            </w:pPr>
            <w:r>
              <w:rPr>
                <w:rFonts w:ascii="Arial" w:cs="Arial" w:eastAsia="Arial" w:hAnsi="Arial"/>
                <w:sz w:val="11"/>
                <w:szCs w:val="11"/>
                <w:b w:val="1"/>
                <w:bCs w:val="1"/>
                <w:color w:val="FFFFFF"/>
                <w:w w:val="99"/>
              </w:rPr>
              <w:t>Vested</w:t>
            </w:r>
          </w:p>
        </w:tc>
        <w:tc>
          <w:tcPr>
            <w:tcW w:w="540" w:type="dxa"/>
            <w:vAlign w:val="bottom"/>
            <w:shd w:val="clear" w:color="auto" w:fill="000000"/>
          </w:tcPr>
          <w:p>
            <w:pPr>
              <w:spacing w:after="0"/>
              <w:rPr>
                <w:sz w:val="15"/>
                <w:szCs w:val="15"/>
                <w:color w:val="auto"/>
              </w:rPr>
            </w:pPr>
          </w:p>
        </w:tc>
        <w:tc>
          <w:tcPr>
            <w:tcW w:w="1080" w:type="dxa"/>
            <w:vAlign w:val="bottom"/>
            <w:shd w:val="clear" w:color="auto" w:fill="000000"/>
          </w:tcPr>
          <w:p>
            <w:pPr>
              <w:jc w:val="center"/>
              <w:ind w:right="37"/>
              <w:spacing w:after="0"/>
              <w:rPr>
                <w:sz w:val="20"/>
                <w:szCs w:val="20"/>
                <w:color w:val="auto"/>
              </w:rPr>
            </w:pPr>
            <w:r>
              <w:rPr>
                <w:rFonts w:ascii="Arial" w:cs="Arial" w:eastAsia="Arial" w:hAnsi="Arial"/>
                <w:sz w:val="11"/>
                <w:szCs w:val="11"/>
                <w:b w:val="1"/>
                <w:bCs w:val="1"/>
                <w:color w:val="FFFFFF"/>
              </w:rPr>
              <w:t>Vested</w:t>
            </w:r>
          </w:p>
        </w:tc>
        <w:tc>
          <w:tcPr>
            <w:tcW w:w="1480" w:type="dxa"/>
            <w:vAlign w:val="bottom"/>
            <w:shd w:val="clear" w:color="auto" w:fill="000000"/>
          </w:tcPr>
          <w:p>
            <w:pPr>
              <w:jc w:val="center"/>
              <w:spacing w:after="0"/>
              <w:rPr>
                <w:sz w:val="20"/>
                <w:szCs w:val="20"/>
                <w:color w:val="auto"/>
              </w:rPr>
            </w:pPr>
            <w:r>
              <w:rPr>
                <w:rFonts w:ascii="Arial" w:cs="Arial" w:eastAsia="Arial" w:hAnsi="Arial"/>
                <w:sz w:val="11"/>
                <w:szCs w:val="11"/>
                <w:b w:val="1"/>
                <w:bCs w:val="1"/>
                <w:color w:val="FFFFFF"/>
              </w:rPr>
              <w:t>Not Vested</w:t>
            </w:r>
          </w:p>
        </w:tc>
        <w:tc>
          <w:tcPr>
            <w:tcW w:w="10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320" w:type="dxa"/>
            <w:vAlign w:val="bottom"/>
            <w:shd w:val="clear" w:color="auto" w:fill="000000"/>
          </w:tcPr>
          <w:p>
            <w:pPr>
              <w:jc w:val="center"/>
              <w:ind w:right="58"/>
              <w:spacing w:after="0"/>
              <w:rPr>
                <w:sz w:val="20"/>
                <w:szCs w:val="20"/>
                <w:color w:val="auto"/>
              </w:rPr>
            </w:pPr>
            <w:r>
              <w:rPr>
                <w:rFonts w:ascii="Arial" w:cs="Arial" w:eastAsia="Arial" w:hAnsi="Arial"/>
                <w:sz w:val="11"/>
                <w:szCs w:val="11"/>
                <w:b w:val="1"/>
                <w:bCs w:val="1"/>
                <w:color w:val="FFFFFF"/>
              </w:rPr>
              <w:t>Have Not Vested</w:t>
            </w: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3"/>
                <w:szCs w:val="13"/>
                <w:b w:val="1"/>
                <w:bCs w:val="1"/>
                <w:color w:val="auto"/>
              </w:rPr>
              <w:t>Rex D. Geveden</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860" w:type="dxa"/>
            <w:vAlign w:val="bottom"/>
          </w:tcPr>
          <w:p>
            <w:pPr>
              <w:ind w:left="80"/>
              <w:spacing w:after="0"/>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2/27/2020</w:t>
            </w:r>
          </w:p>
        </w:tc>
        <w:tc>
          <w:tcPr>
            <w:tcW w:w="1120" w:type="dxa"/>
            <w:vAlign w:val="bottom"/>
          </w:tcPr>
          <w:p>
            <w:pPr>
              <w:jc w:val="right"/>
              <w:spacing w:after="0"/>
              <w:rPr>
                <w:sz w:val="20"/>
                <w:szCs w:val="20"/>
                <w:color w:val="auto"/>
              </w:rPr>
            </w:pPr>
            <w:r>
              <w:rPr>
                <w:rFonts w:ascii="Arial" w:cs="Arial" w:eastAsia="Arial" w:hAnsi="Arial"/>
                <w:sz w:val="13"/>
                <w:szCs w:val="13"/>
                <w:color w:val="auto"/>
              </w:rPr>
              <w:t>6,684</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1080" w:type="dxa"/>
            <w:vAlign w:val="bottom"/>
          </w:tcPr>
          <w:p>
            <w:pPr>
              <w:jc w:val="right"/>
              <w:spacing w:after="0"/>
              <w:rPr>
                <w:sz w:val="20"/>
                <w:szCs w:val="20"/>
                <w:color w:val="auto"/>
              </w:rPr>
            </w:pPr>
            <w:r>
              <w:rPr>
                <w:rFonts w:ascii="Arial" w:cs="Arial" w:eastAsia="Arial" w:hAnsi="Arial"/>
                <w:sz w:val="13"/>
                <w:szCs w:val="13"/>
                <w:color w:val="auto"/>
              </w:rPr>
              <w:t>388,207</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2/27/2020</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32,763</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1,902,875</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tcPr>
          <w:p>
            <w:pPr>
              <w:jc w:val="right"/>
              <w:spacing w:after="0"/>
              <w:rPr>
                <w:sz w:val="20"/>
                <w:szCs w:val="20"/>
                <w:color w:val="auto"/>
              </w:rPr>
            </w:pPr>
            <w:r>
              <w:rPr>
                <w:rFonts w:ascii="Arial" w:cs="Arial" w:eastAsia="Arial" w:hAnsi="Arial"/>
                <w:sz w:val="13"/>
                <w:szCs w:val="13"/>
                <w:color w:val="auto"/>
              </w:rPr>
              <w:t>15,083</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876,021</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35,389</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2,055,393</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tcPr>
          <w:p>
            <w:pPr>
              <w:jc w:val="right"/>
              <w:spacing w:after="0"/>
              <w:rPr>
                <w:sz w:val="20"/>
                <w:szCs w:val="20"/>
                <w:color w:val="auto"/>
              </w:rPr>
            </w:pPr>
            <w:r>
              <w:rPr>
                <w:rFonts w:ascii="Arial" w:cs="Arial" w:eastAsia="Arial" w:hAnsi="Arial"/>
                <w:sz w:val="13"/>
                <w:szCs w:val="13"/>
                <w:color w:val="auto"/>
              </w:rPr>
              <w:t>31,935</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1,854,785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80"/>
              <w:spacing w:after="0" w:line="182"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47,901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2,782,090</w:t>
            </w:r>
          </w:p>
        </w:tc>
        <w:tc>
          <w:tcPr>
            <w:tcW w:w="0" w:type="dxa"/>
            <w:vAlign w:val="bottom"/>
          </w:tcPr>
          <w:p>
            <w:pPr>
              <w:spacing w:after="0"/>
              <w:rPr>
                <w:sz w:val="1"/>
                <w:szCs w:val="1"/>
                <w:color w:val="auto"/>
              </w:rPr>
            </w:pPr>
          </w:p>
        </w:tc>
      </w:tr>
      <w:tr>
        <w:trPr>
          <w:trHeight w:val="182"/>
        </w:trPr>
        <w:tc>
          <w:tcPr>
            <w:tcW w:w="386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Robb A. LeMasters</w:t>
            </w: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(8)</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8/6/2020</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709</w:t>
            </w: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41,179</w:t>
            </w: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(3)</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8/6/2020</w:t>
            </w: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258"/>
              <w:spacing w:after="0"/>
              <w:rPr>
                <w:sz w:val="20"/>
                <w:szCs w:val="20"/>
                <w:color w:val="auto"/>
              </w:rPr>
            </w:pPr>
            <w:r>
              <w:rPr>
                <w:rFonts w:ascii="Arial" w:cs="Arial" w:eastAsia="Arial" w:hAnsi="Arial"/>
                <w:sz w:val="13"/>
                <w:szCs w:val="13"/>
                <w:color w:val="auto"/>
              </w:rPr>
              <w:t>3,190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185,275</w:t>
            </w: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(4)</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1,978</w:t>
            </w: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114,882</w:t>
            </w: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(5)</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258"/>
              <w:spacing w:after="0"/>
              <w:rPr>
                <w:sz w:val="20"/>
                <w:szCs w:val="20"/>
                <w:color w:val="auto"/>
              </w:rPr>
            </w:pPr>
            <w:r>
              <w:rPr>
                <w:rFonts w:ascii="Arial" w:cs="Arial" w:eastAsia="Arial" w:hAnsi="Arial"/>
                <w:sz w:val="13"/>
                <w:szCs w:val="13"/>
                <w:color w:val="auto"/>
              </w:rPr>
              <w:t>4,448</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258,340</w:t>
            </w: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(6)</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6,387</w:t>
            </w: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370,957</w:t>
            </w: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(7)</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258"/>
              <w:spacing w:after="0"/>
              <w:rPr>
                <w:sz w:val="20"/>
                <w:szCs w:val="20"/>
                <w:color w:val="auto"/>
              </w:rPr>
            </w:pPr>
            <w:r>
              <w:rPr>
                <w:rFonts w:ascii="Arial" w:cs="Arial" w:eastAsia="Arial" w:hAnsi="Arial"/>
                <w:sz w:val="13"/>
                <w:szCs w:val="13"/>
                <w:color w:val="auto"/>
              </w:rPr>
              <w:t>9,580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556,406</w:t>
            </w:r>
          </w:p>
        </w:tc>
        <w:tc>
          <w:tcPr>
            <w:tcW w:w="0" w:type="dxa"/>
            <w:vAlign w:val="bottom"/>
          </w:tcPr>
          <w:p>
            <w:pPr>
              <w:spacing w:after="0"/>
              <w:rPr>
                <w:sz w:val="1"/>
                <w:szCs w:val="1"/>
                <w:color w:val="auto"/>
              </w:rPr>
            </w:pPr>
          </w:p>
        </w:tc>
      </w:tr>
      <w:tr>
        <w:trPr>
          <w:trHeight w:val="184"/>
        </w:trPr>
        <w:tc>
          <w:tcPr>
            <w:tcW w:w="3860" w:type="dxa"/>
            <w:vAlign w:val="bottom"/>
          </w:tcPr>
          <w:p>
            <w:pPr>
              <w:ind w:left="20"/>
              <w:spacing w:after="0"/>
              <w:rPr>
                <w:sz w:val="20"/>
                <w:szCs w:val="20"/>
                <w:color w:val="auto"/>
              </w:rPr>
            </w:pPr>
            <w:r>
              <w:rPr>
                <w:rFonts w:ascii="Arial" w:cs="Arial" w:eastAsia="Arial" w:hAnsi="Arial"/>
                <w:sz w:val="13"/>
                <w:szCs w:val="13"/>
                <w:b w:val="1"/>
                <w:bCs w:val="1"/>
                <w:color w:val="auto"/>
              </w:rPr>
              <w:t>Thomas E. McCabe</w:t>
            </w:r>
            <w:r>
              <w:rPr>
                <w:rFonts w:ascii="Arial" w:cs="Arial" w:eastAsia="Arial" w:hAnsi="Arial"/>
                <w:sz w:val="16"/>
                <w:szCs w:val="16"/>
                <w:b w:val="1"/>
                <w:bCs w:val="1"/>
                <w:color w:val="auto"/>
                <w:vertAlign w:val="superscript"/>
              </w:rPr>
              <w:t>(9)</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(2)</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2/27/2020</w:t>
            </w:r>
          </w:p>
        </w:tc>
        <w:tc>
          <w:tcPr>
            <w:tcW w:w="1120" w:type="dxa"/>
            <w:vAlign w:val="bottom"/>
          </w:tcPr>
          <w:p>
            <w:pPr>
              <w:jc w:val="right"/>
              <w:spacing w:after="0"/>
              <w:rPr>
                <w:sz w:val="20"/>
                <w:szCs w:val="20"/>
                <w:color w:val="auto"/>
              </w:rPr>
            </w:pPr>
            <w:r>
              <w:rPr>
                <w:rFonts w:ascii="Arial" w:cs="Arial" w:eastAsia="Arial" w:hAnsi="Arial"/>
                <w:sz w:val="13"/>
                <w:szCs w:val="13"/>
                <w:color w:val="auto"/>
              </w:rPr>
              <w:t>1,409</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81,835</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(3)</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2/27/2020</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6,341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368,285</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(4)</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tcPr>
          <w:p>
            <w:pPr>
              <w:jc w:val="right"/>
              <w:spacing w:after="0"/>
              <w:rPr>
                <w:sz w:val="20"/>
                <w:szCs w:val="20"/>
                <w:color w:val="auto"/>
              </w:rPr>
            </w:pPr>
            <w:r>
              <w:rPr>
                <w:rFonts w:ascii="Arial" w:cs="Arial" w:eastAsia="Arial" w:hAnsi="Arial"/>
                <w:sz w:val="13"/>
                <w:szCs w:val="13"/>
                <w:color w:val="auto"/>
              </w:rPr>
              <w:t>2,696</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156,584</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(5)</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2/25/2021</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6,066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352,313</w:t>
            </w:r>
          </w:p>
        </w:tc>
        <w:tc>
          <w:tcPr>
            <w:tcW w:w="0" w:type="dxa"/>
            <w:vAlign w:val="bottom"/>
          </w:tcPr>
          <w:p>
            <w:pPr>
              <w:spacing w:after="0"/>
              <w:rPr>
                <w:sz w:val="1"/>
                <w:szCs w:val="1"/>
                <w:color w:val="auto"/>
              </w:rPr>
            </w:pPr>
          </w:p>
        </w:tc>
      </w:tr>
      <w:tr>
        <w:trPr>
          <w:trHeight w:val="183"/>
        </w:trPr>
        <w:tc>
          <w:tcPr>
            <w:tcW w:w="3860" w:type="dxa"/>
            <w:vAlign w:val="bottom"/>
          </w:tcPr>
          <w:p>
            <w:pPr>
              <w:ind w:left="80"/>
              <w:spacing w:after="0" w:line="183" w:lineRule="exact"/>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(6)</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tcPr>
          <w:p>
            <w:pPr>
              <w:jc w:val="right"/>
              <w:spacing w:after="0"/>
              <w:rPr>
                <w:sz w:val="20"/>
                <w:szCs w:val="20"/>
                <w:color w:val="auto"/>
              </w:rPr>
            </w:pPr>
            <w:r>
              <w:rPr>
                <w:rFonts w:ascii="Arial" w:cs="Arial" w:eastAsia="Arial" w:hAnsi="Arial"/>
                <w:sz w:val="13"/>
                <w:szCs w:val="13"/>
                <w:color w:val="auto"/>
              </w:rPr>
              <w:t>5,475</w:t>
            </w:r>
          </w:p>
        </w:tc>
        <w:tc>
          <w:tcPr>
            <w:tcW w:w="5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317,988</w:t>
            </w: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860" w:type="dxa"/>
            <w:vAlign w:val="bottom"/>
          </w:tcPr>
          <w:p>
            <w:pPr>
              <w:ind w:left="80"/>
              <w:spacing w:after="0" w:line="182"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(7)</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jc w:val="right"/>
              <w:ind w:right="258"/>
              <w:spacing w:after="0"/>
              <w:rPr>
                <w:sz w:val="20"/>
                <w:szCs w:val="20"/>
                <w:color w:val="auto"/>
              </w:rPr>
            </w:pPr>
            <w:r>
              <w:rPr>
                <w:rFonts w:ascii="Arial" w:cs="Arial" w:eastAsia="Arial" w:hAnsi="Arial"/>
                <w:sz w:val="13"/>
                <w:szCs w:val="13"/>
                <w:color w:val="auto"/>
              </w:rPr>
              <w:t>8,211</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476,895</w:t>
            </w:r>
          </w:p>
        </w:tc>
        <w:tc>
          <w:tcPr>
            <w:tcW w:w="0" w:type="dxa"/>
            <w:vAlign w:val="bottom"/>
          </w:tcPr>
          <w:p>
            <w:pPr>
              <w:spacing w:after="0"/>
              <w:rPr>
                <w:sz w:val="1"/>
                <w:szCs w:val="1"/>
                <w:color w:val="auto"/>
              </w:rPr>
            </w:pPr>
          </w:p>
        </w:tc>
      </w:tr>
      <w:tr>
        <w:trPr>
          <w:trHeight w:val="182"/>
        </w:trPr>
        <w:tc>
          <w:tcPr>
            <w:tcW w:w="3860" w:type="dxa"/>
            <w:vAlign w:val="bottom"/>
            <w:shd w:val="clear" w:color="auto" w:fill="DBDBDB"/>
          </w:tcPr>
          <w:p>
            <w:pPr>
              <w:ind w:left="20"/>
              <w:spacing w:after="0"/>
              <w:rPr>
                <w:sz w:val="20"/>
                <w:szCs w:val="20"/>
                <w:color w:val="auto"/>
              </w:rPr>
            </w:pPr>
            <w:r>
              <w:rPr>
                <w:rFonts w:ascii="Arial" w:cs="Arial" w:eastAsia="Arial" w:hAnsi="Arial"/>
                <w:sz w:val="13"/>
                <w:szCs w:val="13"/>
                <w:b w:val="1"/>
                <w:bCs w:val="1"/>
                <w:color w:val="auto"/>
              </w:rPr>
              <w:t>Kevin M. McCoy</w:t>
            </w:r>
          </w:p>
        </w:tc>
        <w:tc>
          <w:tcPr>
            <w:tcW w:w="10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(6)</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3,192</w:t>
            </w: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185,391</w:t>
            </w:r>
          </w:p>
        </w:tc>
        <w:tc>
          <w:tcPr>
            <w:tcW w:w="148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860" w:type="dxa"/>
            <w:vAlign w:val="bottom"/>
            <w:shd w:val="clear" w:color="auto" w:fill="DBDBDB"/>
          </w:tcPr>
          <w:p>
            <w:pPr>
              <w:ind w:left="80"/>
              <w:spacing w:after="0" w:line="183" w:lineRule="exact"/>
              <w:rPr>
                <w:sz w:val="20"/>
                <w:szCs w:val="20"/>
                <w:color w:val="auto"/>
              </w:rPr>
            </w:pPr>
            <w:r>
              <w:rPr>
                <w:rFonts w:ascii="Arial" w:cs="Arial" w:eastAsia="Arial" w:hAnsi="Arial"/>
                <w:sz w:val="13"/>
                <w:szCs w:val="13"/>
                <w:color w:val="auto"/>
              </w:rPr>
              <w:t>Performance RSU</w:t>
            </w:r>
            <w:r>
              <w:rPr>
                <w:rFonts w:ascii="Arial" w:cs="Arial" w:eastAsia="Arial" w:hAnsi="Arial"/>
                <w:sz w:val="16"/>
                <w:szCs w:val="16"/>
                <w:color w:val="auto"/>
                <w:vertAlign w:val="superscript"/>
              </w:rPr>
              <w:t>(7)</w:t>
            </w:r>
          </w:p>
        </w:tc>
        <w:tc>
          <w:tcPr>
            <w:tcW w:w="11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2/18/2022</w:t>
            </w:r>
          </w:p>
        </w:tc>
        <w:tc>
          <w:tcPr>
            <w:tcW w:w="1120" w:type="dxa"/>
            <w:vAlign w:val="bottom"/>
            <w:shd w:val="clear" w:color="auto" w:fill="DBDBDB"/>
          </w:tcPr>
          <w:p>
            <w:pPr>
              <w:spacing w:after="0"/>
              <w:rPr>
                <w:sz w:val="15"/>
                <w:szCs w:val="15"/>
                <w:color w:val="auto"/>
              </w:rPr>
            </w:pPr>
          </w:p>
        </w:tc>
        <w:tc>
          <w:tcPr>
            <w:tcW w:w="5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1480" w:type="dxa"/>
            <w:vAlign w:val="bottom"/>
            <w:shd w:val="clear" w:color="auto" w:fill="DBDBDB"/>
          </w:tcPr>
          <w:p>
            <w:pPr>
              <w:jc w:val="right"/>
              <w:ind w:right="258"/>
              <w:spacing w:after="0"/>
              <w:rPr>
                <w:sz w:val="20"/>
                <w:szCs w:val="20"/>
                <w:color w:val="auto"/>
              </w:rPr>
            </w:pPr>
            <w:r>
              <w:rPr>
                <w:rFonts w:ascii="Arial" w:cs="Arial" w:eastAsia="Arial" w:hAnsi="Arial"/>
                <w:sz w:val="13"/>
                <w:szCs w:val="13"/>
                <w:color w:val="auto"/>
              </w:rPr>
              <w:t>4,790</w:t>
            </w:r>
          </w:p>
        </w:tc>
        <w:tc>
          <w:tcPr>
            <w:tcW w:w="1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278,203</w:t>
            </w:r>
          </w:p>
        </w:tc>
        <w:tc>
          <w:tcPr>
            <w:tcW w:w="0" w:type="dxa"/>
            <w:vAlign w:val="bottom"/>
          </w:tcPr>
          <w:p>
            <w:pPr>
              <w:spacing w:after="0"/>
              <w:rPr>
                <w:sz w:val="1"/>
                <w:szCs w:val="1"/>
                <w:color w:val="auto"/>
              </w:rPr>
            </w:pPr>
          </w:p>
        </w:tc>
      </w:tr>
      <w:tr>
        <w:trPr>
          <w:trHeight w:val="182"/>
        </w:trPr>
        <w:tc>
          <w:tcPr>
            <w:tcW w:w="3860" w:type="dxa"/>
            <w:vAlign w:val="bottom"/>
          </w:tcPr>
          <w:p>
            <w:pPr>
              <w:ind w:left="20"/>
              <w:spacing w:after="0"/>
              <w:rPr>
                <w:sz w:val="20"/>
                <w:szCs w:val="20"/>
                <w:color w:val="auto"/>
              </w:rPr>
            </w:pPr>
            <w:r>
              <w:rPr>
                <w:rFonts w:ascii="Arial" w:cs="Arial" w:eastAsia="Arial" w:hAnsi="Arial"/>
                <w:sz w:val="13"/>
                <w:szCs w:val="13"/>
                <w:b w:val="1"/>
                <w:bCs w:val="1"/>
                <w:color w:val="auto"/>
              </w:rPr>
              <w:t>Robert L. Duffy</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3860" w:type="dxa"/>
            <w:vAlign w:val="bottom"/>
          </w:tcPr>
          <w:p>
            <w:pPr>
              <w:ind w:left="80"/>
              <w:spacing w:after="0"/>
              <w:rPr>
                <w:sz w:val="20"/>
                <w:szCs w:val="20"/>
                <w:color w:val="auto"/>
              </w:rPr>
            </w:pPr>
            <w:r>
              <w:rPr>
                <w:rFonts w:ascii="Arial" w:cs="Arial" w:eastAsia="Arial" w:hAnsi="Arial"/>
                <w:sz w:val="13"/>
                <w:szCs w:val="13"/>
                <w:color w:val="auto"/>
              </w:rPr>
              <w:t>Restricted Stock Units</w:t>
            </w:r>
            <w:r>
              <w:rPr>
                <w:rFonts w:ascii="Arial" w:cs="Arial" w:eastAsia="Arial" w:hAnsi="Arial"/>
                <w:sz w:val="16"/>
                <w:szCs w:val="16"/>
                <w:color w:val="auto"/>
                <w:vertAlign w:val="superscript"/>
              </w:rPr>
              <w:t>(10)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8/29/2022</w:t>
            </w:r>
          </w:p>
        </w:tc>
        <w:tc>
          <w:tcPr>
            <w:tcW w:w="1120" w:type="dxa"/>
            <w:vAlign w:val="bottom"/>
          </w:tcPr>
          <w:p>
            <w:pPr>
              <w:jc w:val="right"/>
              <w:spacing w:after="0"/>
              <w:rPr>
                <w:sz w:val="20"/>
                <w:szCs w:val="20"/>
                <w:color w:val="auto"/>
              </w:rPr>
            </w:pPr>
            <w:r>
              <w:rPr>
                <w:rFonts w:ascii="Arial" w:cs="Arial" w:eastAsia="Arial" w:hAnsi="Arial"/>
                <w:sz w:val="13"/>
                <w:szCs w:val="13"/>
                <w:color w:val="auto"/>
              </w:rPr>
              <w:t>22,608</w:t>
            </w:r>
          </w:p>
        </w:tc>
        <w:tc>
          <w:tcPr>
            <w:tcW w:w="5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1,313,073</w:t>
            </w: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3230880</wp:posOffset>
            </wp:positionH>
            <wp:positionV relativeFrom="paragraph">
              <wp:posOffset>-3522345</wp:posOffset>
            </wp:positionV>
            <wp:extent cx="360362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603625" cy="7620"/>
                    </a:xfrm>
                    <a:prstGeom prst="rect">
                      <a:avLst/>
                    </a:prstGeom>
                    <a:noFill/>
                  </pic:spPr>
                </pic:pic>
              </a:graphicData>
            </a:graphic>
          </wp:anchor>
        </w:drawing>
      </w:r>
    </w:p>
    <w:p>
      <w:pPr>
        <w:spacing w:after="0" w:line="2" w:lineRule="exact"/>
        <w:rPr>
          <w:sz w:val="20"/>
          <w:szCs w:val="20"/>
          <w:color w:val="auto"/>
        </w:rPr>
      </w:pPr>
    </w:p>
    <w:p>
      <w:pPr>
        <w:ind w:left="400" w:right="100" w:hanging="293"/>
        <w:spacing w:after="0" w:line="263"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Stock awards shown include restricted stock units ("RSUs") that have time-based vesting and performance RSUs that vest depending upon the attainment of specified performance goals. Market values are based on the closing price of Company common stock as of December 31, 2022 ($58.08), as reported on the New York Stock Exchange.</w:t>
      </w:r>
    </w:p>
    <w:p>
      <w:pPr>
        <w:spacing w:after="0" w:line="1" w:lineRule="exact"/>
        <w:rPr>
          <w:rFonts w:ascii="Arial" w:cs="Arial" w:eastAsia="Arial" w:hAnsi="Arial"/>
          <w:sz w:val="13"/>
          <w:szCs w:val="13"/>
          <w:i w:val="1"/>
          <w:iCs w:val="1"/>
          <w:color w:val="auto"/>
        </w:rPr>
      </w:pPr>
    </w:p>
    <w:p>
      <w:pPr>
        <w:ind w:left="380" w:hanging="273"/>
        <w:spacing w:after="0"/>
        <w:tabs>
          <w:tab w:leader="none" w:pos="38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final one-third of RSUs granted which vested on February 27, 2023.</w:t>
      </w:r>
    </w:p>
    <w:p>
      <w:pPr>
        <w:spacing w:after="0" w:line="8" w:lineRule="exact"/>
        <w:rPr>
          <w:rFonts w:ascii="Arial" w:cs="Arial" w:eastAsia="Arial" w:hAnsi="Arial"/>
          <w:sz w:val="13"/>
          <w:szCs w:val="13"/>
          <w:i w:val="1"/>
          <w:iCs w:val="1"/>
          <w:color w:val="auto"/>
        </w:rPr>
      </w:pPr>
    </w:p>
    <w:p>
      <w:pPr>
        <w:ind w:left="400" w:right="120" w:hanging="293"/>
        <w:spacing w:after="0" w:line="247"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These performance RSUs represent the right to receive one share of our common stock for each performance RSU that vests. The number and value of performance RSUs that vest depend upon the attainment of specified performance goals. The number and value of performance RSUs reported are based on achieving target performance levels. These performance RSUs vested on February 27, 2023. See "2020 Performance Restricted Stock Awards" under "Compensation Discussion and Analysis" for additional information.</w:t>
      </w:r>
    </w:p>
    <w:p>
      <w:pPr>
        <w:spacing w:after="0" w:line="1" w:lineRule="exact"/>
        <w:rPr>
          <w:rFonts w:ascii="Arial" w:cs="Arial" w:eastAsia="Arial" w:hAnsi="Arial"/>
          <w:sz w:val="13"/>
          <w:szCs w:val="13"/>
          <w:i w:val="1"/>
          <w:iCs w:val="1"/>
          <w:color w:val="auto"/>
        </w:rPr>
      </w:pPr>
    </w:p>
    <w:p>
      <w:pPr>
        <w:ind w:left="400" w:right="200" w:hanging="293"/>
        <w:spacing w:after="0" w:line="254"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remaining two-thirds of RSUs granted with vesting in one-third increments beginning with the first anniversary of the grant date. An additional one-third (50% of the unvested RSUs shown) vested on February 25, 2023 and the remaining one-third will vest on February 25, 2024.</w:t>
      </w:r>
    </w:p>
    <w:p>
      <w:pPr>
        <w:ind w:left="400" w:right="120" w:hanging="293"/>
        <w:spacing w:after="0" w:line="247"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These performance RSUs represent the right to receive one share of our common stock for each performance RSU that vests. The number and value of performance RSUs that vest depend upon the attainment of specified performance goals. The number and value of performance RSUs reported are based on achieving target performance levels. These performance RSUs are generally scheduled to vest 100% on February 25, 2024.</w:t>
      </w:r>
    </w:p>
    <w:p>
      <w:pPr>
        <w:spacing w:after="0" w:line="1" w:lineRule="exact"/>
        <w:rPr>
          <w:rFonts w:ascii="Arial" w:cs="Arial" w:eastAsia="Arial" w:hAnsi="Arial"/>
          <w:sz w:val="13"/>
          <w:szCs w:val="13"/>
          <w:i w:val="1"/>
          <w:iCs w:val="1"/>
          <w:color w:val="auto"/>
        </w:rPr>
      </w:pPr>
    </w:p>
    <w:p>
      <w:pPr>
        <w:ind w:left="400" w:hanging="293"/>
        <w:spacing w:after="0" w:line="254"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100% of RSUs granted with vesting in one-third increments beginning with the first anniversary of the grant date. One-third of these RSUs vested on February 18, 2023, and the remaining RSUs will vest in equal installments on February 18, 2024 and 2025.</w:t>
      </w:r>
    </w:p>
    <w:p>
      <w:pPr>
        <w:ind w:left="400" w:right="120" w:hanging="293"/>
        <w:spacing w:after="0" w:line="247"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These performance RSUs represent the right to receive one share of our common stock for each performance RSU that vests. The number and value of performance RSUs that vest depend upon the attainment of specified performance goals. The number and value of performance RSUs reported are based on achieving target performance levels. These performance RSUs are generally scheduled to vest 100% on February 18, 2025. See the "Grants of Plan-Based Awards" table for more information about performance RSUs.</w:t>
      </w:r>
    </w:p>
    <w:p>
      <w:pPr>
        <w:spacing w:after="0" w:line="1" w:lineRule="exact"/>
        <w:rPr>
          <w:rFonts w:ascii="Arial" w:cs="Arial" w:eastAsia="Arial" w:hAnsi="Arial"/>
          <w:sz w:val="13"/>
          <w:szCs w:val="13"/>
          <w:i w:val="1"/>
          <w:iCs w:val="1"/>
          <w:color w:val="auto"/>
        </w:rPr>
      </w:pPr>
    </w:p>
    <w:p>
      <w:pPr>
        <w:ind w:left="380" w:hanging="273"/>
        <w:spacing w:after="0"/>
        <w:tabs>
          <w:tab w:leader="none" w:pos="380"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the final one-third of the RSUs granted which will vest on August 6, 2023.</w:t>
      </w:r>
    </w:p>
    <w:p>
      <w:pPr>
        <w:spacing w:after="0" w:line="8" w:lineRule="exact"/>
        <w:rPr>
          <w:rFonts w:ascii="Arial" w:cs="Arial" w:eastAsia="Arial" w:hAnsi="Arial"/>
          <w:sz w:val="13"/>
          <w:szCs w:val="13"/>
          <w:i w:val="1"/>
          <w:iCs w:val="1"/>
          <w:color w:val="auto"/>
        </w:rPr>
      </w:pPr>
    </w:p>
    <w:p>
      <w:pPr>
        <w:ind w:left="400" w:right="140" w:hanging="293"/>
        <w:spacing w:after="0" w:line="270" w:lineRule="auto"/>
        <w:tabs>
          <w:tab w:leader="none" w:pos="388" w:val="left"/>
        </w:tabs>
        <w:numPr>
          <w:ilvl w:val="0"/>
          <w:numId w:val="81"/>
        </w:numPr>
        <w:rPr>
          <w:rFonts w:ascii="Arial" w:cs="Arial" w:eastAsia="Arial" w:hAnsi="Arial"/>
          <w:sz w:val="13"/>
          <w:szCs w:val="13"/>
          <w:i w:val="1"/>
          <w:iCs w:val="1"/>
          <w:color w:val="auto"/>
        </w:rPr>
      </w:pPr>
      <w:r>
        <w:rPr>
          <w:rFonts w:ascii="Arial" w:cs="Arial" w:eastAsia="Arial" w:hAnsi="Arial"/>
          <w:sz w:val="13"/>
          <w:szCs w:val="13"/>
          <w:i w:val="1"/>
          <w:iCs w:val="1"/>
          <w:color w:val="auto"/>
        </w:rPr>
        <w:t>The stock award information for Mr. McCabe is included as of December 28, 2022. He entered into a Transition Agreement on December 29, 2022. Pursuant to the terms of the Transition Agreement, Mr. McCabe forfeited his outstanding and unvested equity awards and other incentive compensation as of that date in lieu of a one-time payment.</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42 </w:t>
      </w:r>
      <w:r>
        <w:rPr>
          <w:sz w:val="1"/>
          <w:szCs w:val="1"/>
          <w:color w:val="auto"/>
        </w:rPr>
        <w:drawing>
          <wp:inline distT="0" distB="0" distL="0" distR="0">
            <wp:extent cx="401955" cy="16256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80"/>
          </w:cols>
          <w:pgMar w:left="320" w:top="123" w:right="399" w:bottom="1440" w:gutter="0" w:footer="0" w:header="0"/>
        </w:sectPr>
      </w:pPr>
    </w:p>
    <w:bookmarkStart w:id="54" w:name="page55"/>
    <w:bookmarkEnd w:id="54"/>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58876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88760" cy="7620"/>
                    </a:xfrm>
                    <a:prstGeom prst="rect">
                      <a:avLst/>
                    </a:prstGeom>
                    <a:noFill/>
                  </pic:spPr>
                </pic:pic>
              </a:graphicData>
            </a:graphic>
          </wp:anchor>
        </w:drawing>
      </w:r>
    </w:p>
    <w:p>
      <w:pPr>
        <w:spacing w:after="0" w:line="330" w:lineRule="exact"/>
        <w:rPr>
          <w:sz w:val="20"/>
          <w:szCs w:val="20"/>
          <w:color w:val="auto"/>
        </w:rPr>
      </w:pPr>
    </w:p>
    <w:p>
      <w:pPr>
        <w:ind w:left="100"/>
        <w:spacing w:after="0"/>
        <w:rPr>
          <w:sz w:val="20"/>
          <w:szCs w:val="20"/>
          <w:color w:val="auto"/>
        </w:rPr>
      </w:pPr>
      <w:r>
        <w:rPr>
          <w:rFonts w:ascii="Arial" w:cs="Arial" w:eastAsia="Arial" w:hAnsi="Arial"/>
          <w:sz w:val="13"/>
          <w:szCs w:val="13"/>
          <w:i w:val="1"/>
          <w:iCs w:val="1"/>
          <w:color w:val="auto"/>
        </w:rPr>
        <w:t>(10) Represents 100% of RSUs granted with vesting in one-third increments beginning on the first anniversary of the grant date.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Vesting of Restricted Stock Units and Performance Restricted Stock Units</w:t>
      </w:r>
    </w:p>
    <w:p>
      <w:pPr>
        <w:spacing w:after="0" w:line="58"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Restricted stock units generally vest one-third each year, except as otherwise noted. The Company granted performance restricted stock units that represented the right to receive one share of Company common stock for each performance restricted stock unit that vests. The number and value of performance restricted stock units that vest depend upon the attainment of specified performance goals. Performance restricted stock units are generally scheduled to cliff vest three years after the grant date, subject to achievement of the specified performance goals.</w:t>
      </w:r>
    </w:p>
    <w:p>
      <w:pPr>
        <w:spacing w:after="0" w:line="110"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OPTION EXERCISES AND STOCK VESTED IN 2022</w:t>
      </w:r>
    </w:p>
    <w:p>
      <w:pPr>
        <w:spacing w:after="0" w:line="9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following table provides additional information about the value realized by our Named Executives on the vesting of BWXT stock awards during the year ended December 31, 2022. None of the Named Executives held or exercised stock options in 2022.</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10" w:type="dxa"/>
            <w:vAlign w:val="bottom"/>
            <w:shd w:val="clear" w:color="auto" w:fill="000000"/>
          </w:tcPr>
          <w:p>
            <w:pPr>
              <w:spacing w:after="0"/>
              <w:rPr>
                <w:sz w:val="16"/>
                <w:szCs w:val="16"/>
                <w:color w:val="auto"/>
              </w:rPr>
            </w:pPr>
          </w:p>
        </w:tc>
        <w:tc>
          <w:tcPr>
            <w:tcW w:w="90" w:type="dxa"/>
            <w:vAlign w:val="bottom"/>
            <w:shd w:val="clear" w:color="auto" w:fill="000000"/>
          </w:tcPr>
          <w:p>
            <w:pPr>
              <w:spacing w:after="0"/>
              <w:rPr>
                <w:sz w:val="16"/>
                <w:szCs w:val="16"/>
                <w:color w:val="auto"/>
              </w:rPr>
            </w:pPr>
          </w:p>
        </w:tc>
        <w:tc>
          <w:tcPr>
            <w:tcW w:w="2280" w:type="dxa"/>
            <w:vAlign w:val="bottom"/>
            <w:gridSpan w:val="2"/>
            <w:shd w:val="clear" w:color="auto" w:fill="000000"/>
          </w:tcPr>
          <w:p>
            <w:pPr>
              <w:ind w:left="1380"/>
              <w:spacing w:after="0"/>
              <w:rPr>
                <w:sz w:val="20"/>
                <w:szCs w:val="20"/>
                <w:color w:val="auto"/>
              </w:rPr>
            </w:pPr>
            <w:r>
              <w:rPr>
                <w:rFonts w:ascii="Arial" w:cs="Arial" w:eastAsia="Arial" w:hAnsi="Arial"/>
                <w:sz w:val="13"/>
                <w:szCs w:val="13"/>
                <w:b w:val="1"/>
                <w:bCs w:val="1"/>
                <w:color w:val="FFFFFF"/>
              </w:rPr>
              <w:t>Stock Awards</w:t>
            </w:r>
          </w:p>
        </w:tc>
        <w:tc>
          <w:tcPr>
            <w:tcW w:w="1340" w:type="dxa"/>
            <w:vAlign w:val="bottom"/>
            <w:shd w:val="clear" w:color="auto" w:fill="000000"/>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7510" w:type="dxa"/>
            <w:vAlign w:val="bottom"/>
            <w:shd w:val="clear" w:color="auto" w:fill="000000"/>
          </w:tcPr>
          <w:p>
            <w:pPr>
              <w:spacing w:after="0"/>
              <w:rPr>
                <w:sz w:val="2"/>
                <w:szCs w:val="2"/>
                <w:color w:val="auto"/>
              </w:rPr>
            </w:pPr>
          </w:p>
        </w:tc>
        <w:tc>
          <w:tcPr>
            <w:tcW w:w="90" w:type="dxa"/>
            <w:vAlign w:val="bottom"/>
            <w:shd w:val="clear" w:color="auto" w:fill="000000"/>
          </w:tcPr>
          <w:p>
            <w:pPr>
              <w:spacing w:after="0"/>
              <w:rPr>
                <w:sz w:val="2"/>
                <w:szCs w:val="2"/>
                <w:color w:val="auto"/>
              </w:rPr>
            </w:pPr>
          </w:p>
        </w:tc>
        <w:tc>
          <w:tcPr>
            <w:tcW w:w="177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rPr>
              <w:t>Number of</w:t>
            </w:r>
          </w:p>
        </w:tc>
        <w:tc>
          <w:tcPr>
            <w:tcW w:w="510" w:type="dxa"/>
            <w:vAlign w:val="bottom"/>
            <w:shd w:val="clear" w:color="auto" w:fill="000000"/>
          </w:tcPr>
          <w:p>
            <w:pPr>
              <w:spacing w:after="0"/>
              <w:rPr>
                <w:sz w:val="2"/>
                <w:szCs w:val="2"/>
                <w:color w:val="auto"/>
              </w:rPr>
            </w:pPr>
          </w:p>
        </w:tc>
        <w:tc>
          <w:tcPr>
            <w:tcW w:w="1340" w:type="dxa"/>
            <w:vAlign w:val="bottom"/>
            <w:vMerge w:val="restart"/>
            <w:shd w:val="clear" w:color="auto" w:fill="000000"/>
          </w:tcPr>
          <w:p>
            <w:pPr>
              <w:jc w:val="center"/>
              <w:ind w:right="335"/>
              <w:spacing w:after="0"/>
              <w:rPr>
                <w:sz w:val="20"/>
                <w:szCs w:val="20"/>
                <w:color w:val="auto"/>
              </w:rPr>
            </w:pPr>
            <w:r>
              <w:rPr>
                <w:rFonts w:ascii="Arial" w:cs="Arial" w:eastAsia="Arial" w:hAnsi="Arial"/>
                <w:sz w:val="13"/>
                <w:szCs w:val="13"/>
                <w:b w:val="1"/>
                <w:bCs w:val="1"/>
                <w:color w:val="FFFFFF"/>
                <w:w w:val="98"/>
              </w:rPr>
              <w:t>Value Realized</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7510" w:type="dxa"/>
            <w:vAlign w:val="bottom"/>
            <w:shd w:val="clear" w:color="auto" w:fill="000000"/>
          </w:tcPr>
          <w:p>
            <w:pPr>
              <w:spacing w:after="0"/>
              <w:rPr>
                <w:sz w:val="12"/>
                <w:szCs w:val="12"/>
                <w:color w:val="auto"/>
              </w:rPr>
            </w:pPr>
          </w:p>
        </w:tc>
        <w:tc>
          <w:tcPr>
            <w:tcW w:w="90" w:type="dxa"/>
            <w:vAlign w:val="bottom"/>
            <w:shd w:val="clear" w:color="auto" w:fill="000000"/>
          </w:tcPr>
          <w:p>
            <w:pPr>
              <w:spacing w:after="0"/>
              <w:rPr>
                <w:sz w:val="12"/>
                <w:szCs w:val="12"/>
                <w:color w:val="auto"/>
              </w:rPr>
            </w:pPr>
          </w:p>
        </w:tc>
        <w:tc>
          <w:tcPr>
            <w:tcW w:w="1770" w:type="dxa"/>
            <w:vAlign w:val="bottom"/>
            <w:vMerge w:val="continue"/>
            <w:shd w:val="clear" w:color="auto" w:fill="000000"/>
          </w:tcPr>
          <w:p>
            <w:pPr>
              <w:spacing w:after="0"/>
              <w:rPr>
                <w:sz w:val="12"/>
                <w:szCs w:val="12"/>
                <w:color w:val="auto"/>
              </w:rPr>
            </w:pPr>
          </w:p>
        </w:tc>
        <w:tc>
          <w:tcPr>
            <w:tcW w:w="510" w:type="dxa"/>
            <w:vAlign w:val="bottom"/>
            <w:shd w:val="clear" w:color="auto" w:fill="000000"/>
          </w:tcPr>
          <w:p>
            <w:pPr>
              <w:spacing w:after="0"/>
              <w:rPr>
                <w:sz w:val="12"/>
                <w:szCs w:val="12"/>
                <w:color w:val="auto"/>
              </w:rPr>
            </w:pPr>
          </w:p>
        </w:tc>
        <w:tc>
          <w:tcPr>
            <w:tcW w:w="1340" w:type="dxa"/>
            <w:vAlign w:val="bottom"/>
            <w:vMerge w:val="continue"/>
            <w:shd w:val="clear" w:color="auto" w:fill="000000"/>
          </w:tcPr>
          <w:p>
            <w:pPr>
              <w:spacing w:after="0"/>
              <w:rPr>
                <w:sz w:val="12"/>
                <w:szCs w:val="12"/>
                <w:color w:val="auto"/>
              </w:rPr>
            </w:pP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7510" w:type="dxa"/>
            <w:vAlign w:val="bottom"/>
            <w:vMerge w:val="restart"/>
            <w:shd w:val="clear" w:color="auto" w:fill="000000"/>
          </w:tcPr>
          <w:p>
            <w:pPr>
              <w:ind w:left="20"/>
              <w:spacing w:after="0"/>
              <w:rPr>
                <w:sz w:val="20"/>
                <w:szCs w:val="20"/>
                <w:color w:val="auto"/>
              </w:rPr>
            </w:pPr>
            <w:r>
              <w:rPr>
                <w:rFonts w:ascii="Arial" w:cs="Arial" w:eastAsia="Arial" w:hAnsi="Arial"/>
                <w:sz w:val="13"/>
                <w:szCs w:val="13"/>
                <w:b w:val="1"/>
                <w:bCs w:val="1"/>
                <w:color w:val="FFFFFF"/>
              </w:rPr>
              <w:t>Name</w:t>
            </w:r>
          </w:p>
        </w:tc>
        <w:tc>
          <w:tcPr>
            <w:tcW w:w="90" w:type="dxa"/>
            <w:vAlign w:val="bottom"/>
            <w:shd w:val="clear" w:color="auto" w:fill="000000"/>
          </w:tcPr>
          <w:p>
            <w:pPr>
              <w:spacing w:after="0"/>
              <w:rPr>
                <w:sz w:val="11"/>
                <w:szCs w:val="11"/>
                <w:color w:val="auto"/>
              </w:rPr>
            </w:pPr>
          </w:p>
        </w:tc>
        <w:tc>
          <w:tcPr>
            <w:tcW w:w="1770"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8"/>
              </w:rPr>
              <w:t>Shares Acquired</w:t>
            </w:r>
          </w:p>
        </w:tc>
        <w:tc>
          <w:tcPr>
            <w:tcW w:w="510" w:type="dxa"/>
            <w:vAlign w:val="bottom"/>
            <w:shd w:val="clear" w:color="auto" w:fill="000000"/>
          </w:tcPr>
          <w:p>
            <w:pPr>
              <w:spacing w:after="0"/>
              <w:rPr>
                <w:sz w:val="11"/>
                <w:szCs w:val="11"/>
                <w:color w:val="auto"/>
              </w:rPr>
            </w:pPr>
          </w:p>
        </w:tc>
        <w:tc>
          <w:tcPr>
            <w:tcW w:w="1340" w:type="dxa"/>
            <w:vAlign w:val="bottom"/>
            <w:vMerge w:val="continue"/>
            <w:shd w:val="clear" w:color="auto" w:fill="000000"/>
          </w:tcPr>
          <w:p>
            <w:pPr>
              <w:spacing w:after="0"/>
              <w:rPr>
                <w:sz w:val="11"/>
                <w:szCs w:val="11"/>
                <w:color w:val="auto"/>
              </w:rPr>
            </w:pPr>
          </w:p>
        </w:tc>
        <w:tc>
          <w:tcPr>
            <w:tcW w:w="2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7510" w:type="dxa"/>
            <w:vAlign w:val="bottom"/>
            <w:vMerge w:val="continue"/>
            <w:shd w:val="clear" w:color="auto" w:fill="000000"/>
          </w:tcPr>
          <w:p>
            <w:pPr>
              <w:spacing w:after="0"/>
              <w:rPr>
                <w:sz w:val="15"/>
                <w:szCs w:val="15"/>
                <w:color w:val="auto"/>
              </w:rPr>
            </w:pPr>
          </w:p>
        </w:tc>
        <w:tc>
          <w:tcPr>
            <w:tcW w:w="90" w:type="dxa"/>
            <w:vAlign w:val="bottom"/>
            <w:shd w:val="clear" w:color="auto" w:fill="000000"/>
          </w:tcPr>
          <w:p>
            <w:pPr>
              <w:spacing w:after="0"/>
              <w:rPr>
                <w:sz w:val="15"/>
                <w:szCs w:val="15"/>
                <w:color w:val="auto"/>
              </w:rPr>
            </w:pPr>
          </w:p>
        </w:tc>
        <w:tc>
          <w:tcPr>
            <w:tcW w:w="177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on Vesting (#)</w:t>
            </w:r>
          </w:p>
        </w:tc>
        <w:tc>
          <w:tcPr>
            <w:tcW w:w="510" w:type="dxa"/>
            <w:vAlign w:val="bottom"/>
            <w:shd w:val="clear" w:color="auto" w:fill="000000"/>
          </w:tcPr>
          <w:p>
            <w:pPr>
              <w:spacing w:after="0"/>
              <w:rPr>
                <w:sz w:val="15"/>
                <w:szCs w:val="15"/>
                <w:color w:val="auto"/>
              </w:rPr>
            </w:pPr>
          </w:p>
        </w:tc>
        <w:tc>
          <w:tcPr>
            <w:tcW w:w="1340" w:type="dxa"/>
            <w:vAlign w:val="bottom"/>
            <w:shd w:val="clear" w:color="auto" w:fill="000000"/>
          </w:tcPr>
          <w:p>
            <w:pPr>
              <w:jc w:val="center"/>
              <w:ind w:right="335"/>
              <w:spacing w:after="0"/>
              <w:rPr>
                <w:sz w:val="20"/>
                <w:szCs w:val="20"/>
                <w:color w:val="auto"/>
              </w:rPr>
            </w:pPr>
            <w:r>
              <w:rPr>
                <w:rFonts w:ascii="Arial" w:cs="Arial" w:eastAsia="Arial" w:hAnsi="Arial"/>
                <w:sz w:val="13"/>
                <w:szCs w:val="13"/>
                <w:b w:val="1"/>
                <w:bCs w:val="1"/>
                <w:color w:val="FFFFFF"/>
                <w:w w:val="99"/>
              </w:rPr>
              <w:t>on Vesting</w:t>
            </w:r>
          </w:p>
        </w:tc>
        <w:tc>
          <w:tcPr>
            <w:tcW w:w="20" w:type="dxa"/>
            <w:vAlign w:val="bottom"/>
            <w:shd w:val="clear" w:color="auto" w:fill="000000"/>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4824095</wp:posOffset>
            </wp:positionH>
            <wp:positionV relativeFrom="paragraph">
              <wp:posOffset>-300990</wp:posOffset>
            </wp:positionV>
            <wp:extent cx="2312035" cy="152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31203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p>
      <w:pPr>
        <w:ind w:left="20"/>
        <w:spacing w:after="0"/>
        <w:rPr>
          <w:sz w:val="20"/>
          <w:szCs w:val="20"/>
          <w:color w:val="auto"/>
        </w:rPr>
      </w:pPr>
      <w:r>
        <w:rPr>
          <w:rFonts w:ascii="Arial" w:cs="Arial" w:eastAsia="Arial" w:hAnsi="Arial"/>
          <w:sz w:val="15"/>
          <w:szCs w:val="15"/>
          <w:color w:val="auto"/>
        </w:rPr>
        <w:t>Rex D. Geveden</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Robb A. LeMasters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30415" cy="12382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0415" cy="12382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Thomas E. McCabe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5"/>
          <w:szCs w:val="15"/>
          <w:color w:val="auto"/>
        </w:rPr>
        <w:t>Kevin M. McCoy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-108585</wp:posOffset>
            </wp:positionV>
            <wp:extent cx="7130415" cy="1238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30415" cy="12382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5"/>
          <w:szCs w:val="15"/>
          <w:color w:val="auto"/>
        </w:rPr>
        <w:t>Robert L. Duffy</w:t>
      </w:r>
    </w:p>
    <w:p>
      <w:pPr>
        <w:spacing w:after="0" w:line="38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 each Named Executive, the amounts reported in the number of shares acquired on</w:t>
      </w:r>
    </w:p>
    <w:p>
      <w:pPr>
        <w:spacing w:after="0" w:line="3" w:lineRule="exact"/>
        <w:rPr>
          <w:sz w:val="20"/>
          <w:szCs w:val="20"/>
          <w:color w:val="auto"/>
        </w:rPr>
      </w:pPr>
    </w:p>
    <w:p>
      <w:pPr>
        <w:ind w:left="20"/>
        <w:spacing w:after="0" w:line="211" w:lineRule="auto"/>
        <w:rPr>
          <w:sz w:val="20"/>
          <w:szCs w:val="20"/>
          <w:color w:val="auto"/>
        </w:rPr>
      </w:pPr>
      <w:r>
        <w:rPr>
          <w:rFonts w:ascii="Arial" w:cs="Arial" w:eastAsia="Arial" w:hAnsi="Arial"/>
          <w:sz w:val="16"/>
          <w:szCs w:val="16"/>
          <w:color w:val="auto"/>
        </w:rPr>
        <w:t>vesting column in the table above represent the aggregate number of shares of our common stock acquired by the Named Executive in connection with restricted stock units awarded under our Incentive Plans that vested in 2022. The amounts reported in the value realized</w:t>
      </w:r>
    </w:p>
    <w:p>
      <w:pPr>
        <w:spacing w:after="0" w:line="2" w:lineRule="exact"/>
        <w:rPr>
          <w:sz w:val="20"/>
          <w:szCs w:val="20"/>
          <w:color w:val="auto"/>
        </w:rPr>
      </w:pPr>
    </w:p>
    <w:p>
      <w:pPr>
        <w:ind w:left="20" w:right="60"/>
        <w:spacing w:after="0" w:line="211" w:lineRule="auto"/>
        <w:rPr>
          <w:sz w:val="20"/>
          <w:szCs w:val="20"/>
          <w:color w:val="auto"/>
        </w:rPr>
      </w:pPr>
      <w:r>
        <w:rPr>
          <w:rFonts w:ascii="Arial" w:cs="Arial" w:eastAsia="Arial" w:hAnsi="Arial"/>
          <w:sz w:val="16"/>
          <w:szCs w:val="16"/>
          <w:color w:val="auto"/>
        </w:rPr>
        <w:t>on vesting column were calculated by multiplying the number of shares acquired by the closing price of our common stock on the date of vesting. The number of shares acquired in connection with the vesting of restricted stock units includes shares withheld to satisfy the</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6"/>
          <w:szCs w:val="16"/>
          <w:color w:val="auto"/>
        </w:rPr>
        <w:t>withholding tax due on vesting as reported in the table at right for each Named Executive.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2560" w:type="dxa"/>
            <w:vAlign w:val="bottom"/>
            <w:gridSpan w:val="2"/>
          </w:tcPr>
          <w:p>
            <w:pPr>
              <w:jc w:val="right"/>
              <w:ind w:right="10"/>
              <w:spacing w:after="0"/>
              <w:rPr>
                <w:sz w:val="20"/>
                <w:szCs w:val="20"/>
                <w:color w:val="auto"/>
              </w:rPr>
            </w:pPr>
            <w:r>
              <w:rPr>
                <w:rFonts w:ascii="Arial" w:cs="Arial" w:eastAsia="Arial" w:hAnsi="Arial"/>
                <w:sz w:val="15"/>
                <w:szCs w:val="15"/>
                <w:color w:val="auto"/>
              </w:rPr>
              <w:t>68,672</w:t>
            </w:r>
          </w:p>
        </w:tc>
        <w:tc>
          <w:tcPr>
            <w:tcW w:w="520" w:type="dxa"/>
            <w:vAlign w:val="bottom"/>
          </w:tcPr>
          <w:p>
            <w:pPr>
              <w:jc w:val="right"/>
              <w:ind w:right="272"/>
              <w:spacing w:after="0"/>
              <w:rPr>
                <w:sz w:val="20"/>
                <w:szCs w:val="20"/>
                <w:color w:val="auto"/>
              </w:rPr>
            </w:pPr>
            <w:r>
              <w:rPr>
                <w:rFonts w:ascii="Arial" w:cs="Arial" w:eastAsia="Arial" w:hAnsi="Arial"/>
                <w:sz w:val="15"/>
                <w:szCs w:val="15"/>
                <w:color w:val="auto"/>
              </w:rPr>
              <w:t>$</w:t>
            </w: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3,640,769</w:t>
            </w:r>
          </w:p>
        </w:tc>
        <w:tc>
          <w:tcPr>
            <w:tcW w:w="0" w:type="dxa"/>
            <w:vAlign w:val="bottom"/>
          </w:tcPr>
          <w:p>
            <w:pPr>
              <w:spacing w:after="0"/>
              <w:rPr>
                <w:sz w:val="1"/>
                <w:szCs w:val="1"/>
                <w:color w:val="auto"/>
              </w:rPr>
            </w:pPr>
          </w:p>
        </w:tc>
      </w:tr>
      <w:tr>
        <w:trPr>
          <w:trHeight w:val="195"/>
        </w:trPr>
        <w:tc>
          <w:tcPr>
            <w:tcW w:w="2560" w:type="dxa"/>
            <w:vAlign w:val="bottom"/>
            <w:gridSpan w:val="2"/>
          </w:tcPr>
          <w:p>
            <w:pPr>
              <w:jc w:val="right"/>
              <w:ind w:right="10"/>
              <w:spacing w:after="0"/>
              <w:rPr>
                <w:sz w:val="20"/>
                <w:szCs w:val="20"/>
                <w:color w:val="auto"/>
              </w:rPr>
            </w:pPr>
            <w:r>
              <w:rPr>
                <w:rFonts w:ascii="Arial" w:cs="Arial" w:eastAsia="Arial" w:hAnsi="Arial"/>
                <w:sz w:val="15"/>
                <w:szCs w:val="15"/>
                <w:color w:val="auto"/>
              </w:rPr>
              <w:t>1,698</w:t>
            </w:r>
          </w:p>
        </w:tc>
        <w:tc>
          <w:tcPr>
            <w:tcW w:w="520" w:type="dxa"/>
            <w:vAlign w:val="bottom"/>
          </w:tcPr>
          <w:p>
            <w:pPr>
              <w:spacing w:after="0"/>
              <w:rPr>
                <w:sz w:val="16"/>
                <w:szCs w:val="16"/>
                <w:color w:val="auto"/>
              </w:rPr>
            </w:pP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88,883</w:t>
            </w:r>
          </w:p>
        </w:tc>
        <w:tc>
          <w:tcPr>
            <w:tcW w:w="0" w:type="dxa"/>
            <w:vAlign w:val="bottom"/>
          </w:tcPr>
          <w:p>
            <w:pPr>
              <w:spacing w:after="0"/>
              <w:rPr>
                <w:sz w:val="1"/>
                <w:szCs w:val="1"/>
                <w:color w:val="auto"/>
              </w:rPr>
            </w:pPr>
          </w:p>
        </w:tc>
      </w:tr>
      <w:tr>
        <w:trPr>
          <w:trHeight w:val="195"/>
        </w:trPr>
        <w:tc>
          <w:tcPr>
            <w:tcW w:w="2560" w:type="dxa"/>
            <w:vAlign w:val="bottom"/>
            <w:gridSpan w:val="2"/>
          </w:tcPr>
          <w:p>
            <w:pPr>
              <w:jc w:val="right"/>
              <w:ind w:right="10"/>
              <w:spacing w:after="0"/>
              <w:rPr>
                <w:sz w:val="20"/>
                <w:szCs w:val="20"/>
                <w:color w:val="auto"/>
              </w:rPr>
            </w:pPr>
            <w:r>
              <w:rPr>
                <w:rFonts w:ascii="Arial" w:cs="Arial" w:eastAsia="Arial" w:hAnsi="Arial"/>
                <w:sz w:val="15"/>
                <w:szCs w:val="15"/>
                <w:color w:val="auto"/>
              </w:rPr>
              <w:t>13,762</w:t>
            </w:r>
          </w:p>
        </w:tc>
        <w:tc>
          <w:tcPr>
            <w:tcW w:w="520" w:type="dxa"/>
            <w:vAlign w:val="bottom"/>
          </w:tcPr>
          <w:p>
            <w:pPr>
              <w:spacing w:after="0"/>
              <w:rPr>
                <w:sz w:val="16"/>
                <w:szCs w:val="16"/>
                <w:color w:val="auto"/>
              </w:rPr>
            </w:pP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731,430</w:t>
            </w:r>
          </w:p>
        </w:tc>
        <w:tc>
          <w:tcPr>
            <w:tcW w:w="0" w:type="dxa"/>
            <w:vAlign w:val="bottom"/>
          </w:tcPr>
          <w:p>
            <w:pPr>
              <w:spacing w:after="0"/>
              <w:rPr>
                <w:sz w:val="1"/>
                <w:szCs w:val="1"/>
                <w:color w:val="auto"/>
              </w:rPr>
            </w:pPr>
          </w:p>
        </w:tc>
      </w:tr>
      <w:tr>
        <w:trPr>
          <w:trHeight w:val="195"/>
        </w:trPr>
        <w:tc>
          <w:tcPr>
            <w:tcW w:w="2190" w:type="dxa"/>
            <w:vAlign w:val="bottom"/>
          </w:tcPr>
          <w:p>
            <w:pPr>
              <w:spacing w:after="0"/>
              <w:rPr>
                <w:sz w:val="16"/>
                <w:szCs w:val="16"/>
                <w:color w:val="auto"/>
              </w:rPr>
            </w:pPr>
          </w:p>
        </w:tc>
        <w:tc>
          <w:tcPr>
            <w:tcW w:w="37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190" w:type="dxa"/>
            <w:vAlign w:val="bottom"/>
          </w:tcPr>
          <w:p>
            <w:pPr>
              <w:spacing w:after="0"/>
              <w:rPr>
                <w:sz w:val="16"/>
                <w:szCs w:val="16"/>
                <w:color w:val="auto"/>
              </w:rPr>
            </w:pPr>
          </w:p>
        </w:tc>
        <w:tc>
          <w:tcPr>
            <w:tcW w:w="370" w:type="dxa"/>
            <w:vAlign w:val="bottom"/>
          </w:tcPr>
          <w:p>
            <w:pPr>
              <w:jc w:val="right"/>
              <w:ind w:right="1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6"/>
                <w:szCs w:val="16"/>
                <w:color w:val="auto"/>
              </w:rPr>
            </w:pPr>
          </w:p>
        </w:tc>
        <w:tc>
          <w:tcPr>
            <w:tcW w:w="136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95"/>
        </w:trPr>
        <w:tc>
          <w:tcPr>
            <w:tcW w:w="2190" w:type="dxa"/>
            <w:vAlign w:val="bottom"/>
          </w:tcPr>
          <w:p>
            <w:pPr>
              <w:spacing w:after="0"/>
              <w:rPr>
                <w:sz w:val="24"/>
                <w:szCs w:val="24"/>
                <w:color w:val="auto"/>
              </w:rPr>
            </w:pPr>
          </w:p>
        </w:tc>
        <w:tc>
          <w:tcPr>
            <w:tcW w:w="225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190" w:type="dxa"/>
            <w:vAlign w:val="bottom"/>
            <w:shd w:val="clear" w:color="auto" w:fill="000000"/>
          </w:tcPr>
          <w:p>
            <w:pPr>
              <w:spacing w:after="0"/>
              <w:rPr>
                <w:sz w:val="24"/>
                <w:szCs w:val="24"/>
                <w:color w:val="auto"/>
              </w:rPr>
            </w:pPr>
          </w:p>
        </w:tc>
        <w:tc>
          <w:tcPr>
            <w:tcW w:w="2250" w:type="dxa"/>
            <w:vAlign w:val="bottom"/>
            <w:gridSpan w:val="3"/>
            <w:shd w:val="clear" w:color="auto" w:fill="000000"/>
          </w:tcPr>
          <w:p>
            <w:pPr>
              <w:jc w:val="center"/>
              <w:spacing w:after="0"/>
              <w:rPr>
                <w:sz w:val="20"/>
                <w:szCs w:val="20"/>
                <w:color w:val="auto"/>
              </w:rPr>
            </w:pPr>
            <w:r>
              <w:rPr>
                <w:rFonts w:ascii="Arial" w:cs="Arial" w:eastAsia="Arial" w:hAnsi="Arial"/>
                <w:sz w:val="13"/>
                <w:szCs w:val="13"/>
                <w:b w:val="1"/>
                <w:bCs w:val="1"/>
                <w:color w:val="FFFFFF"/>
              </w:rPr>
              <w:t>Shares Withheld on Vesting of</w:t>
            </w:r>
          </w:p>
        </w:tc>
        <w:tc>
          <w:tcPr>
            <w:tcW w:w="0" w:type="dxa"/>
            <w:vAlign w:val="bottom"/>
          </w:tcPr>
          <w:p>
            <w:pPr>
              <w:spacing w:after="0"/>
              <w:rPr>
                <w:sz w:val="1"/>
                <w:szCs w:val="1"/>
                <w:color w:val="auto"/>
              </w:rPr>
            </w:pPr>
          </w:p>
        </w:tc>
      </w:tr>
      <w:tr>
        <w:trPr>
          <w:trHeight w:val="126"/>
        </w:trPr>
        <w:tc>
          <w:tcPr>
            <w:tcW w:w="2190" w:type="dxa"/>
            <w:vAlign w:val="bottom"/>
            <w:vMerge w:val="restart"/>
            <w:shd w:val="clear" w:color="auto" w:fill="000000"/>
          </w:tcPr>
          <w:p>
            <w:pPr>
              <w:ind w:left="40"/>
              <w:spacing w:after="0"/>
              <w:rPr>
                <w:sz w:val="20"/>
                <w:szCs w:val="20"/>
                <w:color w:val="auto"/>
              </w:rPr>
            </w:pPr>
            <w:r>
              <w:rPr>
                <w:rFonts w:ascii="Arial" w:cs="Arial" w:eastAsia="Arial" w:hAnsi="Arial"/>
                <w:sz w:val="13"/>
                <w:szCs w:val="13"/>
                <w:b w:val="1"/>
                <w:bCs w:val="1"/>
                <w:color w:val="FFFFFF"/>
              </w:rPr>
              <w:t>Name</w:t>
            </w:r>
          </w:p>
        </w:tc>
        <w:tc>
          <w:tcPr>
            <w:tcW w:w="370" w:type="dxa"/>
            <w:vAlign w:val="bottom"/>
            <w:shd w:val="clear" w:color="auto" w:fill="000000"/>
          </w:tcPr>
          <w:p>
            <w:pPr>
              <w:spacing w:after="0"/>
              <w:rPr>
                <w:sz w:val="10"/>
                <w:szCs w:val="10"/>
                <w:color w:val="auto"/>
              </w:rPr>
            </w:pPr>
          </w:p>
        </w:tc>
        <w:tc>
          <w:tcPr>
            <w:tcW w:w="1880" w:type="dxa"/>
            <w:vAlign w:val="bottom"/>
            <w:gridSpan w:val="2"/>
            <w:shd w:val="clear" w:color="auto" w:fill="000000"/>
          </w:tcPr>
          <w:p>
            <w:pPr>
              <w:jc w:val="center"/>
              <w:ind w:right="287"/>
              <w:spacing w:after="0" w:line="126" w:lineRule="exact"/>
              <w:rPr>
                <w:sz w:val="20"/>
                <w:szCs w:val="20"/>
                <w:color w:val="auto"/>
              </w:rPr>
            </w:pPr>
            <w:r>
              <w:rPr>
                <w:rFonts w:ascii="Arial" w:cs="Arial" w:eastAsia="Arial" w:hAnsi="Arial"/>
                <w:sz w:val="13"/>
                <w:szCs w:val="13"/>
                <w:b w:val="1"/>
                <w:bCs w:val="1"/>
                <w:color w:val="FFFFFF"/>
                <w:w w:val="98"/>
              </w:rPr>
              <w:t>Restricted Stock and</w:t>
            </w:r>
          </w:p>
        </w:tc>
        <w:tc>
          <w:tcPr>
            <w:tcW w:w="0" w:type="dxa"/>
            <w:vAlign w:val="bottom"/>
          </w:tcPr>
          <w:p>
            <w:pPr>
              <w:spacing w:after="0"/>
              <w:rPr>
                <w:sz w:val="1"/>
                <w:szCs w:val="1"/>
                <w:color w:val="auto"/>
              </w:rPr>
            </w:pPr>
          </w:p>
        </w:tc>
      </w:tr>
      <w:tr>
        <w:trPr>
          <w:trHeight w:val="190"/>
        </w:trPr>
        <w:tc>
          <w:tcPr>
            <w:tcW w:w="2190" w:type="dxa"/>
            <w:vAlign w:val="bottom"/>
            <w:vMerge w:val="continue"/>
            <w:shd w:val="clear" w:color="auto" w:fill="000000"/>
          </w:tcPr>
          <w:p>
            <w:pPr>
              <w:spacing w:after="0"/>
              <w:rPr>
                <w:sz w:val="16"/>
                <w:szCs w:val="16"/>
                <w:color w:val="auto"/>
              </w:rPr>
            </w:pPr>
          </w:p>
        </w:tc>
        <w:tc>
          <w:tcPr>
            <w:tcW w:w="370" w:type="dxa"/>
            <w:vAlign w:val="bottom"/>
            <w:shd w:val="clear" w:color="auto" w:fill="000000"/>
          </w:tcPr>
          <w:p>
            <w:pPr>
              <w:spacing w:after="0"/>
              <w:rPr>
                <w:sz w:val="16"/>
                <w:szCs w:val="16"/>
                <w:color w:val="auto"/>
              </w:rPr>
            </w:pPr>
          </w:p>
        </w:tc>
        <w:tc>
          <w:tcPr>
            <w:tcW w:w="1880" w:type="dxa"/>
            <w:vAlign w:val="bottom"/>
            <w:gridSpan w:val="2"/>
            <w:shd w:val="clear" w:color="auto" w:fill="000000"/>
          </w:tcPr>
          <w:p>
            <w:pPr>
              <w:jc w:val="center"/>
              <w:ind w:right="307"/>
              <w:spacing w:after="0"/>
              <w:rPr>
                <w:sz w:val="20"/>
                <w:szCs w:val="20"/>
                <w:color w:val="auto"/>
              </w:rPr>
            </w:pPr>
            <w:r>
              <w:rPr>
                <w:rFonts w:ascii="Arial" w:cs="Arial" w:eastAsia="Arial" w:hAnsi="Arial"/>
                <w:sz w:val="13"/>
                <w:szCs w:val="13"/>
                <w:b w:val="1"/>
                <w:bCs w:val="1"/>
                <w:color w:val="FFFFFF"/>
                <w:w w:val="99"/>
              </w:rPr>
              <w:t>Restricted Stock Units</w:t>
            </w:r>
          </w:p>
        </w:tc>
        <w:tc>
          <w:tcPr>
            <w:tcW w:w="0" w:type="dxa"/>
            <w:vAlign w:val="bottom"/>
          </w:tcPr>
          <w:p>
            <w:pPr>
              <w:spacing w:after="0"/>
              <w:rPr>
                <w:sz w:val="1"/>
                <w:szCs w:val="1"/>
                <w:color w:val="auto"/>
              </w:rPr>
            </w:pPr>
          </w:p>
        </w:tc>
      </w:tr>
      <w:tr>
        <w:trPr>
          <w:trHeight w:val="218"/>
        </w:trPr>
        <w:tc>
          <w:tcPr>
            <w:tcW w:w="2560" w:type="dxa"/>
            <w:vAlign w:val="bottom"/>
            <w:gridSpan w:val="2"/>
          </w:tcPr>
          <w:p>
            <w:pPr>
              <w:ind w:left="20"/>
              <w:spacing w:after="0"/>
              <w:rPr>
                <w:sz w:val="20"/>
                <w:szCs w:val="20"/>
                <w:color w:val="auto"/>
              </w:rPr>
            </w:pPr>
            <w:r>
              <w:rPr>
                <w:rFonts w:ascii="Arial" w:cs="Arial" w:eastAsia="Arial" w:hAnsi="Arial"/>
                <w:sz w:val="15"/>
                <w:szCs w:val="15"/>
                <w:color w:val="auto"/>
              </w:rPr>
              <w:t>Rex D. Geveden</w:t>
            </w:r>
          </w:p>
        </w:tc>
        <w:tc>
          <w:tcPr>
            <w:tcW w:w="520" w:type="dxa"/>
            <w:vAlign w:val="bottom"/>
          </w:tcPr>
          <w:p>
            <w:pPr>
              <w:spacing w:after="0"/>
              <w:rPr>
                <w:sz w:val="18"/>
                <w:szCs w:val="18"/>
                <w:color w:val="auto"/>
              </w:rPr>
            </w:pPr>
          </w:p>
        </w:tc>
        <w:tc>
          <w:tcPr>
            <w:tcW w:w="1360" w:type="dxa"/>
            <w:vAlign w:val="bottom"/>
          </w:tcPr>
          <w:p>
            <w:pPr>
              <w:jc w:val="right"/>
              <w:ind w:right="487"/>
              <w:spacing w:after="0"/>
              <w:rPr>
                <w:sz w:val="20"/>
                <w:szCs w:val="20"/>
                <w:color w:val="auto"/>
              </w:rPr>
            </w:pPr>
            <w:r>
              <w:rPr>
                <w:rFonts w:ascii="Arial" w:cs="Arial" w:eastAsia="Arial" w:hAnsi="Arial"/>
                <w:sz w:val="15"/>
                <w:szCs w:val="15"/>
                <w:color w:val="auto"/>
              </w:rPr>
              <w:t>30,975</w:t>
            </w:r>
          </w:p>
        </w:tc>
        <w:tc>
          <w:tcPr>
            <w:tcW w:w="0" w:type="dxa"/>
            <w:vAlign w:val="bottom"/>
          </w:tcPr>
          <w:p>
            <w:pPr>
              <w:spacing w:after="0"/>
              <w:rPr>
                <w:sz w:val="1"/>
                <w:szCs w:val="1"/>
                <w:color w:val="auto"/>
              </w:rPr>
            </w:pPr>
          </w:p>
        </w:tc>
      </w:tr>
      <w:tr>
        <w:trPr>
          <w:trHeight w:val="233"/>
        </w:trPr>
        <w:tc>
          <w:tcPr>
            <w:tcW w:w="25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Robb A. LeMasters</w:t>
            </w:r>
          </w:p>
        </w:tc>
        <w:tc>
          <w:tcPr>
            <w:tcW w:w="520" w:type="dxa"/>
            <w:vAlign w:val="bottom"/>
            <w:shd w:val="clear" w:color="auto" w:fill="DBDBDB"/>
          </w:tcPr>
          <w:p>
            <w:pPr>
              <w:spacing w:after="0"/>
              <w:rPr>
                <w:sz w:val="20"/>
                <w:szCs w:val="20"/>
                <w:color w:val="auto"/>
              </w:rPr>
            </w:pPr>
          </w:p>
        </w:tc>
        <w:tc>
          <w:tcPr>
            <w:tcW w:w="1360" w:type="dxa"/>
            <w:vAlign w:val="bottom"/>
            <w:shd w:val="clear" w:color="auto" w:fill="DBDBDB"/>
          </w:tcPr>
          <w:p>
            <w:pPr>
              <w:jc w:val="right"/>
              <w:ind w:right="487"/>
              <w:spacing w:after="0"/>
              <w:rPr>
                <w:sz w:val="20"/>
                <w:szCs w:val="20"/>
                <w:color w:val="auto"/>
              </w:rPr>
            </w:pPr>
            <w:r>
              <w:rPr>
                <w:rFonts w:ascii="Arial" w:cs="Arial" w:eastAsia="Arial" w:hAnsi="Arial"/>
                <w:sz w:val="15"/>
                <w:szCs w:val="15"/>
                <w:color w:val="auto"/>
              </w:rPr>
              <w:t>817</w:t>
            </w:r>
          </w:p>
        </w:tc>
        <w:tc>
          <w:tcPr>
            <w:tcW w:w="0" w:type="dxa"/>
            <w:vAlign w:val="bottom"/>
          </w:tcPr>
          <w:p>
            <w:pPr>
              <w:spacing w:after="0"/>
              <w:rPr>
                <w:sz w:val="1"/>
                <w:szCs w:val="1"/>
                <w:color w:val="auto"/>
              </w:rPr>
            </w:pPr>
          </w:p>
        </w:tc>
      </w:tr>
      <w:tr>
        <w:trPr>
          <w:trHeight w:val="230"/>
        </w:trPr>
        <w:tc>
          <w:tcPr>
            <w:tcW w:w="2560" w:type="dxa"/>
            <w:vAlign w:val="bottom"/>
            <w:gridSpan w:val="2"/>
          </w:tcPr>
          <w:p>
            <w:pPr>
              <w:ind w:left="20"/>
              <w:spacing w:after="0"/>
              <w:rPr>
                <w:sz w:val="20"/>
                <w:szCs w:val="20"/>
                <w:color w:val="auto"/>
              </w:rPr>
            </w:pPr>
            <w:r>
              <w:rPr>
                <w:rFonts w:ascii="Arial" w:cs="Arial" w:eastAsia="Arial" w:hAnsi="Arial"/>
                <w:sz w:val="15"/>
                <w:szCs w:val="15"/>
                <w:color w:val="auto"/>
              </w:rPr>
              <w:t>Thomas E. McCabe</w:t>
            </w:r>
          </w:p>
        </w:tc>
        <w:tc>
          <w:tcPr>
            <w:tcW w:w="520" w:type="dxa"/>
            <w:vAlign w:val="bottom"/>
          </w:tcPr>
          <w:p>
            <w:pPr>
              <w:spacing w:after="0"/>
              <w:rPr>
                <w:sz w:val="20"/>
                <w:szCs w:val="20"/>
                <w:color w:val="auto"/>
              </w:rPr>
            </w:pPr>
          </w:p>
        </w:tc>
        <w:tc>
          <w:tcPr>
            <w:tcW w:w="1360" w:type="dxa"/>
            <w:vAlign w:val="bottom"/>
          </w:tcPr>
          <w:p>
            <w:pPr>
              <w:jc w:val="right"/>
              <w:ind w:right="487"/>
              <w:spacing w:after="0"/>
              <w:rPr>
                <w:sz w:val="20"/>
                <w:szCs w:val="20"/>
                <w:color w:val="auto"/>
              </w:rPr>
            </w:pPr>
            <w:r>
              <w:rPr>
                <w:rFonts w:ascii="Arial" w:cs="Arial" w:eastAsia="Arial" w:hAnsi="Arial"/>
                <w:sz w:val="15"/>
                <w:szCs w:val="15"/>
                <w:color w:val="auto"/>
              </w:rPr>
              <w:t>6,255</w:t>
            </w:r>
          </w:p>
        </w:tc>
        <w:tc>
          <w:tcPr>
            <w:tcW w:w="0" w:type="dxa"/>
            <w:vAlign w:val="bottom"/>
          </w:tcPr>
          <w:p>
            <w:pPr>
              <w:spacing w:after="0"/>
              <w:rPr>
                <w:sz w:val="1"/>
                <w:szCs w:val="1"/>
                <w:color w:val="auto"/>
              </w:rPr>
            </w:pPr>
          </w:p>
        </w:tc>
      </w:tr>
      <w:tr>
        <w:trPr>
          <w:trHeight w:val="233"/>
        </w:trPr>
        <w:tc>
          <w:tcPr>
            <w:tcW w:w="256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Kevin M. McCoy</w:t>
            </w:r>
          </w:p>
        </w:tc>
        <w:tc>
          <w:tcPr>
            <w:tcW w:w="520" w:type="dxa"/>
            <w:vAlign w:val="bottom"/>
            <w:shd w:val="clear" w:color="auto" w:fill="DBDBDB"/>
          </w:tcPr>
          <w:p>
            <w:pPr>
              <w:spacing w:after="0"/>
              <w:rPr>
                <w:sz w:val="20"/>
                <w:szCs w:val="20"/>
                <w:color w:val="auto"/>
              </w:rPr>
            </w:pPr>
          </w:p>
        </w:tc>
        <w:tc>
          <w:tcPr>
            <w:tcW w:w="1360" w:type="dxa"/>
            <w:vAlign w:val="bottom"/>
            <w:shd w:val="clear" w:color="auto" w:fill="DBDBDB"/>
          </w:tcPr>
          <w:p>
            <w:pPr>
              <w:jc w:val="right"/>
              <w:ind w:right="48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2560" w:type="dxa"/>
            <w:vAlign w:val="bottom"/>
            <w:gridSpan w:val="2"/>
          </w:tcPr>
          <w:p>
            <w:pPr>
              <w:ind w:left="20"/>
              <w:spacing w:after="0"/>
              <w:rPr>
                <w:sz w:val="20"/>
                <w:szCs w:val="20"/>
                <w:color w:val="auto"/>
              </w:rPr>
            </w:pPr>
            <w:r>
              <w:rPr>
                <w:rFonts w:ascii="Arial" w:cs="Arial" w:eastAsia="Arial" w:hAnsi="Arial"/>
                <w:sz w:val="15"/>
                <w:szCs w:val="15"/>
                <w:color w:val="auto"/>
              </w:rPr>
              <w:t>Robert L. Duffy</w:t>
            </w:r>
          </w:p>
        </w:tc>
        <w:tc>
          <w:tcPr>
            <w:tcW w:w="520" w:type="dxa"/>
            <w:vAlign w:val="bottom"/>
          </w:tcPr>
          <w:p>
            <w:pPr>
              <w:spacing w:after="0"/>
              <w:rPr>
                <w:sz w:val="16"/>
                <w:szCs w:val="16"/>
                <w:color w:val="auto"/>
              </w:rPr>
            </w:pPr>
          </w:p>
        </w:tc>
        <w:tc>
          <w:tcPr>
            <w:tcW w:w="1360" w:type="dxa"/>
            <w:vAlign w:val="bottom"/>
          </w:tcPr>
          <w:p>
            <w:pPr>
              <w:jc w:val="right"/>
              <w:ind w:right="487"/>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6640" w:space="180"/>
            <w:col w:w="4440"/>
          </w:cols>
          <w:pgMar w:left="320" w:top="123"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8300"/>
        <w:spacing w:after="0"/>
        <w:rPr>
          <w:sz w:val="20"/>
          <w:szCs w:val="20"/>
          <w:color w:val="auto"/>
        </w:rPr>
      </w:pPr>
      <w:r>
        <w:rPr>
          <w:sz w:val="1"/>
          <w:szCs w:val="1"/>
          <w:color w:val="auto"/>
        </w:rPr>
        <w:drawing>
          <wp:inline distT="0" distB="0" distL="0" distR="0">
            <wp:extent cx="440690" cy="18542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5"/>
          <w:szCs w:val="15"/>
          <w:color w:val="auto"/>
        </w:rPr>
        <w:t xml:space="preserve"> 2023 PROXY STATEMENT </w:t>
      </w:r>
      <w:r>
        <w:rPr>
          <w:rFonts w:ascii="Arial" w:cs="Arial" w:eastAsia="Arial" w:hAnsi="Arial"/>
          <w:sz w:val="15"/>
          <w:szCs w:val="15"/>
          <w:b w:val="1"/>
          <w:bCs w:val="1"/>
          <w:color w:val="2C2C2C"/>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171055"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type w:val="continuous"/>
        </w:sectPr>
      </w:pPr>
    </w:p>
    <w:bookmarkStart w:id="55" w:name="page56"/>
    <w:bookmarkEnd w:id="55"/>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NONQUALIFIED DEFERRED COMPENSATION IN 2022</w:t>
      </w:r>
    </w:p>
    <w:p>
      <w:pPr>
        <w:spacing w:after="0" w:line="59" w:lineRule="exact"/>
        <w:rPr>
          <w:sz w:val="20"/>
          <w:szCs w:val="20"/>
          <w:color w:val="auto"/>
        </w:rPr>
      </w:pPr>
    </w:p>
    <w:p>
      <w:pPr>
        <w:ind w:right="420"/>
        <w:spacing w:after="0" w:line="294" w:lineRule="auto"/>
        <w:rPr>
          <w:sz w:val="20"/>
          <w:szCs w:val="20"/>
          <w:color w:val="auto"/>
        </w:rPr>
      </w:pPr>
      <w:r>
        <w:rPr>
          <w:rFonts w:ascii="Arial" w:cs="Arial" w:eastAsia="Arial" w:hAnsi="Arial"/>
          <w:sz w:val="16"/>
          <w:szCs w:val="16"/>
          <w:color w:val="auto"/>
        </w:rPr>
        <w:t>None of our Named Executives were eligible to participate in either qualified or nonqualified pension plans in 2022. The following Nonqualified Deferred Compensation table summarizes our Named Executives’ compensation under our nonqualified defined contribution plans in 2022.</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090" w:type="dxa"/>
            <w:vAlign w:val="bottom"/>
            <w:shd w:val="clear" w:color="auto" w:fill="000000"/>
          </w:tcPr>
          <w:p>
            <w:pPr>
              <w:spacing w:after="0"/>
              <w:rPr>
                <w:sz w:val="13"/>
                <w:szCs w:val="13"/>
                <w:color w:val="auto"/>
              </w:rPr>
            </w:pPr>
          </w:p>
        </w:tc>
        <w:tc>
          <w:tcPr>
            <w:tcW w:w="90" w:type="dxa"/>
            <w:vAlign w:val="bottom"/>
            <w:shd w:val="clear" w:color="auto" w:fill="000000"/>
          </w:tcPr>
          <w:p>
            <w:pPr>
              <w:spacing w:after="0"/>
              <w:rPr>
                <w:sz w:val="13"/>
                <w:szCs w:val="13"/>
                <w:color w:val="auto"/>
              </w:rPr>
            </w:pPr>
          </w:p>
        </w:tc>
        <w:tc>
          <w:tcPr>
            <w:tcW w:w="1610" w:type="dxa"/>
            <w:vAlign w:val="bottom"/>
            <w:shd w:val="clear" w:color="auto" w:fill="000000"/>
          </w:tcPr>
          <w:p>
            <w:pPr>
              <w:spacing w:after="0"/>
              <w:rPr>
                <w:sz w:val="13"/>
                <w:szCs w:val="13"/>
                <w:color w:val="auto"/>
              </w:rPr>
            </w:pPr>
          </w:p>
        </w:tc>
        <w:tc>
          <w:tcPr>
            <w:tcW w:w="90" w:type="dxa"/>
            <w:vAlign w:val="bottom"/>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1140" w:type="dxa"/>
            <w:vAlign w:val="bottom"/>
            <w:vMerge w:val="restart"/>
            <w:shd w:val="clear" w:color="auto" w:fill="000000"/>
          </w:tcPr>
          <w:p>
            <w:pPr>
              <w:jc w:val="right"/>
              <w:ind w:right="268"/>
              <w:spacing w:after="0"/>
              <w:rPr>
                <w:sz w:val="20"/>
                <w:szCs w:val="20"/>
                <w:color w:val="auto"/>
              </w:rPr>
            </w:pPr>
            <w:r>
              <w:rPr>
                <w:rFonts w:ascii="Arial" w:cs="Arial" w:eastAsia="Arial" w:hAnsi="Arial"/>
                <w:sz w:val="13"/>
                <w:szCs w:val="13"/>
                <w:b w:val="1"/>
                <w:bCs w:val="1"/>
                <w:color w:val="FFFFFF"/>
              </w:rPr>
              <w:t>Executive</w:t>
            </w:r>
          </w:p>
        </w:tc>
        <w:tc>
          <w:tcPr>
            <w:tcW w:w="280" w:type="dxa"/>
            <w:vAlign w:val="bottom"/>
            <w:shd w:val="clear" w:color="auto" w:fill="000000"/>
          </w:tcPr>
          <w:p>
            <w:pPr>
              <w:spacing w:after="0"/>
              <w:rPr>
                <w:sz w:val="13"/>
                <w:szCs w:val="13"/>
                <w:color w:val="auto"/>
              </w:rPr>
            </w:pPr>
          </w:p>
        </w:tc>
        <w:tc>
          <w:tcPr>
            <w:tcW w:w="1180" w:type="dxa"/>
            <w:vAlign w:val="bottom"/>
            <w:vMerge w:val="restart"/>
            <w:shd w:val="clear" w:color="auto" w:fill="000000"/>
          </w:tcPr>
          <w:p>
            <w:pPr>
              <w:jc w:val="right"/>
              <w:ind w:right="288"/>
              <w:spacing w:after="0"/>
              <w:rPr>
                <w:sz w:val="20"/>
                <w:szCs w:val="20"/>
                <w:color w:val="auto"/>
              </w:rPr>
            </w:pPr>
            <w:r>
              <w:rPr>
                <w:rFonts w:ascii="Arial" w:cs="Arial" w:eastAsia="Arial" w:hAnsi="Arial"/>
                <w:sz w:val="13"/>
                <w:szCs w:val="13"/>
                <w:b w:val="1"/>
                <w:bCs w:val="1"/>
                <w:color w:val="FFFFFF"/>
              </w:rPr>
              <w:t>Registrant</w:t>
            </w:r>
          </w:p>
        </w:tc>
        <w:tc>
          <w:tcPr>
            <w:tcW w:w="200" w:type="dxa"/>
            <w:vAlign w:val="bottom"/>
            <w:shd w:val="clear" w:color="auto" w:fill="000000"/>
          </w:tcPr>
          <w:p>
            <w:pPr>
              <w:spacing w:after="0"/>
              <w:rPr>
                <w:sz w:val="13"/>
                <w:szCs w:val="13"/>
                <w:color w:val="auto"/>
              </w:rPr>
            </w:pPr>
          </w:p>
        </w:tc>
        <w:tc>
          <w:tcPr>
            <w:tcW w:w="1360" w:type="dxa"/>
            <w:vAlign w:val="bottom"/>
            <w:vMerge w:val="restart"/>
            <w:shd w:val="clear" w:color="auto" w:fill="000000"/>
          </w:tcPr>
          <w:p>
            <w:pPr>
              <w:jc w:val="center"/>
              <w:ind w:right="28"/>
              <w:spacing w:after="0"/>
              <w:rPr>
                <w:sz w:val="20"/>
                <w:szCs w:val="20"/>
                <w:color w:val="auto"/>
              </w:rPr>
            </w:pPr>
            <w:r>
              <w:rPr>
                <w:rFonts w:ascii="Arial" w:cs="Arial" w:eastAsia="Arial" w:hAnsi="Arial"/>
                <w:sz w:val="13"/>
                <w:szCs w:val="13"/>
                <w:b w:val="1"/>
                <w:bCs w:val="1"/>
                <w:color w:val="FFFFFF"/>
                <w:w w:val="98"/>
              </w:rPr>
              <w:t>Aggregate Earnings</w:t>
            </w:r>
          </w:p>
        </w:tc>
        <w:tc>
          <w:tcPr>
            <w:tcW w:w="300" w:type="dxa"/>
            <w:vAlign w:val="bottom"/>
            <w:shd w:val="clear" w:color="auto" w:fill="000000"/>
          </w:tcPr>
          <w:p>
            <w:pPr>
              <w:spacing w:after="0"/>
              <w:rPr>
                <w:sz w:val="13"/>
                <w:szCs w:val="13"/>
                <w:color w:val="auto"/>
              </w:rPr>
            </w:pPr>
          </w:p>
        </w:tc>
        <w:tc>
          <w:tcPr>
            <w:tcW w:w="1320" w:type="dxa"/>
            <w:vAlign w:val="bottom"/>
            <w:shd w:val="clear" w:color="auto" w:fill="000000"/>
          </w:tcPr>
          <w:p>
            <w:pPr>
              <w:jc w:val="center"/>
              <w:ind w:right="229"/>
              <w:spacing w:after="0"/>
              <w:rPr>
                <w:sz w:val="20"/>
                <w:szCs w:val="20"/>
                <w:color w:val="auto"/>
              </w:rPr>
            </w:pPr>
            <w:r>
              <w:rPr>
                <w:rFonts w:ascii="Arial" w:cs="Arial" w:eastAsia="Arial" w:hAnsi="Arial"/>
                <w:sz w:val="13"/>
                <w:szCs w:val="13"/>
                <w:b w:val="1"/>
                <w:bCs w:val="1"/>
                <w:color w:val="FFFFFF"/>
              </w:rPr>
              <w:t>Aggregate</w:t>
            </w:r>
          </w:p>
        </w:tc>
        <w:tc>
          <w:tcPr>
            <w:tcW w:w="1440" w:type="dxa"/>
            <w:vAlign w:val="bottom"/>
            <w:gridSpan w:val="2"/>
            <w:vMerge w:val="restart"/>
            <w:shd w:val="clear" w:color="auto" w:fill="000000"/>
          </w:tcPr>
          <w:p>
            <w:pPr>
              <w:jc w:val="right"/>
              <w:spacing w:after="0"/>
              <w:rPr>
                <w:sz w:val="20"/>
                <w:szCs w:val="20"/>
                <w:color w:val="auto"/>
              </w:rPr>
            </w:pPr>
            <w:r>
              <w:rPr>
                <w:rFonts w:ascii="Arial" w:cs="Arial" w:eastAsia="Arial" w:hAnsi="Arial"/>
                <w:sz w:val="13"/>
                <w:szCs w:val="13"/>
                <w:b w:val="1"/>
                <w:bCs w:val="1"/>
                <w:color w:val="FFFFFF"/>
              </w:rPr>
              <w:t>Aggregate Balance as</w:t>
            </w:r>
          </w:p>
        </w:tc>
        <w:tc>
          <w:tcPr>
            <w:tcW w:w="0" w:type="dxa"/>
            <w:vAlign w:val="bottom"/>
          </w:tcPr>
          <w:p>
            <w:pPr>
              <w:spacing w:after="0"/>
              <w:rPr>
                <w:sz w:val="1"/>
                <w:szCs w:val="1"/>
                <w:color w:val="auto"/>
              </w:rPr>
            </w:pPr>
          </w:p>
        </w:tc>
      </w:tr>
      <w:tr>
        <w:trPr>
          <w:trHeight w:val="134"/>
        </w:trPr>
        <w:tc>
          <w:tcPr>
            <w:tcW w:w="209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FFFFF"/>
              </w:rPr>
              <w:t>Name</w:t>
            </w:r>
          </w:p>
        </w:tc>
        <w:tc>
          <w:tcPr>
            <w:tcW w:w="90" w:type="dxa"/>
            <w:vAlign w:val="bottom"/>
            <w:shd w:val="clear" w:color="auto" w:fill="000000"/>
          </w:tcPr>
          <w:p>
            <w:pPr>
              <w:spacing w:after="0"/>
              <w:rPr>
                <w:sz w:val="11"/>
                <w:szCs w:val="11"/>
                <w:color w:val="auto"/>
              </w:rPr>
            </w:pPr>
          </w:p>
        </w:tc>
        <w:tc>
          <w:tcPr>
            <w:tcW w:w="1610" w:type="dxa"/>
            <w:vAlign w:val="bottom"/>
            <w:vMerge w:val="restart"/>
            <w:shd w:val="clear" w:color="auto" w:fill="000000"/>
          </w:tcPr>
          <w:p>
            <w:pPr>
              <w:ind w:left="480"/>
              <w:spacing w:after="0"/>
              <w:rPr>
                <w:sz w:val="20"/>
                <w:szCs w:val="20"/>
                <w:color w:val="auto"/>
              </w:rPr>
            </w:pPr>
            <w:r>
              <w:rPr>
                <w:rFonts w:ascii="Arial" w:cs="Arial" w:eastAsia="Arial" w:hAnsi="Arial"/>
                <w:sz w:val="13"/>
                <w:szCs w:val="13"/>
                <w:b w:val="1"/>
                <w:bCs w:val="1"/>
                <w:color w:val="FFFFFF"/>
              </w:rPr>
              <w:t>Plan Name</w:t>
            </w:r>
          </w:p>
        </w:tc>
        <w:tc>
          <w:tcPr>
            <w:tcW w:w="90" w:type="dxa"/>
            <w:vAlign w:val="bottom"/>
            <w:shd w:val="clear" w:color="auto" w:fill="000000"/>
          </w:tcPr>
          <w:p>
            <w:pPr>
              <w:spacing w:after="0"/>
              <w:rPr>
                <w:sz w:val="11"/>
                <w:szCs w:val="11"/>
                <w:color w:val="auto"/>
              </w:rPr>
            </w:pPr>
          </w:p>
        </w:tc>
        <w:tc>
          <w:tcPr>
            <w:tcW w:w="160" w:type="dxa"/>
            <w:vAlign w:val="bottom"/>
            <w:shd w:val="clear" w:color="auto" w:fill="000000"/>
          </w:tcPr>
          <w:p>
            <w:pPr>
              <w:spacing w:after="0"/>
              <w:rPr>
                <w:sz w:val="11"/>
                <w:szCs w:val="11"/>
                <w:color w:val="auto"/>
              </w:rPr>
            </w:pPr>
          </w:p>
        </w:tc>
        <w:tc>
          <w:tcPr>
            <w:tcW w:w="1140" w:type="dxa"/>
            <w:vAlign w:val="bottom"/>
            <w:vMerge w:val="continue"/>
            <w:shd w:val="clear" w:color="auto" w:fill="000000"/>
          </w:tcPr>
          <w:p>
            <w:pPr>
              <w:spacing w:after="0"/>
              <w:rPr>
                <w:sz w:val="11"/>
                <w:szCs w:val="11"/>
                <w:color w:val="auto"/>
              </w:rPr>
            </w:pPr>
          </w:p>
        </w:tc>
        <w:tc>
          <w:tcPr>
            <w:tcW w:w="280" w:type="dxa"/>
            <w:vAlign w:val="bottom"/>
            <w:shd w:val="clear" w:color="auto" w:fill="000000"/>
          </w:tcPr>
          <w:p>
            <w:pPr>
              <w:spacing w:after="0"/>
              <w:rPr>
                <w:sz w:val="11"/>
                <w:szCs w:val="11"/>
                <w:color w:val="auto"/>
              </w:rPr>
            </w:pPr>
          </w:p>
        </w:tc>
        <w:tc>
          <w:tcPr>
            <w:tcW w:w="1180" w:type="dxa"/>
            <w:vAlign w:val="bottom"/>
            <w:vMerge w:val="continue"/>
            <w:shd w:val="clear" w:color="auto" w:fill="000000"/>
          </w:tcPr>
          <w:p>
            <w:pPr>
              <w:spacing w:after="0"/>
              <w:rPr>
                <w:sz w:val="11"/>
                <w:szCs w:val="11"/>
                <w:color w:val="auto"/>
              </w:rPr>
            </w:pPr>
          </w:p>
        </w:tc>
        <w:tc>
          <w:tcPr>
            <w:tcW w:w="200" w:type="dxa"/>
            <w:vAlign w:val="bottom"/>
            <w:shd w:val="clear" w:color="auto" w:fill="000000"/>
          </w:tcPr>
          <w:p>
            <w:pPr>
              <w:spacing w:after="0"/>
              <w:rPr>
                <w:sz w:val="11"/>
                <w:szCs w:val="11"/>
                <w:color w:val="auto"/>
              </w:rPr>
            </w:pPr>
          </w:p>
        </w:tc>
        <w:tc>
          <w:tcPr>
            <w:tcW w:w="136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1320" w:type="dxa"/>
            <w:vAlign w:val="bottom"/>
            <w:shd w:val="clear" w:color="auto" w:fill="000000"/>
          </w:tcPr>
          <w:p>
            <w:pPr>
              <w:jc w:val="center"/>
              <w:ind w:right="229"/>
              <w:spacing w:after="0" w:line="134" w:lineRule="exact"/>
              <w:rPr>
                <w:sz w:val="20"/>
                <w:szCs w:val="20"/>
                <w:color w:val="auto"/>
              </w:rPr>
            </w:pPr>
            <w:r>
              <w:rPr>
                <w:rFonts w:ascii="Arial" w:cs="Arial" w:eastAsia="Arial" w:hAnsi="Arial"/>
                <w:sz w:val="13"/>
                <w:szCs w:val="13"/>
                <w:b w:val="1"/>
                <w:bCs w:val="1"/>
                <w:color w:val="FFFFFF"/>
                <w:w w:val="97"/>
              </w:rPr>
              <w:t>Withdrawals /</w:t>
            </w:r>
          </w:p>
        </w:tc>
        <w:tc>
          <w:tcPr>
            <w:tcW w:w="1440" w:type="dxa"/>
            <w:vAlign w:val="bottom"/>
            <w:gridSpan w:val="2"/>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090" w:type="dxa"/>
            <w:vAlign w:val="bottom"/>
            <w:vMerge w:val="continue"/>
            <w:shd w:val="clear" w:color="auto" w:fill="000000"/>
          </w:tcPr>
          <w:p>
            <w:pPr>
              <w:spacing w:after="0"/>
              <w:rPr>
                <w:sz w:val="15"/>
                <w:szCs w:val="15"/>
                <w:color w:val="auto"/>
              </w:rPr>
            </w:pPr>
          </w:p>
        </w:tc>
        <w:tc>
          <w:tcPr>
            <w:tcW w:w="90" w:type="dxa"/>
            <w:vAlign w:val="bottom"/>
            <w:shd w:val="clear" w:color="auto" w:fill="000000"/>
          </w:tcPr>
          <w:p>
            <w:pPr>
              <w:spacing w:after="0"/>
              <w:rPr>
                <w:sz w:val="15"/>
                <w:szCs w:val="15"/>
                <w:color w:val="auto"/>
              </w:rPr>
            </w:pPr>
          </w:p>
        </w:tc>
        <w:tc>
          <w:tcPr>
            <w:tcW w:w="1610" w:type="dxa"/>
            <w:vAlign w:val="bottom"/>
            <w:vMerge w:val="continue"/>
            <w:shd w:val="clear" w:color="auto" w:fill="000000"/>
          </w:tcPr>
          <w:p>
            <w:pPr>
              <w:spacing w:after="0"/>
              <w:rPr>
                <w:sz w:val="15"/>
                <w:szCs w:val="15"/>
                <w:color w:val="auto"/>
              </w:rPr>
            </w:pPr>
          </w:p>
        </w:tc>
        <w:tc>
          <w:tcPr>
            <w:tcW w:w="90" w:type="dxa"/>
            <w:vAlign w:val="bottom"/>
            <w:shd w:val="clear" w:color="auto" w:fill="000000"/>
          </w:tcPr>
          <w:p>
            <w:pPr>
              <w:spacing w:after="0"/>
              <w:rPr>
                <w:sz w:val="15"/>
                <w:szCs w:val="15"/>
                <w:color w:val="auto"/>
              </w:rPr>
            </w:pPr>
          </w:p>
        </w:tc>
        <w:tc>
          <w:tcPr>
            <w:tcW w:w="160" w:type="dxa"/>
            <w:vAlign w:val="bottom"/>
            <w:shd w:val="clear" w:color="auto" w:fill="000000"/>
          </w:tcPr>
          <w:p>
            <w:pPr>
              <w:spacing w:after="0"/>
              <w:rPr>
                <w:sz w:val="15"/>
                <w:szCs w:val="15"/>
                <w:color w:val="auto"/>
              </w:rPr>
            </w:pPr>
          </w:p>
        </w:tc>
        <w:tc>
          <w:tcPr>
            <w:tcW w:w="1140" w:type="dxa"/>
            <w:vAlign w:val="bottom"/>
            <w:shd w:val="clear" w:color="auto" w:fill="000000"/>
          </w:tcPr>
          <w:p>
            <w:pPr>
              <w:jc w:val="right"/>
              <w:ind w:right="148"/>
              <w:spacing w:after="0"/>
              <w:rPr>
                <w:sz w:val="20"/>
                <w:szCs w:val="20"/>
                <w:color w:val="auto"/>
              </w:rPr>
            </w:pPr>
            <w:r>
              <w:rPr>
                <w:rFonts w:ascii="Arial" w:cs="Arial" w:eastAsia="Arial" w:hAnsi="Arial"/>
                <w:sz w:val="13"/>
                <w:szCs w:val="13"/>
                <w:b w:val="1"/>
                <w:bCs w:val="1"/>
                <w:color w:val="FFFFFF"/>
              </w:rPr>
              <w:t>Contributions</w:t>
            </w:r>
          </w:p>
        </w:tc>
        <w:tc>
          <w:tcPr>
            <w:tcW w:w="280" w:type="dxa"/>
            <w:vAlign w:val="bottom"/>
            <w:shd w:val="clear" w:color="auto" w:fill="000000"/>
          </w:tcPr>
          <w:p>
            <w:pPr>
              <w:spacing w:after="0"/>
              <w:rPr>
                <w:sz w:val="15"/>
                <w:szCs w:val="15"/>
                <w:color w:val="auto"/>
              </w:rPr>
            </w:pPr>
          </w:p>
        </w:tc>
        <w:tc>
          <w:tcPr>
            <w:tcW w:w="1180" w:type="dxa"/>
            <w:vAlign w:val="bottom"/>
            <w:shd w:val="clear" w:color="auto" w:fill="000000"/>
          </w:tcPr>
          <w:p>
            <w:pPr>
              <w:jc w:val="right"/>
              <w:ind w:right="188"/>
              <w:spacing w:after="0"/>
              <w:rPr>
                <w:sz w:val="20"/>
                <w:szCs w:val="20"/>
                <w:color w:val="auto"/>
              </w:rPr>
            </w:pPr>
            <w:r>
              <w:rPr>
                <w:rFonts w:ascii="Arial" w:cs="Arial" w:eastAsia="Arial" w:hAnsi="Arial"/>
                <w:sz w:val="13"/>
                <w:szCs w:val="13"/>
                <w:b w:val="1"/>
                <w:bCs w:val="1"/>
                <w:color w:val="FFFFFF"/>
              </w:rPr>
              <w:t>Contributions</w:t>
            </w:r>
          </w:p>
        </w:tc>
        <w:tc>
          <w:tcPr>
            <w:tcW w:w="200" w:type="dxa"/>
            <w:vAlign w:val="bottom"/>
            <w:shd w:val="clear" w:color="auto" w:fill="000000"/>
          </w:tcPr>
          <w:p>
            <w:pPr>
              <w:spacing w:after="0"/>
              <w:rPr>
                <w:sz w:val="15"/>
                <w:szCs w:val="15"/>
                <w:color w:val="auto"/>
              </w:rPr>
            </w:pPr>
          </w:p>
        </w:tc>
        <w:tc>
          <w:tcPr>
            <w:tcW w:w="1360" w:type="dxa"/>
            <w:vAlign w:val="bottom"/>
            <w:shd w:val="clear" w:color="auto" w:fill="000000"/>
          </w:tcPr>
          <w:p>
            <w:pPr>
              <w:jc w:val="center"/>
              <w:ind w:right="28"/>
              <w:spacing w:after="0"/>
              <w:rPr>
                <w:sz w:val="20"/>
                <w:szCs w:val="20"/>
                <w:color w:val="auto"/>
              </w:rPr>
            </w:pPr>
            <w:r>
              <w:rPr>
                <w:rFonts w:ascii="Arial" w:cs="Arial" w:eastAsia="Arial" w:hAnsi="Arial"/>
                <w:sz w:val="13"/>
                <w:szCs w:val="13"/>
                <w:b w:val="1"/>
                <w:bCs w:val="1"/>
                <w:color w:val="FFFFFF"/>
                <w:w w:val="97"/>
              </w:rPr>
              <w:t>(Loss)</w:t>
            </w:r>
          </w:p>
        </w:tc>
        <w:tc>
          <w:tcPr>
            <w:tcW w:w="300" w:type="dxa"/>
            <w:vAlign w:val="bottom"/>
            <w:shd w:val="clear" w:color="auto" w:fill="000000"/>
          </w:tcPr>
          <w:p>
            <w:pPr>
              <w:spacing w:after="0"/>
              <w:rPr>
                <w:sz w:val="15"/>
                <w:szCs w:val="15"/>
                <w:color w:val="auto"/>
              </w:rPr>
            </w:pPr>
          </w:p>
        </w:tc>
        <w:tc>
          <w:tcPr>
            <w:tcW w:w="1320" w:type="dxa"/>
            <w:vAlign w:val="bottom"/>
            <w:shd w:val="clear" w:color="auto" w:fill="000000"/>
          </w:tcPr>
          <w:p>
            <w:pPr>
              <w:jc w:val="center"/>
              <w:ind w:right="249"/>
              <w:spacing w:after="0"/>
              <w:rPr>
                <w:sz w:val="20"/>
                <w:szCs w:val="20"/>
                <w:color w:val="auto"/>
              </w:rPr>
            </w:pPr>
            <w:r>
              <w:rPr>
                <w:rFonts w:ascii="Arial" w:cs="Arial" w:eastAsia="Arial" w:hAnsi="Arial"/>
                <w:sz w:val="13"/>
                <w:szCs w:val="13"/>
                <w:b w:val="1"/>
                <w:bCs w:val="1"/>
                <w:color w:val="FFFFFF"/>
                <w:w w:val="99"/>
              </w:rPr>
              <w:t>Distributions</w:t>
            </w:r>
          </w:p>
        </w:tc>
        <w:tc>
          <w:tcPr>
            <w:tcW w:w="160" w:type="dxa"/>
            <w:vAlign w:val="bottom"/>
            <w:shd w:val="clear" w:color="auto" w:fill="000000"/>
          </w:tcPr>
          <w:p>
            <w:pPr>
              <w:spacing w:after="0"/>
              <w:rPr>
                <w:sz w:val="15"/>
                <w:szCs w:val="15"/>
                <w:color w:val="auto"/>
              </w:rPr>
            </w:pPr>
          </w:p>
        </w:tc>
        <w:tc>
          <w:tcPr>
            <w:tcW w:w="1280" w:type="dxa"/>
            <w:vAlign w:val="bottom"/>
            <w:shd w:val="clear" w:color="auto" w:fill="000000"/>
          </w:tcPr>
          <w:p>
            <w:pPr>
              <w:jc w:val="right"/>
              <w:ind w:right="168"/>
              <w:spacing w:after="0"/>
              <w:rPr>
                <w:sz w:val="20"/>
                <w:szCs w:val="20"/>
                <w:color w:val="auto"/>
              </w:rPr>
            </w:pPr>
            <w:r>
              <w:rPr>
                <w:rFonts w:ascii="Arial" w:cs="Arial" w:eastAsia="Arial" w:hAnsi="Arial"/>
                <w:sz w:val="13"/>
                <w:szCs w:val="13"/>
                <w:b w:val="1"/>
                <w:bCs w:val="1"/>
                <w:color w:val="FFFFFF"/>
              </w:rPr>
              <w:t>of Dec. 31, 2022</w:t>
            </w:r>
          </w:p>
        </w:tc>
        <w:tc>
          <w:tcPr>
            <w:tcW w:w="0" w:type="dxa"/>
            <w:vAlign w:val="bottom"/>
          </w:tcPr>
          <w:p>
            <w:pPr>
              <w:spacing w:after="0"/>
              <w:rPr>
                <w:sz w:val="1"/>
                <w:szCs w:val="1"/>
                <w:color w:val="auto"/>
              </w:rPr>
            </w:pPr>
          </w:p>
        </w:tc>
      </w:tr>
      <w:tr>
        <w:trPr>
          <w:trHeight w:val="192"/>
        </w:trPr>
        <w:tc>
          <w:tcPr>
            <w:tcW w:w="2090" w:type="dxa"/>
            <w:vAlign w:val="bottom"/>
          </w:tcPr>
          <w:p>
            <w:pPr>
              <w:ind w:left="120"/>
              <w:spacing w:after="0"/>
              <w:rPr>
                <w:sz w:val="20"/>
                <w:szCs w:val="20"/>
                <w:color w:val="auto"/>
              </w:rPr>
            </w:pPr>
            <w:r>
              <w:rPr>
                <w:rFonts w:ascii="Arial" w:cs="Arial" w:eastAsia="Arial" w:hAnsi="Arial"/>
                <w:sz w:val="15"/>
                <w:szCs w:val="15"/>
                <w:color w:val="auto"/>
              </w:rPr>
              <w:t>Rex D. Geveden</w:t>
            </w:r>
          </w:p>
        </w:tc>
        <w:tc>
          <w:tcPr>
            <w:tcW w:w="9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SERP</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gridSpan w:val="2"/>
          </w:tcPr>
          <w:p>
            <w:pPr>
              <w:ind w:left="920"/>
              <w:spacing w:after="0"/>
              <w:rPr>
                <w:sz w:val="20"/>
                <w:szCs w:val="20"/>
                <w:color w:val="auto"/>
              </w:rPr>
            </w:pPr>
            <w:r>
              <w:rPr>
                <w:rFonts w:ascii="Arial" w:cs="Arial" w:eastAsia="Arial" w:hAnsi="Arial"/>
                <w:sz w:val="15"/>
                <w:szCs w:val="15"/>
                <w:color w:val="auto"/>
              </w:rPr>
              <w:t>—   $</w:t>
            </w:r>
          </w:p>
        </w:tc>
        <w:tc>
          <w:tcPr>
            <w:tcW w:w="1380" w:type="dxa"/>
            <w:vAlign w:val="bottom"/>
            <w:gridSpan w:val="2"/>
          </w:tcPr>
          <w:p>
            <w:pPr>
              <w:ind w:left="960"/>
              <w:spacing w:after="0"/>
              <w:rPr>
                <w:sz w:val="20"/>
                <w:szCs w:val="20"/>
                <w:color w:val="auto"/>
              </w:rPr>
            </w:pPr>
            <w:r>
              <w:rPr>
                <w:rFonts w:ascii="Arial" w:cs="Arial" w:eastAsia="Arial" w:hAnsi="Arial"/>
                <w:sz w:val="15"/>
                <w:szCs w:val="15"/>
                <w:color w:val="auto"/>
              </w:rPr>
              <w:t>—   $</w:t>
            </w:r>
          </w:p>
        </w:tc>
        <w:tc>
          <w:tcPr>
            <w:tcW w:w="1660" w:type="dxa"/>
            <w:vAlign w:val="bottom"/>
            <w:gridSpan w:val="2"/>
          </w:tcPr>
          <w:p>
            <w:pPr>
              <w:ind w:left="1140"/>
              <w:spacing w:after="0"/>
              <w:rPr>
                <w:sz w:val="20"/>
                <w:szCs w:val="20"/>
                <w:color w:val="auto"/>
              </w:rPr>
            </w:pPr>
            <w:r>
              <w:rPr>
                <w:rFonts w:ascii="Arial" w:cs="Arial" w:eastAsia="Arial" w:hAnsi="Arial"/>
                <w:sz w:val="15"/>
                <w:szCs w:val="15"/>
                <w:color w:val="auto"/>
              </w:rPr>
              <w:t>—   $</w:t>
            </w: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Restoration Plan</w:t>
            </w: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155,000</w:t>
            </w:r>
          </w:p>
        </w:tc>
        <w:tc>
          <w:tcPr>
            <w:tcW w:w="28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5"/>
                <w:szCs w:val="15"/>
                <w:color w:val="auto"/>
              </w:rPr>
              <w:t>43,400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(79,069)</w:t>
            </w:r>
          </w:p>
        </w:tc>
        <w:tc>
          <w:tcPr>
            <w:tcW w:w="30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745,617</w:t>
            </w:r>
          </w:p>
        </w:tc>
        <w:tc>
          <w:tcPr>
            <w:tcW w:w="0" w:type="dxa"/>
            <w:vAlign w:val="bottom"/>
          </w:tcPr>
          <w:p>
            <w:pPr>
              <w:spacing w:after="0"/>
              <w:rPr>
                <w:sz w:val="1"/>
                <w:szCs w:val="1"/>
                <w:color w:val="auto"/>
              </w:rPr>
            </w:pPr>
          </w:p>
        </w:tc>
      </w:tr>
      <w:tr>
        <w:trPr>
          <w:trHeight w:val="194"/>
        </w:trPr>
        <w:tc>
          <w:tcPr>
            <w:tcW w:w="2090" w:type="dxa"/>
            <w:vAlign w:val="bottom"/>
            <w:shd w:val="clear" w:color="auto" w:fill="DBDBDB"/>
          </w:tcPr>
          <w:p>
            <w:pPr>
              <w:ind w:left="120"/>
              <w:spacing w:after="0"/>
              <w:rPr>
                <w:sz w:val="20"/>
                <w:szCs w:val="20"/>
                <w:color w:val="auto"/>
              </w:rPr>
            </w:pPr>
            <w:r>
              <w:rPr>
                <w:rFonts w:ascii="Arial" w:cs="Arial" w:eastAsia="Arial" w:hAnsi="Arial"/>
                <w:sz w:val="15"/>
                <w:szCs w:val="15"/>
                <w:color w:val="auto"/>
              </w:rPr>
              <w:t>Robb A. LeMasters</w:t>
            </w:r>
          </w:p>
        </w:tc>
        <w:tc>
          <w:tcPr>
            <w:tcW w:w="90" w:type="dxa"/>
            <w:vAlign w:val="bottom"/>
            <w:shd w:val="clear" w:color="auto" w:fill="DBDBDB"/>
          </w:tcPr>
          <w:p>
            <w:pPr>
              <w:spacing w:after="0"/>
              <w:rPr>
                <w:sz w:val="16"/>
                <w:szCs w:val="16"/>
                <w:color w:val="auto"/>
              </w:rPr>
            </w:pPr>
          </w:p>
        </w:tc>
        <w:tc>
          <w:tcPr>
            <w:tcW w:w="17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SERP</w:t>
            </w:r>
          </w:p>
        </w:tc>
        <w:tc>
          <w:tcPr>
            <w:tcW w:w="160" w:type="dxa"/>
            <w:vAlign w:val="bottom"/>
            <w:shd w:val="clear" w:color="auto" w:fill="DBDBDB"/>
          </w:tcPr>
          <w:p>
            <w:pPr>
              <w:spacing w:after="0"/>
              <w:rPr>
                <w:sz w:val="16"/>
                <w:szCs w:val="16"/>
                <w:color w:val="auto"/>
              </w:rPr>
            </w:pPr>
          </w:p>
        </w:tc>
        <w:tc>
          <w:tcPr>
            <w:tcW w:w="142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90" w:type="dxa"/>
            <w:vAlign w:val="bottom"/>
            <w:shd w:val="clear" w:color="auto" w:fill="DBDBDB"/>
          </w:tcPr>
          <w:p>
            <w:pPr>
              <w:spacing w:after="0"/>
              <w:rPr>
                <w:sz w:val="17"/>
                <w:szCs w:val="17"/>
                <w:color w:val="auto"/>
              </w:rPr>
            </w:pPr>
          </w:p>
        </w:tc>
        <w:tc>
          <w:tcPr>
            <w:tcW w:w="9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Restoration Plan</w:t>
            </w: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48,750</w:t>
            </w: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11,700</w:t>
            </w: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(6,015)</w:t>
            </w:r>
          </w:p>
        </w:tc>
        <w:tc>
          <w:tcPr>
            <w:tcW w:w="300" w:type="dxa"/>
            <w:vAlign w:val="bottom"/>
            <w:shd w:val="clear" w:color="auto" w:fill="DBDBDB"/>
          </w:tcPr>
          <w:p>
            <w:pPr>
              <w:spacing w:after="0"/>
              <w:rPr>
                <w:sz w:val="17"/>
                <w:szCs w:val="17"/>
                <w:color w:val="auto"/>
              </w:rPr>
            </w:pPr>
          </w:p>
        </w:tc>
        <w:tc>
          <w:tcPr>
            <w:tcW w:w="13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106,258</w:t>
            </w:r>
          </w:p>
        </w:tc>
        <w:tc>
          <w:tcPr>
            <w:tcW w:w="0" w:type="dxa"/>
            <w:vAlign w:val="bottom"/>
          </w:tcPr>
          <w:p>
            <w:pPr>
              <w:spacing w:after="0"/>
              <w:rPr>
                <w:sz w:val="1"/>
                <w:szCs w:val="1"/>
                <w:color w:val="auto"/>
              </w:rPr>
            </w:pPr>
          </w:p>
        </w:tc>
      </w:tr>
      <w:tr>
        <w:trPr>
          <w:trHeight w:val="192"/>
        </w:trPr>
        <w:tc>
          <w:tcPr>
            <w:tcW w:w="2090" w:type="dxa"/>
            <w:vAlign w:val="bottom"/>
          </w:tcPr>
          <w:p>
            <w:pPr>
              <w:ind w:left="120"/>
              <w:spacing w:after="0"/>
              <w:rPr>
                <w:sz w:val="20"/>
                <w:szCs w:val="20"/>
                <w:color w:val="auto"/>
              </w:rPr>
            </w:pPr>
            <w:r>
              <w:rPr>
                <w:rFonts w:ascii="Arial" w:cs="Arial" w:eastAsia="Arial" w:hAnsi="Arial"/>
                <w:sz w:val="15"/>
                <w:szCs w:val="15"/>
                <w:color w:val="auto"/>
              </w:rPr>
              <w:t>Thomas E. McCabe</w:t>
            </w:r>
          </w:p>
        </w:tc>
        <w:tc>
          <w:tcPr>
            <w:tcW w:w="9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SERP</w:t>
            </w:r>
          </w:p>
        </w:tc>
        <w:tc>
          <w:tcPr>
            <w:tcW w:w="16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209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Restoration Plan</w:t>
            </w:r>
          </w:p>
        </w:tc>
        <w:tc>
          <w:tcPr>
            <w:tcW w:w="16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5"/>
                <w:szCs w:val="15"/>
                <w:color w:val="auto"/>
              </w:rPr>
              <w:t>60,000</w:t>
            </w:r>
          </w:p>
        </w:tc>
        <w:tc>
          <w:tcPr>
            <w:tcW w:w="280" w:type="dxa"/>
            <w:vAlign w:val="bottom"/>
          </w:tcPr>
          <w:p>
            <w:pPr>
              <w:spacing w:after="0"/>
              <w:rPr>
                <w:sz w:val="17"/>
                <w:szCs w:val="17"/>
                <w:color w:val="auto"/>
              </w:rPr>
            </w:pPr>
          </w:p>
        </w:tc>
        <w:tc>
          <w:tcPr>
            <w:tcW w:w="1180" w:type="dxa"/>
            <w:vAlign w:val="bottom"/>
          </w:tcPr>
          <w:p>
            <w:pPr>
              <w:jc w:val="right"/>
              <w:ind w:right="8"/>
              <w:spacing w:after="0"/>
              <w:rPr>
                <w:sz w:val="20"/>
                <w:szCs w:val="20"/>
                <w:color w:val="auto"/>
              </w:rPr>
            </w:pPr>
            <w:r>
              <w:rPr>
                <w:rFonts w:ascii="Arial" w:cs="Arial" w:eastAsia="Arial" w:hAnsi="Arial"/>
                <w:sz w:val="15"/>
                <w:szCs w:val="15"/>
                <w:color w:val="auto"/>
              </w:rPr>
              <w:t>14,400</w:t>
            </w:r>
          </w:p>
        </w:tc>
        <w:tc>
          <w:tcPr>
            <w:tcW w:w="2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(24,704)</w:t>
            </w:r>
          </w:p>
        </w:tc>
        <w:tc>
          <w:tcPr>
            <w:tcW w:w="300" w:type="dxa"/>
            <w:vAlign w:val="bottom"/>
          </w:tcPr>
          <w:p>
            <w:pPr>
              <w:spacing w:after="0"/>
              <w:rPr>
                <w:sz w:val="17"/>
                <w:szCs w:val="17"/>
                <w:color w:val="auto"/>
              </w:rPr>
            </w:pP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234,736</w:t>
            </w:r>
          </w:p>
        </w:tc>
        <w:tc>
          <w:tcPr>
            <w:tcW w:w="0" w:type="dxa"/>
            <w:vAlign w:val="bottom"/>
          </w:tcPr>
          <w:p>
            <w:pPr>
              <w:spacing w:after="0"/>
              <w:rPr>
                <w:sz w:val="1"/>
                <w:szCs w:val="1"/>
                <w:color w:val="auto"/>
              </w:rPr>
            </w:pPr>
          </w:p>
        </w:tc>
      </w:tr>
      <w:tr>
        <w:trPr>
          <w:trHeight w:val="194"/>
        </w:trPr>
        <w:tc>
          <w:tcPr>
            <w:tcW w:w="2090" w:type="dxa"/>
            <w:vAlign w:val="bottom"/>
            <w:shd w:val="clear" w:color="auto" w:fill="DBDBDB"/>
          </w:tcPr>
          <w:p>
            <w:pPr>
              <w:ind w:left="120"/>
              <w:spacing w:after="0"/>
              <w:rPr>
                <w:sz w:val="20"/>
                <w:szCs w:val="20"/>
                <w:color w:val="auto"/>
              </w:rPr>
            </w:pPr>
            <w:r>
              <w:rPr>
                <w:rFonts w:ascii="Arial" w:cs="Arial" w:eastAsia="Arial" w:hAnsi="Arial"/>
                <w:sz w:val="15"/>
                <w:szCs w:val="15"/>
                <w:color w:val="auto"/>
              </w:rPr>
              <w:t>Kevin M. McCoy</w:t>
            </w:r>
          </w:p>
        </w:tc>
        <w:tc>
          <w:tcPr>
            <w:tcW w:w="90" w:type="dxa"/>
            <w:vAlign w:val="bottom"/>
            <w:shd w:val="clear" w:color="auto" w:fill="DBDBDB"/>
          </w:tcPr>
          <w:p>
            <w:pPr>
              <w:spacing w:after="0"/>
              <w:rPr>
                <w:sz w:val="16"/>
                <w:szCs w:val="16"/>
                <w:color w:val="auto"/>
              </w:rPr>
            </w:pPr>
          </w:p>
        </w:tc>
        <w:tc>
          <w:tcPr>
            <w:tcW w:w="17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SERP</w:t>
            </w:r>
          </w:p>
        </w:tc>
        <w:tc>
          <w:tcPr>
            <w:tcW w:w="160" w:type="dxa"/>
            <w:vAlign w:val="bottom"/>
            <w:shd w:val="clear" w:color="auto" w:fill="DBDBDB"/>
          </w:tcPr>
          <w:p>
            <w:pPr>
              <w:spacing w:after="0"/>
              <w:rPr>
                <w:sz w:val="16"/>
                <w:szCs w:val="16"/>
                <w:color w:val="auto"/>
              </w:rPr>
            </w:pPr>
          </w:p>
        </w:tc>
        <w:tc>
          <w:tcPr>
            <w:tcW w:w="1420" w:type="dxa"/>
            <w:vAlign w:val="bottom"/>
            <w:gridSpan w:val="2"/>
            <w:shd w:val="clear" w:color="auto" w:fill="DBDBDB"/>
          </w:tcPr>
          <w:p>
            <w:pPr>
              <w:jc w:val="right"/>
              <w:ind w:right="360"/>
              <w:spacing w:after="0"/>
              <w:rPr>
                <w:sz w:val="20"/>
                <w:szCs w:val="20"/>
                <w:color w:val="auto"/>
              </w:rPr>
            </w:pPr>
            <w:r>
              <w:rPr>
                <w:rFonts w:ascii="Arial" w:cs="Arial" w:eastAsia="Arial" w:hAnsi="Arial"/>
                <w:sz w:val="15"/>
                <w:szCs w:val="15"/>
                <w:color w:val="auto"/>
              </w:rPr>
              <w:t>—</w:t>
            </w:r>
          </w:p>
        </w:tc>
        <w:tc>
          <w:tcPr>
            <w:tcW w:w="1380" w:type="dxa"/>
            <w:vAlign w:val="bottom"/>
            <w:gridSpan w:val="2"/>
            <w:shd w:val="clear" w:color="auto" w:fill="DBDBDB"/>
          </w:tcPr>
          <w:p>
            <w:pPr>
              <w:jc w:val="right"/>
              <w:ind w:right="2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DBDBDB"/>
          </w:tcPr>
          <w:p>
            <w:pPr>
              <w:ind w:left="1140"/>
              <w:spacing w:after="0"/>
              <w:rPr>
                <w:sz w:val="20"/>
                <w:szCs w:val="20"/>
                <w:color w:val="auto"/>
              </w:rPr>
            </w:pPr>
            <w:r>
              <w:rPr>
                <w:rFonts w:ascii="Arial" w:cs="Arial" w:eastAsia="Arial" w:hAnsi="Arial"/>
                <w:sz w:val="15"/>
                <w:szCs w:val="15"/>
                <w:color w:val="auto"/>
              </w:rPr>
              <w:t>—</w:t>
            </w:r>
          </w:p>
        </w:tc>
        <w:tc>
          <w:tcPr>
            <w:tcW w:w="13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090" w:type="dxa"/>
            <w:vAlign w:val="bottom"/>
            <w:shd w:val="clear" w:color="auto" w:fill="DBDBDB"/>
          </w:tcPr>
          <w:p>
            <w:pPr>
              <w:spacing w:after="0"/>
              <w:rPr>
                <w:sz w:val="17"/>
                <w:szCs w:val="17"/>
                <w:color w:val="auto"/>
              </w:rPr>
            </w:pPr>
          </w:p>
        </w:tc>
        <w:tc>
          <w:tcPr>
            <w:tcW w:w="90" w:type="dxa"/>
            <w:vAlign w:val="bottom"/>
            <w:shd w:val="clear" w:color="auto" w:fill="DBDBDB"/>
          </w:tcPr>
          <w:p>
            <w:pPr>
              <w:spacing w:after="0"/>
              <w:rPr>
                <w:sz w:val="17"/>
                <w:szCs w:val="17"/>
                <w:color w:val="auto"/>
              </w:rPr>
            </w:pPr>
          </w:p>
        </w:tc>
        <w:tc>
          <w:tcPr>
            <w:tcW w:w="1700" w:type="dxa"/>
            <w:vAlign w:val="bottom"/>
            <w:gridSpan w:val="2"/>
            <w:shd w:val="clear" w:color="auto" w:fill="DBDBDB"/>
          </w:tcPr>
          <w:p>
            <w:pPr>
              <w:ind w:left="20"/>
              <w:spacing w:after="0"/>
              <w:rPr>
                <w:sz w:val="20"/>
                <w:szCs w:val="20"/>
                <w:color w:val="auto"/>
              </w:rPr>
            </w:pPr>
            <w:r>
              <w:rPr>
                <w:rFonts w:ascii="Arial" w:cs="Arial" w:eastAsia="Arial" w:hAnsi="Arial"/>
                <w:sz w:val="15"/>
                <w:szCs w:val="15"/>
                <w:color w:val="auto"/>
              </w:rPr>
              <w:t>Restoration Plan</w:t>
            </w:r>
          </w:p>
        </w:tc>
        <w:tc>
          <w:tcPr>
            <w:tcW w:w="160" w:type="dxa"/>
            <w:vAlign w:val="bottom"/>
            <w:shd w:val="clear" w:color="auto" w:fill="DBDBDB"/>
          </w:tcPr>
          <w:p>
            <w:pPr>
              <w:spacing w:after="0"/>
              <w:rPr>
                <w:sz w:val="17"/>
                <w:szCs w:val="17"/>
                <w:color w:val="auto"/>
              </w:rPr>
            </w:pPr>
          </w:p>
        </w:tc>
        <w:tc>
          <w:tcPr>
            <w:tcW w:w="114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25,800</w:t>
            </w:r>
          </w:p>
        </w:tc>
        <w:tc>
          <w:tcPr>
            <w:tcW w:w="280" w:type="dxa"/>
            <w:vAlign w:val="bottom"/>
            <w:shd w:val="clear" w:color="auto" w:fill="DBDBDB"/>
          </w:tcPr>
          <w:p>
            <w:pPr>
              <w:spacing w:after="0"/>
              <w:rPr>
                <w:sz w:val="17"/>
                <w:szCs w:val="17"/>
                <w:color w:val="auto"/>
              </w:rPr>
            </w:pPr>
          </w:p>
        </w:tc>
        <w:tc>
          <w:tcPr>
            <w:tcW w:w="11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25,800</w:t>
            </w:r>
          </w:p>
        </w:tc>
        <w:tc>
          <w:tcPr>
            <w:tcW w:w="200" w:type="dxa"/>
            <w:vAlign w:val="bottom"/>
            <w:shd w:val="clear" w:color="auto" w:fill="DBDBDB"/>
          </w:tcPr>
          <w:p>
            <w:pPr>
              <w:spacing w:after="0"/>
              <w:rPr>
                <w:sz w:val="17"/>
                <w:szCs w:val="17"/>
                <w:color w:val="auto"/>
              </w:rPr>
            </w:pPr>
          </w:p>
        </w:tc>
        <w:tc>
          <w:tcPr>
            <w:tcW w:w="13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(4,194)</w:t>
            </w:r>
          </w:p>
        </w:tc>
        <w:tc>
          <w:tcPr>
            <w:tcW w:w="300" w:type="dxa"/>
            <w:vAlign w:val="bottom"/>
            <w:shd w:val="clear" w:color="auto" w:fill="DBDBDB"/>
          </w:tcPr>
          <w:p>
            <w:pPr>
              <w:spacing w:after="0"/>
              <w:rPr>
                <w:sz w:val="17"/>
                <w:szCs w:val="17"/>
                <w:color w:val="auto"/>
              </w:rPr>
            </w:pPr>
          </w:p>
        </w:tc>
        <w:tc>
          <w:tcPr>
            <w:tcW w:w="1320" w:type="dxa"/>
            <w:vAlign w:val="bottom"/>
            <w:shd w:val="clear" w:color="auto" w:fill="DBDBDB"/>
          </w:tcPr>
          <w:p>
            <w:pPr>
              <w:ind w:left="1000"/>
              <w:spacing w:after="0"/>
              <w:rPr>
                <w:sz w:val="20"/>
                <w:szCs w:val="20"/>
                <w:color w:val="auto"/>
              </w:rPr>
            </w:pPr>
            <w:r>
              <w:rPr>
                <w:rFonts w:ascii="Arial" w:cs="Arial" w:eastAsia="Arial" w:hAnsi="Arial"/>
                <w:sz w:val="15"/>
                <w:szCs w:val="15"/>
                <w:color w:val="auto"/>
              </w:rPr>
              <w:t>—</w:t>
            </w:r>
          </w:p>
        </w:tc>
        <w:tc>
          <w:tcPr>
            <w:tcW w:w="16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8"/>
              <w:spacing w:after="0"/>
              <w:rPr>
                <w:sz w:val="20"/>
                <w:szCs w:val="20"/>
                <w:color w:val="auto"/>
              </w:rPr>
            </w:pPr>
            <w:r>
              <w:rPr>
                <w:rFonts w:ascii="Arial" w:cs="Arial" w:eastAsia="Arial" w:hAnsi="Arial"/>
                <w:sz w:val="15"/>
                <w:szCs w:val="15"/>
                <w:color w:val="auto"/>
              </w:rPr>
              <w:t>71,914</w:t>
            </w:r>
          </w:p>
        </w:tc>
        <w:tc>
          <w:tcPr>
            <w:tcW w:w="0" w:type="dxa"/>
            <w:vAlign w:val="bottom"/>
          </w:tcPr>
          <w:p>
            <w:pPr>
              <w:spacing w:after="0"/>
              <w:rPr>
                <w:sz w:val="1"/>
                <w:szCs w:val="1"/>
                <w:color w:val="auto"/>
              </w:rPr>
            </w:pPr>
          </w:p>
        </w:tc>
      </w:tr>
      <w:tr>
        <w:trPr>
          <w:trHeight w:val="192"/>
        </w:trPr>
        <w:tc>
          <w:tcPr>
            <w:tcW w:w="2090" w:type="dxa"/>
            <w:vAlign w:val="bottom"/>
          </w:tcPr>
          <w:p>
            <w:pPr>
              <w:ind w:left="120"/>
              <w:spacing w:after="0"/>
              <w:rPr>
                <w:sz w:val="20"/>
                <w:szCs w:val="20"/>
                <w:color w:val="auto"/>
              </w:rPr>
            </w:pPr>
            <w:r>
              <w:rPr>
                <w:rFonts w:ascii="Arial" w:cs="Arial" w:eastAsia="Arial" w:hAnsi="Arial"/>
                <w:sz w:val="15"/>
                <w:szCs w:val="15"/>
                <w:color w:val="auto"/>
              </w:rPr>
              <w:t>Robert L. Duffy</w:t>
            </w:r>
          </w:p>
        </w:tc>
        <w:tc>
          <w:tcPr>
            <w:tcW w:w="9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SERP</w:t>
            </w:r>
          </w:p>
        </w:tc>
        <w:tc>
          <w:tcPr>
            <w:tcW w:w="16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2090" w:type="dxa"/>
            <w:vAlign w:val="bottom"/>
          </w:tcPr>
          <w:p>
            <w:pPr>
              <w:spacing w:after="0"/>
              <w:rPr>
                <w:sz w:val="16"/>
                <w:szCs w:val="16"/>
                <w:color w:val="auto"/>
              </w:rPr>
            </w:pPr>
          </w:p>
        </w:tc>
        <w:tc>
          <w:tcPr>
            <w:tcW w:w="90" w:type="dxa"/>
            <w:vAlign w:val="bottom"/>
          </w:tcPr>
          <w:p>
            <w:pPr>
              <w:spacing w:after="0"/>
              <w:rPr>
                <w:sz w:val="16"/>
                <w:szCs w:val="16"/>
                <w:color w:val="auto"/>
              </w:rPr>
            </w:pPr>
          </w:p>
        </w:tc>
        <w:tc>
          <w:tcPr>
            <w:tcW w:w="1700" w:type="dxa"/>
            <w:vAlign w:val="bottom"/>
            <w:gridSpan w:val="2"/>
          </w:tcPr>
          <w:p>
            <w:pPr>
              <w:ind w:left="20"/>
              <w:spacing w:after="0"/>
              <w:rPr>
                <w:sz w:val="20"/>
                <w:szCs w:val="20"/>
                <w:color w:val="auto"/>
              </w:rPr>
            </w:pPr>
            <w:r>
              <w:rPr>
                <w:rFonts w:ascii="Arial" w:cs="Arial" w:eastAsia="Arial" w:hAnsi="Arial"/>
                <w:sz w:val="15"/>
                <w:szCs w:val="15"/>
                <w:color w:val="auto"/>
              </w:rPr>
              <w:t>Restoration Plan</w:t>
            </w:r>
          </w:p>
        </w:tc>
        <w:tc>
          <w:tcPr>
            <w:tcW w:w="160" w:type="dxa"/>
            <w:vAlign w:val="bottom"/>
          </w:tcPr>
          <w:p>
            <w:pPr>
              <w:spacing w:after="0"/>
              <w:rPr>
                <w:sz w:val="16"/>
                <w:szCs w:val="16"/>
                <w:color w:val="auto"/>
              </w:rPr>
            </w:pPr>
          </w:p>
        </w:tc>
        <w:tc>
          <w:tcPr>
            <w:tcW w:w="1420" w:type="dxa"/>
            <w:vAlign w:val="bottom"/>
            <w:gridSpan w:val="2"/>
          </w:tcPr>
          <w:p>
            <w:pPr>
              <w:jc w:val="right"/>
              <w:ind w:right="360"/>
              <w:spacing w:after="0"/>
              <w:rPr>
                <w:sz w:val="20"/>
                <w:szCs w:val="20"/>
                <w:color w:val="auto"/>
              </w:rPr>
            </w:pPr>
            <w:r>
              <w:rPr>
                <w:rFonts w:ascii="Arial" w:cs="Arial" w:eastAsia="Arial" w:hAnsi="Arial"/>
                <w:sz w:val="15"/>
                <w:szCs w:val="15"/>
                <w:color w:val="auto"/>
              </w:rPr>
              <w:t>—</w:t>
            </w:r>
          </w:p>
        </w:tc>
        <w:tc>
          <w:tcPr>
            <w:tcW w:w="13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ind w:left="1140"/>
              <w:spacing w:after="0"/>
              <w:rPr>
                <w:sz w:val="20"/>
                <w:szCs w:val="20"/>
                <w:color w:val="auto"/>
              </w:rPr>
            </w:pPr>
            <w:r>
              <w:rPr>
                <w:rFonts w:ascii="Arial" w:cs="Arial" w:eastAsia="Arial" w:hAnsi="Arial"/>
                <w:sz w:val="15"/>
                <w:szCs w:val="15"/>
                <w:color w:val="auto"/>
              </w:rPr>
              <w:t>—</w:t>
            </w:r>
          </w:p>
        </w:tc>
        <w:tc>
          <w:tcPr>
            <w:tcW w:w="1320" w:type="dxa"/>
            <w:vAlign w:val="bottom"/>
          </w:tcPr>
          <w:p>
            <w:pPr>
              <w:ind w:left="100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b w:val="1"/>
          <w:bCs w:val="1"/>
          <w:i w:val="1"/>
          <w:iCs w:val="1"/>
          <w:color w:val="auto"/>
        </w:rPr>
        <w:t xml:space="preserve">SERP. </w:t>
      </w:r>
      <w:r>
        <w:rPr>
          <w:rFonts w:ascii="Arial" w:cs="Arial" w:eastAsia="Arial" w:hAnsi="Arial"/>
          <w:sz w:val="16"/>
          <w:szCs w:val="16"/>
          <w:color w:val="auto"/>
        </w:rPr>
        <w:t>For 2022, participants could elect to defer the payment of certain compensation earned from us. Under our SERP, any amounts deferred by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 are maintained in a notional account separate from the account into which we make annual contributions. We refer to this separate account as a participant’s deferral account. Participants are 100% vested in their deferral accounts at all times. None of the Named Executives contributed to the SERP in 2022.</w:t>
      </w:r>
    </w:p>
    <w:p>
      <w:pPr>
        <w:spacing w:after="0" w:line="46"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i w:val="1"/>
          <w:iCs w:val="1"/>
          <w:color w:val="auto"/>
        </w:rPr>
        <w:t>Restoration Plan</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Restoration Plan is an unfunded, nonqualified defined contribution plan through which we provide annual contributions to each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participant’s notional accounts, which we refer to as a participant’s company matching account and company service-based account. Participants include our Named Executives and other employees of our Company whose base salary exceeds certain compensation limits imposed by the Internal Revenue Code. Benefits under our Restoration Plan are based on a participant’s vested percentage in his or her notional account balance at the time of distribution. Each participant generally vests 100% in his or her company matching account and company service-based account upon completing three years of service with our Company, subject to accelerated vesting for death, disability, termination by the Company without cause, retirement or on a change in control.</w:t>
      </w:r>
    </w:p>
    <w:p>
      <w:pPr>
        <w:spacing w:after="0" w:line="37" w:lineRule="exact"/>
        <w:rPr>
          <w:sz w:val="20"/>
          <w:szCs w:val="20"/>
          <w:color w:val="auto"/>
        </w:rPr>
      </w:pPr>
    </w:p>
    <w:p>
      <w:pPr>
        <w:jc w:val="both"/>
        <w:ind w:right="20"/>
        <w:spacing w:after="0" w:line="274" w:lineRule="auto"/>
        <w:rPr>
          <w:sz w:val="20"/>
          <w:szCs w:val="20"/>
          <w:color w:val="auto"/>
        </w:rPr>
      </w:pPr>
      <w:r>
        <w:rPr>
          <w:rFonts w:ascii="Arial" w:cs="Arial" w:eastAsia="Arial" w:hAnsi="Arial"/>
          <w:sz w:val="16"/>
          <w:szCs w:val="16"/>
          <w:color w:val="auto"/>
        </w:rPr>
        <w:t>Participants in our Restoration Plan may elect to defer the payment of certain compensation earned from us that is in excess of limits imposed by the Internal Revenue Code. As with our SERP, any amounts deferred by a participant in the Restoration Plan are reflected in a notional deferral account that is separate from the participant’s company matching and service-based accounts. Participants are 100% vested in their deferral accounts at all times.</w:t>
      </w:r>
    </w:p>
    <w:p>
      <w:pPr>
        <w:spacing w:after="0" w:line="40"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b w:val="1"/>
          <w:bCs w:val="1"/>
          <w:i w:val="1"/>
          <w:iCs w:val="1"/>
          <w:color w:val="auto"/>
        </w:rPr>
        <w:t>Executive Contributions</w:t>
      </w:r>
      <w:r>
        <w:rPr>
          <w:rFonts w:ascii="Arial" w:cs="Arial" w:eastAsia="Arial" w:hAnsi="Arial"/>
          <w:sz w:val="16"/>
          <w:szCs w:val="16"/>
          <w:color w:val="auto"/>
        </w:rPr>
        <w:t>. Under our SERP, a Named Executive may elect to defer up to 50% of his or her annual salary and/or up to 100% of any bonus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earned in any plan year and a member of the Board may elect to defer up to 100% of his or her retainers earned in any plan year. Although participants were permitted to contribute all or a portion of their 2022 EICP bonuses to their SERP accounts, the amounts reported in this table as “Executive Contributions" do not include any contributions of any 2022 EICP awards because EICP awards earned in 2022 are not paid until 2023. There were no contributions to the SERP by Named Executives in 2022.</w:t>
      </w:r>
    </w:p>
    <w:p>
      <w:pPr>
        <w:spacing w:after="0" w:line="35" w:lineRule="exact"/>
        <w:rPr>
          <w:sz w:val="20"/>
          <w:szCs w:val="20"/>
          <w:color w:val="auto"/>
        </w:rPr>
      </w:pPr>
    </w:p>
    <w:p>
      <w:pPr>
        <w:ind w:right="40"/>
        <w:spacing w:after="0" w:line="274" w:lineRule="auto"/>
        <w:rPr>
          <w:sz w:val="20"/>
          <w:szCs w:val="20"/>
          <w:color w:val="auto"/>
        </w:rPr>
      </w:pPr>
      <w:r>
        <w:rPr>
          <w:rFonts w:ascii="Arial" w:cs="Arial" w:eastAsia="Arial" w:hAnsi="Arial"/>
          <w:sz w:val="16"/>
          <w:szCs w:val="16"/>
          <w:color w:val="auto"/>
        </w:rPr>
        <w:t>All of our Named Executives except for Robert Duffy contributed to their Restoration Plan deferral accounts in 2022. Our Restoration Plan allows participants to defer a percentage of their base salary in excess of the Internal Revenue Code Section 401(a)(17) compensation limit, and receive company matching contributions with respect to those deferrals.</w:t>
      </w:r>
    </w:p>
    <w:p>
      <w:pPr>
        <w:spacing w:after="0" w:line="40" w:lineRule="exact"/>
        <w:rPr>
          <w:sz w:val="20"/>
          <w:szCs w:val="20"/>
          <w:color w:val="auto"/>
        </w:rPr>
      </w:pPr>
    </w:p>
    <w:p>
      <w:pPr>
        <w:ind w:right="160"/>
        <w:spacing w:after="0" w:line="262" w:lineRule="auto"/>
        <w:rPr>
          <w:sz w:val="20"/>
          <w:szCs w:val="20"/>
          <w:color w:val="auto"/>
        </w:rPr>
      </w:pPr>
      <w:r>
        <w:rPr>
          <w:rFonts w:ascii="Arial" w:cs="Arial" w:eastAsia="Arial" w:hAnsi="Arial"/>
          <w:sz w:val="16"/>
          <w:szCs w:val="16"/>
          <w:b w:val="1"/>
          <w:bCs w:val="1"/>
          <w:i w:val="1"/>
          <w:iCs w:val="1"/>
          <w:color w:val="auto"/>
        </w:rPr>
        <w:t>Registrant Contributions</w:t>
      </w:r>
      <w:r>
        <w:rPr>
          <w:rFonts w:ascii="Arial" w:cs="Arial" w:eastAsia="Arial" w:hAnsi="Arial"/>
          <w:sz w:val="16"/>
          <w:szCs w:val="16"/>
          <w:color w:val="auto"/>
        </w:rPr>
        <w:t>. Our Company no longer makes company contributions to our Named Executives' SERP accounts. Under our Restoration Plan,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Company makes notional matching and service-based contributions to eligible participants’ company matching account and serviced-based account, respectively. Any Restoration Plan participants who have elected to make deferral contributions under our Restoration Plan are credited with a company matching contribution equal to 50% of the first 6% of their deferral contribution. For each participant in our Restoration Plan, we also make a cash service-based contribution to the participant’s company service-based account. The amount of this service-based contribution is based on a percentage of the participant’s eligible</w:t>
      </w:r>
    </w:p>
    <w:p>
      <w:pPr>
        <w:spacing w:after="0" w:line="322"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44 </w:t>
      </w:r>
      <w:r>
        <w:rPr>
          <w:sz w:val="1"/>
          <w:szCs w:val="1"/>
          <w:color w:val="auto"/>
        </w:rPr>
        <w:drawing>
          <wp:inline distT="0" distB="0" distL="0" distR="0">
            <wp:extent cx="401955" cy="162560"/>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6" w:name="page57"/>
    <w:bookmarkEnd w:id="56"/>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58876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887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right="200"/>
        <w:spacing w:after="0" w:line="274" w:lineRule="auto"/>
        <w:rPr>
          <w:sz w:val="20"/>
          <w:szCs w:val="20"/>
          <w:color w:val="auto"/>
        </w:rPr>
      </w:pPr>
      <w:r>
        <w:rPr>
          <w:rFonts w:ascii="Arial" w:cs="Arial" w:eastAsia="Arial" w:hAnsi="Arial"/>
          <w:sz w:val="16"/>
          <w:szCs w:val="16"/>
          <w:color w:val="auto"/>
        </w:rPr>
        <w:t>compensation in excess of the Internal Revenue Code limit and ranges between 3% and 8%, depending on the participant’s years of service. This service-based contribution is made regardless of whether the participant has elected to make deferral contributions under our Restoration Plan. All 2022 company contributions are included in the “Summary Compensation Table” above as “All Other Compensation.”</w:t>
      </w:r>
    </w:p>
    <w:p>
      <w:pPr>
        <w:spacing w:after="0" w:line="28"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b w:val="1"/>
          <w:bCs w:val="1"/>
          <w:i w:val="1"/>
          <w:iCs w:val="1"/>
          <w:color w:val="auto"/>
        </w:rPr>
        <w:t>Aggregate Earnings</w:t>
      </w:r>
      <w:r>
        <w:rPr>
          <w:rFonts w:ascii="Arial" w:cs="Arial" w:eastAsia="Arial" w:hAnsi="Arial"/>
          <w:sz w:val="16"/>
          <w:szCs w:val="16"/>
          <w:color w:val="auto"/>
        </w:rPr>
        <w:t>. The amounts reported in this column for our SERP and Restoration Plan represent hypothetical amounts of earnings or losses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dividends credited during 2022 on all accounts for each Named Executive under our SERP and Restoration Plan. Under our SERP and Restoration Plan, each participant elects to have his notional accounts hypothetically invested in one or more of the investment funds designated by our Compensation Committee. Each participant’s notional accounts are credited and debited to reflect gains and losses on the hypothetical investments. These gains and losses are not reported as compensation in the Summary Compensation Table.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Aggregate Withdrawals/Distributions</w:t>
      </w:r>
      <w:r>
        <w:rPr>
          <w:rFonts w:ascii="Arial" w:cs="Arial" w:eastAsia="Arial" w:hAnsi="Arial"/>
          <w:sz w:val="16"/>
          <w:szCs w:val="16"/>
          <w:color w:val="auto"/>
        </w:rPr>
        <w:t>. There were no withdrawals made by any of the Named Executives from the SERP or Restoration Plan in 2022.</w:t>
      </w:r>
    </w:p>
    <w:p>
      <w:pPr>
        <w:spacing w:after="0" w:line="9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b w:val="1"/>
          <w:bCs w:val="1"/>
          <w:i w:val="1"/>
          <w:iCs w:val="1"/>
          <w:color w:val="auto"/>
        </w:rPr>
        <w:t>Aggregate Balance at December 31, 2022</w:t>
      </w:r>
      <w:r>
        <w:rPr>
          <w:rFonts w:ascii="Arial" w:cs="Arial" w:eastAsia="Arial" w:hAnsi="Arial"/>
          <w:sz w:val="16"/>
          <w:szCs w:val="16"/>
          <w:color w:val="auto"/>
        </w:rPr>
        <w:t>. The aggregate balance of a participating Named Executive’s notional SERP account consists of contributions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made by us to the Named Executive’s company account, deferrals by the Named Executive to his deferral account, hypothetical credited gains or losses on those accounts and any aggregate withdrawals or distributions from the SERP account. The aggregate balance of a participating Named Executive’s notional Restoration Plan account consists of contributions made by us to the Named Executive’s company matching account and company service-based account, deferrals by the officer to his deferral account, hypothetical gains or losses on those accounts and any aggregate withdrawals or distributions from the Restoration Plan. The balances shown represent the accumulated account values (including gains and losses) for each Named Executive as of December 31, 2022. Messrs. Geveden and McCabe were each 100% vested in their Restoration Plan balance shown above. Messrs. LeMasters and McCoy were 100% vested in the employee contributions, but will not be vested in the company matching contributions until the third anniversary of service with the Company.</w:t>
      </w:r>
    </w:p>
    <w:p>
      <w:pPr>
        <w:spacing w:after="0" w:line="238" w:lineRule="exact"/>
        <w:rPr>
          <w:sz w:val="20"/>
          <w:szCs w:val="20"/>
          <w:color w:val="auto"/>
        </w:rPr>
      </w:pPr>
    </w:p>
    <w:p>
      <w:pPr>
        <w:ind w:right="160"/>
        <w:spacing w:after="0" w:line="274" w:lineRule="auto"/>
        <w:rPr>
          <w:sz w:val="20"/>
          <w:szCs w:val="20"/>
          <w:color w:val="auto"/>
        </w:rPr>
      </w:pPr>
      <w:r>
        <w:rPr>
          <w:rFonts w:ascii="Arial" w:cs="Arial" w:eastAsia="Arial" w:hAnsi="Arial"/>
          <w:sz w:val="16"/>
          <w:szCs w:val="16"/>
          <w:color w:val="auto"/>
        </w:rPr>
        <w:t>The SERP and Restoration Plan balances include contributions from previous years, which have been reported as compensation to the Named Executives in the Summary Compensation Table for those years – to the extent a Named Executive was included in the Summary Compensation Table during those years. The aggregate balances for the SERP and Restoration Plan for each Named Executive in the prior years are as follows:</w:t>
      </w:r>
    </w:p>
    <w:p>
      <w:pPr>
        <w:spacing w:after="0" w:line="81" w:lineRule="exact"/>
        <w:rPr>
          <w:sz w:val="20"/>
          <w:szCs w:val="20"/>
          <w:color w:val="auto"/>
        </w:rPr>
      </w:pPr>
    </w:p>
    <w:tbl>
      <w:tblPr>
        <w:tblLayout w:type="fixed"/>
        <w:tblInd w:w="3020" w:type="dxa"/>
        <w:tblCellMar>
          <w:top w:w="0" w:type="dxa"/>
          <w:left w:w="0" w:type="dxa"/>
          <w:bottom w:w="0" w:type="dxa"/>
          <w:right w:w="0" w:type="dxa"/>
        </w:tblCellMar>
      </w:tblPr>
      <w:tr>
        <w:trPr>
          <w:trHeight w:val="151"/>
        </w:trPr>
        <w:tc>
          <w:tcPr>
            <w:tcW w:w="1380" w:type="dxa"/>
            <w:vAlign w:val="bottom"/>
            <w:vMerge w:val="restart"/>
            <w:shd w:val="clear" w:color="auto" w:fill="000000"/>
          </w:tcPr>
          <w:p>
            <w:pPr>
              <w:ind w:left="160"/>
              <w:spacing w:after="0"/>
              <w:rPr>
                <w:sz w:val="20"/>
                <w:szCs w:val="20"/>
                <w:color w:val="auto"/>
              </w:rPr>
            </w:pPr>
            <w:r>
              <w:rPr>
                <w:rFonts w:ascii="Arial" w:cs="Arial" w:eastAsia="Arial" w:hAnsi="Arial"/>
                <w:sz w:val="13"/>
                <w:szCs w:val="13"/>
                <w:b w:val="1"/>
                <w:bCs w:val="1"/>
                <w:color w:val="FFFFFF"/>
              </w:rPr>
              <w:t>Named Executive</w:t>
            </w:r>
          </w:p>
        </w:tc>
        <w:tc>
          <w:tcPr>
            <w:tcW w:w="120" w:type="dxa"/>
            <w:vAlign w:val="bottom"/>
            <w:shd w:val="clear" w:color="auto" w:fill="000000"/>
          </w:tcPr>
          <w:p>
            <w:pPr>
              <w:spacing w:after="0"/>
              <w:rPr>
                <w:sz w:val="13"/>
                <w:szCs w:val="13"/>
                <w:color w:val="auto"/>
              </w:rPr>
            </w:pPr>
          </w:p>
        </w:tc>
        <w:tc>
          <w:tcPr>
            <w:tcW w:w="680" w:type="dxa"/>
            <w:vAlign w:val="bottom"/>
            <w:vMerge w:val="restart"/>
            <w:shd w:val="clear" w:color="auto" w:fill="000000"/>
          </w:tcPr>
          <w:p>
            <w:pPr>
              <w:jc w:val="right"/>
              <w:ind w:right="135"/>
              <w:spacing w:after="0"/>
              <w:rPr>
                <w:sz w:val="20"/>
                <w:szCs w:val="20"/>
                <w:color w:val="auto"/>
              </w:rPr>
            </w:pPr>
            <w:r>
              <w:rPr>
                <w:rFonts w:ascii="Arial" w:cs="Arial" w:eastAsia="Arial" w:hAnsi="Arial"/>
                <w:sz w:val="13"/>
                <w:szCs w:val="13"/>
                <w:b w:val="1"/>
                <w:bCs w:val="1"/>
                <w:color w:val="FFFFFF"/>
              </w:rPr>
              <w:t>Year</w:t>
            </w:r>
          </w:p>
        </w:tc>
        <w:tc>
          <w:tcPr>
            <w:tcW w:w="320" w:type="dxa"/>
            <w:vAlign w:val="bottom"/>
            <w:shd w:val="clear" w:color="auto" w:fill="000000"/>
          </w:tcPr>
          <w:p>
            <w:pPr>
              <w:spacing w:after="0"/>
              <w:rPr>
                <w:sz w:val="13"/>
                <w:szCs w:val="13"/>
                <w:color w:val="auto"/>
              </w:rPr>
            </w:pPr>
          </w:p>
        </w:tc>
        <w:tc>
          <w:tcPr>
            <w:tcW w:w="1300" w:type="dxa"/>
            <w:vAlign w:val="bottom"/>
            <w:shd w:val="clear" w:color="auto" w:fill="000000"/>
          </w:tcPr>
          <w:p>
            <w:pPr>
              <w:jc w:val="right"/>
              <w:ind w:right="388"/>
              <w:spacing w:after="0"/>
              <w:rPr>
                <w:sz w:val="20"/>
                <w:szCs w:val="20"/>
                <w:color w:val="auto"/>
              </w:rPr>
            </w:pPr>
            <w:r>
              <w:rPr>
                <w:rFonts w:ascii="Arial" w:cs="Arial" w:eastAsia="Arial" w:hAnsi="Arial"/>
                <w:sz w:val="13"/>
                <w:szCs w:val="13"/>
                <w:b w:val="1"/>
                <w:bCs w:val="1"/>
                <w:color w:val="FFFFFF"/>
              </w:rPr>
              <w:t>Restoration</w:t>
            </w:r>
          </w:p>
        </w:tc>
        <w:tc>
          <w:tcPr>
            <w:tcW w:w="320" w:type="dxa"/>
            <w:vAlign w:val="bottom"/>
            <w:shd w:val="clear" w:color="auto" w:fill="000000"/>
          </w:tcPr>
          <w:p>
            <w:pPr>
              <w:spacing w:after="0"/>
              <w:rPr>
                <w:sz w:val="13"/>
                <w:szCs w:val="13"/>
                <w:color w:val="auto"/>
              </w:rPr>
            </w:pPr>
          </w:p>
        </w:tc>
        <w:tc>
          <w:tcPr>
            <w:tcW w:w="1100" w:type="dxa"/>
            <w:vAlign w:val="bottom"/>
            <w:vMerge w:val="restart"/>
            <w:shd w:val="clear" w:color="auto" w:fill="000000"/>
          </w:tcPr>
          <w:p>
            <w:pPr>
              <w:ind w:left="220"/>
              <w:spacing w:after="0"/>
              <w:rPr>
                <w:sz w:val="20"/>
                <w:szCs w:val="20"/>
                <w:color w:val="auto"/>
              </w:rPr>
            </w:pPr>
            <w:r>
              <w:rPr>
                <w:rFonts w:ascii="Arial" w:cs="Arial" w:eastAsia="Arial" w:hAnsi="Arial"/>
                <w:sz w:val="13"/>
                <w:szCs w:val="13"/>
                <w:b w:val="1"/>
                <w:bCs w:val="1"/>
                <w:color w:val="FFFFFF"/>
              </w:rPr>
              <w:t>SERP</w:t>
            </w:r>
          </w:p>
        </w:tc>
        <w:tc>
          <w:tcPr>
            <w:tcW w:w="0" w:type="dxa"/>
            <w:vAlign w:val="bottom"/>
          </w:tcPr>
          <w:p>
            <w:pPr>
              <w:spacing w:after="0"/>
              <w:rPr>
                <w:sz w:val="1"/>
                <w:szCs w:val="1"/>
                <w:color w:val="auto"/>
              </w:rPr>
            </w:pPr>
          </w:p>
        </w:tc>
      </w:tr>
      <w:tr>
        <w:trPr>
          <w:trHeight w:val="178"/>
        </w:trPr>
        <w:tc>
          <w:tcPr>
            <w:tcW w:w="1380" w:type="dxa"/>
            <w:vAlign w:val="bottom"/>
            <w:vMerge w:val="continue"/>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680" w:type="dxa"/>
            <w:vAlign w:val="bottom"/>
            <w:vMerge w:val="continue"/>
            <w:shd w:val="clear" w:color="auto" w:fill="000000"/>
          </w:tcPr>
          <w:p>
            <w:pPr>
              <w:spacing w:after="0"/>
              <w:rPr>
                <w:sz w:val="15"/>
                <w:szCs w:val="15"/>
                <w:color w:val="auto"/>
              </w:rPr>
            </w:pPr>
          </w:p>
        </w:tc>
        <w:tc>
          <w:tcPr>
            <w:tcW w:w="320" w:type="dxa"/>
            <w:vAlign w:val="bottom"/>
            <w:shd w:val="clear" w:color="auto" w:fill="000000"/>
          </w:tcPr>
          <w:p>
            <w:pPr>
              <w:spacing w:after="0"/>
              <w:rPr>
                <w:sz w:val="15"/>
                <w:szCs w:val="15"/>
                <w:color w:val="auto"/>
              </w:rPr>
            </w:pPr>
          </w:p>
        </w:tc>
        <w:tc>
          <w:tcPr>
            <w:tcW w:w="1300" w:type="dxa"/>
            <w:vAlign w:val="bottom"/>
            <w:shd w:val="clear" w:color="auto" w:fill="000000"/>
          </w:tcPr>
          <w:p>
            <w:pPr>
              <w:jc w:val="right"/>
              <w:ind w:right="588"/>
              <w:spacing w:after="0"/>
              <w:rPr>
                <w:sz w:val="20"/>
                <w:szCs w:val="20"/>
                <w:color w:val="auto"/>
              </w:rPr>
            </w:pPr>
            <w:r>
              <w:rPr>
                <w:rFonts w:ascii="Arial" w:cs="Arial" w:eastAsia="Arial" w:hAnsi="Arial"/>
                <w:sz w:val="13"/>
                <w:szCs w:val="13"/>
                <w:b w:val="1"/>
                <w:bCs w:val="1"/>
                <w:color w:val="FFFFFF"/>
              </w:rPr>
              <w:t>Plan</w:t>
            </w:r>
          </w:p>
        </w:tc>
        <w:tc>
          <w:tcPr>
            <w:tcW w:w="320" w:type="dxa"/>
            <w:vAlign w:val="bottom"/>
            <w:shd w:val="clear" w:color="auto" w:fill="000000"/>
          </w:tcPr>
          <w:p>
            <w:pPr>
              <w:spacing w:after="0"/>
              <w:rPr>
                <w:sz w:val="15"/>
                <w:szCs w:val="15"/>
                <w:color w:val="auto"/>
              </w:rPr>
            </w:pPr>
          </w:p>
        </w:tc>
        <w:tc>
          <w:tcPr>
            <w:tcW w:w="1100" w:type="dxa"/>
            <w:vAlign w:val="bottom"/>
            <w:vMerge w:val="continue"/>
            <w:shd w:val="clear" w:color="auto" w:fill="000000"/>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1380" w:type="dxa"/>
            <w:vAlign w:val="bottom"/>
          </w:tcPr>
          <w:p>
            <w:pPr>
              <w:ind w:left="20"/>
              <w:spacing w:after="0"/>
              <w:rPr>
                <w:sz w:val="20"/>
                <w:szCs w:val="20"/>
                <w:color w:val="auto"/>
              </w:rPr>
            </w:pPr>
            <w:r>
              <w:rPr>
                <w:rFonts w:ascii="Arial" w:cs="Arial" w:eastAsia="Arial" w:hAnsi="Arial"/>
                <w:sz w:val="15"/>
                <w:szCs w:val="15"/>
                <w:color w:val="auto"/>
              </w:rPr>
              <w:t>Mr. Geveden</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32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745,617</w:t>
            </w:r>
          </w:p>
        </w:tc>
        <w:tc>
          <w:tcPr>
            <w:tcW w:w="320" w:type="dxa"/>
            <w:vAlign w:val="bottom"/>
          </w:tcPr>
          <w:p>
            <w:pPr>
              <w:jc w:val="right"/>
              <w:ind w:right="147"/>
              <w:spacing w:after="0"/>
              <w:rPr>
                <w:sz w:val="20"/>
                <w:szCs w:val="20"/>
                <w:color w:val="auto"/>
              </w:rPr>
            </w:pPr>
            <w:r>
              <w:rPr>
                <w:rFonts w:ascii="Arial" w:cs="Arial" w:eastAsia="Arial" w:hAnsi="Arial"/>
                <w:sz w:val="15"/>
                <w:szCs w:val="15"/>
                <w:color w:val="auto"/>
                <w:w w:val="95"/>
              </w:rPr>
              <w:t>$</w:t>
            </w: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2021</w:t>
            </w:r>
          </w:p>
        </w:tc>
        <w:tc>
          <w:tcPr>
            <w:tcW w:w="32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626,286</w:t>
            </w:r>
          </w:p>
        </w:tc>
        <w:tc>
          <w:tcPr>
            <w:tcW w:w="32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2020</w:t>
            </w:r>
          </w:p>
        </w:tc>
        <w:tc>
          <w:tcPr>
            <w:tcW w:w="32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381,581</w:t>
            </w:r>
          </w:p>
        </w:tc>
        <w:tc>
          <w:tcPr>
            <w:tcW w:w="320" w:type="dxa"/>
            <w:vAlign w:val="bottom"/>
          </w:tcPr>
          <w:p>
            <w:pPr>
              <w:spacing w:after="0"/>
              <w:rPr>
                <w:sz w:val="17"/>
                <w:szCs w:val="17"/>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4"/>
        </w:trPr>
        <w:tc>
          <w:tcPr>
            <w:tcW w:w="1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Mr. LeMasters</w:t>
            </w:r>
          </w:p>
        </w:tc>
        <w:tc>
          <w:tcPr>
            <w:tcW w:w="8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2022</w:t>
            </w:r>
          </w:p>
        </w:tc>
        <w:tc>
          <w:tcPr>
            <w:tcW w:w="32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5"/>
                <w:szCs w:val="15"/>
                <w:color w:val="auto"/>
              </w:rPr>
              <w:t>106,258</w:t>
            </w:r>
          </w:p>
        </w:tc>
        <w:tc>
          <w:tcPr>
            <w:tcW w:w="320" w:type="dxa"/>
            <w:vAlign w:val="bottom"/>
            <w:shd w:val="clear" w:color="auto" w:fill="DBDBDB"/>
          </w:tcPr>
          <w:p>
            <w:pPr>
              <w:spacing w:after="0"/>
              <w:rPr>
                <w:sz w:val="16"/>
                <w:szCs w:val="16"/>
                <w:color w:val="auto"/>
              </w:rPr>
            </w:pPr>
          </w:p>
        </w:tc>
        <w:tc>
          <w:tcPr>
            <w:tcW w:w="1100" w:type="dxa"/>
            <w:vAlign w:val="bottom"/>
            <w:shd w:val="clear" w:color="auto" w:fill="DBDBDB"/>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380" w:type="dxa"/>
            <w:vAlign w:val="bottom"/>
            <w:shd w:val="clear" w:color="auto" w:fill="DBDBDB"/>
          </w:tcPr>
          <w:p>
            <w:pPr>
              <w:spacing w:after="0"/>
              <w:rPr>
                <w:sz w:val="17"/>
                <w:szCs w:val="17"/>
                <w:color w:val="auto"/>
              </w:rPr>
            </w:pPr>
          </w:p>
        </w:tc>
        <w:tc>
          <w:tcPr>
            <w:tcW w:w="8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2021</w:t>
            </w:r>
          </w:p>
        </w:tc>
        <w:tc>
          <w:tcPr>
            <w:tcW w:w="32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5"/>
                <w:szCs w:val="15"/>
                <w:color w:val="auto"/>
              </w:rPr>
              <w:t>51,823</w:t>
            </w: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Pr>
          <w:p>
            <w:pPr>
              <w:ind w:left="20"/>
              <w:spacing w:after="0"/>
              <w:rPr>
                <w:sz w:val="20"/>
                <w:szCs w:val="20"/>
                <w:color w:val="auto"/>
              </w:rPr>
            </w:pPr>
            <w:r>
              <w:rPr>
                <w:rFonts w:ascii="Arial" w:cs="Arial" w:eastAsia="Arial" w:hAnsi="Arial"/>
                <w:sz w:val="15"/>
                <w:szCs w:val="15"/>
                <w:color w:val="auto"/>
              </w:rPr>
              <w:t>Mr. McCabe</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32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234,736</w:t>
            </w:r>
          </w:p>
        </w:tc>
        <w:tc>
          <w:tcPr>
            <w:tcW w:w="32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1380" w:type="dxa"/>
            <w:vAlign w:val="bottom"/>
          </w:tcPr>
          <w:p>
            <w:pPr>
              <w:spacing w:after="0"/>
              <w:rPr>
                <w:sz w:val="16"/>
                <w:szCs w:val="16"/>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2021</w:t>
            </w:r>
          </w:p>
        </w:tc>
        <w:tc>
          <w:tcPr>
            <w:tcW w:w="32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185,039</w:t>
            </w:r>
          </w:p>
        </w:tc>
        <w:tc>
          <w:tcPr>
            <w:tcW w:w="32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2020</w:t>
            </w:r>
          </w:p>
        </w:tc>
        <w:tc>
          <w:tcPr>
            <w:tcW w:w="320" w:type="dxa"/>
            <w:vAlign w:val="bottom"/>
          </w:tcPr>
          <w:p>
            <w:pPr>
              <w:spacing w:after="0"/>
              <w:rPr>
                <w:sz w:val="17"/>
                <w:szCs w:val="17"/>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108,889</w:t>
            </w: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80" w:type="dxa"/>
            <w:vAlign w:val="bottom"/>
            <w:shd w:val="clear" w:color="auto" w:fill="DBDBDB"/>
          </w:tcPr>
          <w:p>
            <w:pPr>
              <w:ind w:left="20"/>
              <w:spacing w:after="0"/>
              <w:rPr>
                <w:sz w:val="20"/>
                <w:szCs w:val="20"/>
                <w:color w:val="auto"/>
              </w:rPr>
            </w:pPr>
            <w:r>
              <w:rPr>
                <w:rFonts w:ascii="Arial" w:cs="Arial" w:eastAsia="Arial" w:hAnsi="Arial"/>
                <w:sz w:val="15"/>
                <w:szCs w:val="15"/>
                <w:color w:val="auto"/>
              </w:rPr>
              <w:t>Adm. McCoy</w:t>
            </w:r>
          </w:p>
        </w:tc>
        <w:tc>
          <w:tcPr>
            <w:tcW w:w="800" w:type="dxa"/>
            <w:vAlign w:val="bottom"/>
            <w:gridSpan w:val="2"/>
            <w:shd w:val="clear" w:color="auto" w:fill="DBDBDB"/>
          </w:tcPr>
          <w:p>
            <w:pPr>
              <w:jc w:val="right"/>
              <w:spacing w:after="0"/>
              <w:rPr>
                <w:sz w:val="20"/>
                <w:szCs w:val="20"/>
                <w:color w:val="auto"/>
              </w:rPr>
            </w:pPr>
            <w:r>
              <w:rPr>
                <w:rFonts w:ascii="Arial" w:cs="Arial" w:eastAsia="Arial" w:hAnsi="Arial"/>
                <w:sz w:val="15"/>
                <w:szCs w:val="15"/>
                <w:color w:val="auto"/>
              </w:rPr>
              <w:t>2022</w:t>
            </w:r>
          </w:p>
        </w:tc>
        <w:tc>
          <w:tcPr>
            <w:tcW w:w="320" w:type="dxa"/>
            <w:vAlign w:val="bottom"/>
            <w:shd w:val="clear" w:color="auto" w:fill="DBDBDB"/>
          </w:tcPr>
          <w:p>
            <w:pPr>
              <w:spacing w:after="0"/>
              <w:rPr>
                <w:sz w:val="17"/>
                <w:szCs w:val="17"/>
                <w:color w:val="auto"/>
              </w:rPr>
            </w:pPr>
          </w:p>
        </w:tc>
        <w:tc>
          <w:tcPr>
            <w:tcW w:w="1300" w:type="dxa"/>
            <w:vAlign w:val="bottom"/>
            <w:shd w:val="clear" w:color="auto" w:fill="DBDBDB"/>
          </w:tcPr>
          <w:p>
            <w:pPr>
              <w:jc w:val="right"/>
              <w:ind w:right="108"/>
              <w:spacing w:after="0"/>
              <w:rPr>
                <w:sz w:val="20"/>
                <w:szCs w:val="20"/>
                <w:color w:val="auto"/>
              </w:rPr>
            </w:pPr>
            <w:r>
              <w:rPr>
                <w:rFonts w:ascii="Arial" w:cs="Arial" w:eastAsia="Arial" w:hAnsi="Arial"/>
                <w:sz w:val="15"/>
                <w:szCs w:val="15"/>
                <w:color w:val="auto"/>
              </w:rPr>
              <w:t>71,914</w:t>
            </w:r>
          </w:p>
        </w:tc>
        <w:tc>
          <w:tcPr>
            <w:tcW w:w="320" w:type="dxa"/>
            <w:vAlign w:val="bottom"/>
            <w:shd w:val="clear" w:color="auto" w:fill="DBDBDB"/>
          </w:tcPr>
          <w:p>
            <w:pPr>
              <w:spacing w:after="0"/>
              <w:rPr>
                <w:sz w:val="17"/>
                <w:szCs w:val="17"/>
                <w:color w:val="auto"/>
              </w:rPr>
            </w:pPr>
          </w:p>
        </w:tc>
        <w:tc>
          <w:tcPr>
            <w:tcW w:w="1100" w:type="dxa"/>
            <w:vAlign w:val="bottom"/>
            <w:shd w:val="clear" w:color="auto" w:fill="DBDBDB"/>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380" w:type="dxa"/>
            <w:vAlign w:val="bottom"/>
          </w:tcPr>
          <w:p>
            <w:pPr>
              <w:ind w:left="20"/>
              <w:spacing w:after="0"/>
              <w:rPr>
                <w:sz w:val="20"/>
                <w:szCs w:val="20"/>
                <w:color w:val="auto"/>
              </w:rPr>
            </w:pPr>
            <w:r>
              <w:rPr>
                <w:rFonts w:ascii="Arial" w:cs="Arial" w:eastAsia="Arial" w:hAnsi="Arial"/>
                <w:sz w:val="15"/>
                <w:szCs w:val="15"/>
                <w:color w:val="auto"/>
              </w:rPr>
              <w:t>Mr. Duffy</w:t>
            </w:r>
          </w:p>
        </w:tc>
        <w:tc>
          <w:tcPr>
            <w:tcW w:w="800" w:type="dxa"/>
            <w:vAlign w:val="bottom"/>
            <w:gridSpan w:val="2"/>
          </w:tcPr>
          <w:p>
            <w:pPr>
              <w:jc w:val="right"/>
              <w:spacing w:after="0"/>
              <w:rPr>
                <w:sz w:val="20"/>
                <w:szCs w:val="20"/>
                <w:color w:val="auto"/>
              </w:rPr>
            </w:pPr>
            <w:r>
              <w:rPr>
                <w:rFonts w:ascii="Arial" w:cs="Arial" w:eastAsia="Arial" w:hAnsi="Arial"/>
                <w:sz w:val="15"/>
                <w:szCs w:val="15"/>
                <w:color w:val="auto"/>
              </w:rPr>
              <w:t>2022</w:t>
            </w:r>
          </w:p>
        </w:tc>
        <w:tc>
          <w:tcPr>
            <w:tcW w:w="320" w:type="dxa"/>
            <w:vAlign w:val="bottom"/>
          </w:tcPr>
          <w:p>
            <w:pPr>
              <w:spacing w:after="0"/>
              <w:rPr>
                <w:sz w:val="16"/>
                <w:szCs w:val="16"/>
                <w:color w:val="auto"/>
              </w:rPr>
            </w:pPr>
          </w:p>
        </w:tc>
        <w:tc>
          <w:tcPr>
            <w:tcW w:w="1300" w:type="dxa"/>
            <w:vAlign w:val="bottom"/>
          </w:tcPr>
          <w:p>
            <w:pPr>
              <w:jc w:val="right"/>
              <w:ind w:right="108"/>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6"/>
                <w:szCs w:val="16"/>
                <w:color w:val="auto"/>
              </w:rPr>
            </w:pPr>
          </w:p>
        </w:tc>
        <w:tc>
          <w:tcPr>
            <w:tcW w:w="1100" w:type="dxa"/>
            <w:vAlign w:val="bottom"/>
          </w:tcPr>
          <w:p>
            <w:pPr>
              <w:ind w:left="88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9"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i w:val="1"/>
          <w:iCs w:val="1"/>
          <w:color w:val="auto"/>
        </w:rPr>
        <w:t>Deferred Stock Under Our Long-Term Incentive Plans</w:t>
      </w:r>
      <w:r>
        <w:rPr>
          <w:rFonts w:ascii="Arial" w:cs="Arial" w:eastAsia="Arial" w:hAnsi="Arial"/>
          <w:sz w:val="16"/>
          <w:szCs w:val="16"/>
          <w:color w:val="auto"/>
        </w:rPr>
        <w:t>. Under the terms of our 2010 LTIP and 2020 Plan, our Compensation Committee has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discretion to permit selected participants to defer all or a portion of their stock awards. Participants, including our Named Executives, are permitted to make deferral elections on their restricted stock unit awards and performance restricted stock unit awards. Mr. LeMasters was the only Named Executive to make a deferral election. As of December 31, 2022, 1,468 performance restricted stock units awarded to Mr. LeMasters had been deferred to his LTIP deferral account.</w:t>
      </w:r>
    </w:p>
    <w:p>
      <w:pPr>
        <w:spacing w:after="0" w:line="200" w:lineRule="exact"/>
        <w:rPr>
          <w:sz w:val="20"/>
          <w:szCs w:val="20"/>
          <w:color w:val="auto"/>
        </w:rPr>
      </w:pPr>
    </w:p>
    <w:p>
      <w:pPr>
        <w:spacing w:after="0" w:line="283"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7" w:name="page58"/>
    <w:bookmarkEnd w:id="5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POTENTIAL PAYMENTS UPON TERMINATION OR CHANGE IN CONTROL</w:t>
      </w:r>
    </w:p>
    <w:p>
      <w:pPr>
        <w:spacing w:after="0" w:line="95" w:lineRule="exact"/>
        <w:rPr>
          <w:sz w:val="20"/>
          <w:szCs w:val="20"/>
          <w:color w:val="auto"/>
        </w:rPr>
      </w:pPr>
    </w:p>
    <w:p>
      <w:pPr>
        <w:jc w:val="both"/>
        <w:ind w:right="140"/>
        <w:spacing w:after="0" w:line="261" w:lineRule="auto"/>
        <w:rPr>
          <w:sz w:val="20"/>
          <w:szCs w:val="20"/>
          <w:color w:val="auto"/>
        </w:rPr>
      </w:pPr>
      <w:r>
        <w:rPr>
          <w:rFonts w:ascii="Arial" w:cs="Arial" w:eastAsia="Arial" w:hAnsi="Arial"/>
          <w:sz w:val="16"/>
          <w:szCs w:val="16"/>
          <w:color w:val="auto"/>
        </w:rPr>
        <w:t>The following tables show estimated, potential payments to our Named Executives under existing contracts, agreements, plans or arrangements, whether written or unwritten, for any payments would be due, if any, for involuntary termination not for cause, involuntary termination for cause, retirement, death, disability, or in connection with a change in control with or without a termination of employment, assuming such event occurred on December 31, 2022.</w:t>
      </w:r>
    </w:p>
    <w:p>
      <w:pPr>
        <w:ind w:right="180"/>
        <w:spacing w:after="0" w:line="258" w:lineRule="auto"/>
        <w:rPr>
          <w:sz w:val="20"/>
          <w:szCs w:val="20"/>
          <w:color w:val="auto"/>
        </w:rPr>
      </w:pPr>
      <w:r>
        <w:rPr>
          <w:rFonts w:ascii="Arial" w:cs="Arial" w:eastAsia="Arial" w:hAnsi="Arial"/>
          <w:sz w:val="16"/>
          <w:szCs w:val="16"/>
          <w:color w:val="auto"/>
        </w:rPr>
        <w:t>These tables do not reflect amounts that would be payable to the Named Executives pursuant to benefits or awards that are already vested. Except as otherwise indicated, amounts reported in the table below for restricted stock units and performance restricted stock units are calculated by multiplying the number of accelerated shares or units by $58.08 (the closing price of our common stock on December 31, 2022). Mr. McCabe entered into a Transition Agreement on December 29, 2022 which specifies the payments to which he is entitled as part of the General Counsel transition and his retirement. As a result, no amounts are included for Mr. McCabe in the tables below. See "Transition Arrangements—General Counsel Transition" on page 35 for further information on the terms of the Transition Agreement.</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60" w:type="dxa"/>
            <w:vAlign w:val="bottom"/>
            <w:vMerge w:val="restart"/>
            <w:shd w:val="clear" w:color="auto" w:fill="000000"/>
          </w:tcPr>
          <w:p>
            <w:pPr>
              <w:ind w:left="140"/>
              <w:spacing w:after="0"/>
              <w:rPr>
                <w:sz w:val="20"/>
                <w:szCs w:val="20"/>
                <w:color w:val="auto"/>
              </w:rPr>
            </w:pPr>
            <w:r>
              <w:rPr>
                <w:rFonts w:ascii="Arial" w:cs="Arial" w:eastAsia="Arial" w:hAnsi="Arial"/>
                <w:sz w:val="11"/>
                <w:szCs w:val="11"/>
                <w:b w:val="1"/>
                <w:bCs w:val="1"/>
                <w:color w:val="FFFFFF"/>
              </w:rPr>
              <w:t>Named Executive and Description of</w:t>
            </w:r>
          </w:p>
        </w:tc>
        <w:tc>
          <w:tcPr>
            <w:tcW w:w="80" w:type="dxa"/>
            <w:vAlign w:val="bottom"/>
            <w:shd w:val="clear" w:color="auto" w:fill="000000"/>
          </w:tcPr>
          <w:p>
            <w:pPr>
              <w:spacing w:after="0"/>
              <w:rPr>
                <w:sz w:val="10"/>
                <w:szCs w:val="10"/>
                <w:color w:val="auto"/>
              </w:rPr>
            </w:pPr>
          </w:p>
        </w:tc>
        <w:tc>
          <w:tcPr>
            <w:tcW w:w="160" w:type="dxa"/>
            <w:vAlign w:val="bottom"/>
            <w:shd w:val="clear" w:color="auto" w:fill="000000"/>
          </w:tcPr>
          <w:p>
            <w:pPr>
              <w:spacing w:after="0"/>
              <w:rPr>
                <w:sz w:val="10"/>
                <w:szCs w:val="10"/>
                <w:color w:val="auto"/>
              </w:rPr>
            </w:pPr>
          </w:p>
        </w:tc>
        <w:tc>
          <w:tcPr>
            <w:tcW w:w="980" w:type="dxa"/>
            <w:vAlign w:val="bottom"/>
            <w:gridSpan w:val="2"/>
            <w:vMerge w:val="restart"/>
            <w:shd w:val="clear" w:color="auto" w:fill="000000"/>
          </w:tcPr>
          <w:p>
            <w:pPr>
              <w:jc w:val="center"/>
              <w:ind w:right="240"/>
              <w:spacing w:after="0"/>
              <w:rPr>
                <w:sz w:val="20"/>
                <w:szCs w:val="20"/>
                <w:color w:val="auto"/>
              </w:rPr>
            </w:pPr>
            <w:r>
              <w:rPr>
                <w:rFonts w:ascii="Arial" w:cs="Arial" w:eastAsia="Arial" w:hAnsi="Arial"/>
                <w:sz w:val="11"/>
                <w:szCs w:val="11"/>
                <w:b w:val="1"/>
                <w:bCs w:val="1"/>
                <w:color w:val="FFFFFF"/>
                <w:w w:val="98"/>
              </w:rPr>
              <w:t>Voluntary</w:t>
            </w:r>
          </w:p>
        </w:tc>
        <w:tc>
          <w:tcPr>
            <w:tcW w:w="80" w:type="dxa"/>
            <w:vAlign w:val="bottom"/>
            <w:shd w:val="clear" w:color="auto" w:fill="000000"/>
          </w:tcPr>
          <w:p>
            <w:pPr>
              <w:spacing w:after="0"/>
              <w:rPr>
                <w:sz w:val="10"/>
                <w:szCs w:val="10"/>
                <w:color w:val="auto"/>
              </w:rPr>
            </w:pPr>
          </w:p>
        </w:tc>
        <w:tc>
          <w:tcPr>
            <w:tcW w:w="1020" w:type="dxa"/>
            <w:vAlign w:val="bottom"/>
            <w:gridSpan w:val="2"/>
            <w:shd w:val="clear" w:color="auto" w:fill="000000"/>
          </w:tcPr>
          <w:p>
            <w:pPr>
              <w:jc w:val="center"/>
              <w:ind w:right="160"/>
              <w:spacing w:after="0"/>
              <w:rPr>
                <w:sz w:val="20"/>
                <w:szCs w:val="20"/>
                <w:color w:val="auto"/>
              </w:rPr>
            </w:pPr>
            <w:r>
              <w:rPr>
                <w:rFonts w:ascii="Arial" w:cs="Arial" w:eastAsia="Arial" w:hAnsi="Arial"/>
                <w:sz w:val="11"/>
                <w:szCs w:val="11"/>
                <w:b w:val="1"/>
                <w:bCs w:val="1"/>
                <w:color w:val="FFFFFF"/>
              </w:rPr>
              <w:t>Involuntary</w:t>
            </w:r>
          </w:p>
        </w:tc>
        <w:tc>
          <w:tcPr>
            <w:tcW w:w="120" w:type="dxa"/>
            <w:vAlign w:val="bottom"/>
            <w:shd w:val="clear" w:color="auto" w:fill="000000"/>
          </w:tcPr>
          <w:p>
            <w:pPr>
              <w:spacing w:after="0"/>
              <w:rPr>
                <w:sz w:val="10"/>
                <w:szCs w:val="10"/>
                <w:color w:val="auto"/>
              </w:rPr>
            </w:pPr>
          </w:p>
        </w:tc>
        <w:tc>
          <w:tcPr>
            <w:tcW w:w="1040" w:type="dxa"/>
            <w:vAlign w:val="bottom"/>
            <w:gridSpan w:val="2"/>
            <w:shd w:val="clear" w:color="auto" w:fill="000000"/>
          </w:tcPr>
          <w:p>
            <w:pPr>
              <w:jc w:val="center"/>
              <w:ind w:right="200"/>
              <w:spacing w:after="0"/>
              <w:rPr>
                <w:sz w:val="20"/>
                <w:szCs w:val="20"/>
                <w:color w:val="auto"/>
              </w:rPr>
            </w:pPr>
            <w:r>
              <w:rPr>
                <w:rFonts w:ascii="Arial" w:cs="Arial" w:eastAsia="Arial" w:hAnsi="Arial"/>
                <w:sz w:val="11"/>
                <w:szCs w:val="11"/>
                <w:b w:val="1"/>
                <w:bCs w:val="1"/>
                <w:color w:val="FFFFFF"/>
              </w:rPr>
              <w:t>Involuntary</w:t>
            </w:r>
          </w:p>
        </w:tc>
        <w:tc>
          <w:tcPr>
            <w:tcW w:w="1100" w:type="dxa"/>
            <w:vAlign w:val="bottom"/>
            <w:gridSpan w:val="3"/>
            <w:shd w:val="clear" w:color="auto" w:fill="000000"/>
          </w:tcPr>
          <w:p>
            <w:pPr>
              <w:ind w:left="20"/>
              <w:spacing w:after="0"/>
              <w:rPr>
                <w:sz w:val="20"/>
                <w:szCs w:val="20"/>
                <w:color w:val="auto"/>
              </w:rPr>
            </w:pPr>
            <w:r>
              <w:rPr>
                <w:rFonts w:ascii="Arial" w:cs="Arial" w:eastAsia="Arial" w:hAnsi="Arial"/>
                <w:sz w:val="11"/>
                <w:szCs w:val="11"/>
                <w:b w:val="1"/>
                <w:bCs w:val="1"/>
                <w:color w:val="FFFFFF"/>
              </w:rPr>
              <w:t>Change in Control</w:t>
            </w:r>
          </w:p>
        </w:tc>
        <w:tc>
          <w:tcPr>
            <w:tcW w:w="1120" w:type="dxa"/>
            <w:vAlign w:val="bottom"/>
            <w:gridSpan w:val="3"/>
            <w:vMerge w:val="restart"/>
            <w:shd w:val="clear" w:color="auto" w:fill="000000"/>
          </w:tcPr>
          <w:p>
            <w:pPr>
              <w:ind w:left="20"/>
              <w:spacing w:after="0"/>
              <w:rPr>
                <w:sz w:val="20"/>
                <w:szCs w:val="20"/>
                <w:color w:val="auto"/>
              </w:rPr>
            </w:pPr>
            <w:r>
              <w:rPr>
                <w:rFonts w:ascii="Arial" w:cs="Arial" w:eastAsia="Arial" w:hAnsi="Arial"/>
                <w:sz w:val="11"/>
                <w:szCs w:val="11"/>
                <w:b w:val="1"/>
                <w:bCs w:val="1"/>
                <w:color w:val="FFFFFF"/>
              </w:rPr>
              <w:t>Change in Control</w:t>
            </w:r>
          </w:p>
        </w:tc>
        <w:tc>
          <w:tcPr>
            <w:tcW w:w="180" w:type="dxa"/>
            <w:vAlign w:val="bottom"/>
            <w:shd w:val="clear" w:color="auto" w:fill="000000"/>
          </w:tcPr>
          <w:p>
            <w:pPr>
              <w:spacing w:after="0"/>
              <w:rPr>
                <w:sz w:val="10"/>
                <w:szCs w:val="10"/>
                <w:color w:val="auto"/>
              </w:rPr>
            </w:pPr>
          </w:p>
        </w:tc>
        <w:tc>
          <w:tcPr>
            <w:tcW w:w="8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200" w:type="dxa"/>
            <w:vAlign w:val="bottom"/>
            <w:shd w:val="clear" w:color="auto" w:fill="000000"/>
          </w:tcPr>
          <w:p>
            <w:pPr>
              <w:spacing w:after="0"/>
              <w:rPr>
                <w:sz w:val="10"/>
                <w:szCs w:val="10"/>
                <w:color w:val="auto"/>
              </w:rPr>
            </w:pPr>
          </w:p>
        </w:tc>
        <w:tc>
          <w:tcPr>
            <w:tcW w:w="760" w:type="dxa"/>
            <w:vAlign w:val="bottom"/>
            <w:shd w:val="clear" w:color="auto" w:fill="000000"/>
          </w:tcPr>
          <w:p>
            <w:pPr>
              <w:spacing w:after="0"/>
              <w:rPr>
                <w:sz w:val="10"/>
                <w:szCs w:val="10"/>
                <w:color w:val="auto"/>
              </w:rPr>
            </w:pPr>
          </w:p>
        </w:tc>
        <w:tc>
          <w:tcPr>
            <w:tcW w:w="10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8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60" w:type="dxa"/>
            <w:vAlign w:val="bottom"/>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980" w:type="dxa"/>
            <w:vAlign w:val="bottom"/>
            <w:gridSpan w:val="2"/>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020" w:type="dxa"/>
            <w:vAlign w:val="bottom"/>
            <w:gridSpan w:val="2"/>
            <w:shd w:val="clear" w:color="auto" w:fill="000000"/>
          </w:tcPr>
          <w:p>
            <w:pPr>
              <w:jc w:val="center"/>
              <w:ind w:right="160"/>
              <w:spacing w:after="0" w:line="110" w:lineRule="exact"/>
              <w:rPr>
                <w:sz w:val="20"/>
                <w:szCs w:val="20"/>
                <w:color w:val="auto"/>
              </w:rPr>
            </w:pPr>
            <w:r>
              <w:rPr>
                <w:rFonts w:ascii="Arial" w:cs="Arial" w:eastAsia="Arial" w:hAnsi="Arial"/>
                <w:sz w:val="11"/>
                <w:szCs w:val="11"/>
                <w:b w:val="1"/>
                <w:bCs w:val="1"/>
                <w:color w:val="FFFFFF"/>
              </w:rPr>
              <w:t>Termination not</w:t>
            </w:r>
          </w:p>
        </w:tc>
        <w:tc>
          <w:tcPr>
            <w:tcW w:w="120" w:type="dxa"/>
            <w:vAlign w:val="bottom"/>
            <w:shd w:val="clear" w:color="auto" w:fill="000000"/>
          </w:tcPr>
          <w:p>
            <w:pPr>
              <w:spacing w:after="0"/>
              <w:rPr>
                <w:sz w:val="9"/>
                <w:szCs w:val="9"/>
                <w:color w:val="auto"/>
              </w:rPr>
            </w:pPr>
          </w:p>
        </w:tc>
        <w:tc>
          <w:tcPr>
            <w:tcW w:w="1040" w:type="dxa"/>
            <w:vAlign w:val="bottom"/>
            <w:gridSpan w:val="2"/>
            <w:shd w:val="clear" w:color="auto" w:fill="000000"/>
          </w:tcPr>
          <w:p>
            <w:pPr>
              <w:jc w:val="center"/>
              <w:ind w:right="200"/>
              <w:spacing w:after="0" w:line="110" w:lineRule="exact"/>
              <w:rPr>
                <w:sz w:val="20"/>
                <w:szCs w:val="20"/>
                <w:color w:val="auto"/>
              </w:rPr>
            </w:pPr>
            <w:r>
              <w:rPr>
                <w:rFonts w:ascii="Arial" w:cs="Arial" w:eastAsia="Arial" w:hAnsi="Arial"/>
                <w:sz w:val="11"/>
                <w:szCs w:val="11"/>
                <w:b w:val="1"/>
                <w:bCs w:val="1"/>
                <w:color w:val="FFFFFF"/>
              </w:rPr>
              <w:t>Termination for</w:t>
            </w:r>
          </w:p>
        </w:tc>
        <w:tc>
          <w:tcPr>
            <w:tcW w:w="140" w:type="dxa"/>
            <w:vAlign w:val="bottom"/>
            <w:shd w:val="clear" w:color="auto" w:fill="000000"/>
          </w:tcPr>
          <w:p>
            <w:pPr>
              <w:spacing w:after="0"/>
              <w:rPr>
                <w:sz w:val="9"/>
                <w:szCs w:val="9"/>
                <w:color w:val="auto"/>
              </w:rPr>
            </w:pPr>
          </w:p>
        </w:tc>
        <w:tc>
          <w:tcPr>
            <w:tcW w:w="960" w:type="dxa"/>
            <w:vAlign w:val="bottom"/>
            <w:gridSpan w:val="2"/>
            <w:shd w:val="clear" w:color="auto" w:fill="000000"/>
          </w:tcPr>
          <w:p>
            <w:pPr>
              <w:jc w:val="center"/>
              <w:ind w:right="240"/>
              <w:spacing w:after="0" w:line="110" w:lineRule="exact"/>
              <w:rPr>
                <w:sz w:val="20"/>
                <w:szCs w:val="20"/>
                <w:color w:val="auto"/>
              </w:rPr>
            </w:pPr>
            <w:r>
              <w:rPr>
                <w:rFonts w:ascii="Arial" w:cs="Arial" w:eastAsia="Arial" w:hAnsi="Arial"/>
                <w:sz w:val="11"/>
                <w:szCs w:val="11"/>
                <w:b w:val="1"/>
                <w:bCs w:val="1"/>
                <w:color w:val="FFFFFF"/>
              </w:rPr>
              <w:t>without</w:t>
            </w:r>
          </w:p>
        </w:tc>
        <w:tc>
          <w:tcPr>
            <w:tcW w:w="1120" w:type="dxa"/>
            <w:vAlign w:val="bottom"/>
            <w:gridSpan w:val="3"/>
            <w:vMerge w:val="continue"/>
            <w:shd w:val="clear" w:color="auto" w:fill="000000"/>
          </w:tcPr>
          <w:p>
            <w:pPr>
              <w:spacing w:after="0"/>
              <w:rPr>
                <w:sz w:val="9"/>
                <w:szCs w:val="9"/>
                <w:color w:val="auto"/>
              </w:rPr>
            </w:pPr>
          </w:p>
        </w:tc>
        <w:tc>
          <w:tcPr>
            <w:tcW w:w="180" w:type="dxa"/>
            <w:vAlign w:val="bottom"/>
            <w:shd w:val="clear" w:color="auto" w:fill="000000"/>
          </w:tcPr>
          <w:p>
            <w:pPr>
              <w:spacing w:after="0"/>
              <w:rPr>
                <w:sz w:val="9"/>
                <w:szCs w:val="9"/>
                <w:color w:val="auto"/>
              </w:rPr>
            </w:pPr>
          </w:p>
        </w:tc>
        <w:tc>
          <w:tcPr>
            <w:tcW w:w="960" w:type="dxa"/>
            <w:vAlign w:val="bottom"/>
            <w:gridSpan w:val="2"/>
            <w:vMerge w:val="restart"/>
            <w:shd w:val="clear" w:color="auto" w:fill="000000"/>
          </w:tcPr>
          <w:p>
            <w:pPr>
              <w:ind w:left="100"/>
              <w:spacing w:after="0"/>
              <w:rPr>
                <w:sz w:val="20"/>
                <w:szCs w:val="20"/>
                <w:color w:val="auto"/>
              </w:rPr>
            </w:pPr>
            <w:r>
              <w:rPr>
                <w:rFonts w:ascii="Arial" w:cs="Arial" w:eastAsia="Arial" w:hAnsi="Arial"/>
                <w:sz w:val="11"/>
                <w:szCs w:val="11"/>
                <w:b w:val="1"/>
                <w:bCs w:val="1"/>
                <w:color w:val="FFFFFF"/>
              </w:rPr>
              <w:t>Disability</w:t>
            </w:r>
          </w:p>
        </w:tc>
        <w:tc>
          <w:tcPr>
            <w:tcW w:w="200" w:type="dxa"/>
            <w:vAlign w:val="bottom"/>
            <w:shd w:val="clear" w:color="auto" w:fill="000000"/>
          </w:tcPr>
          <w:p>
            <w:pPr>
              <w:spacing w:after="0"/>
              <w:rPr>
                <w:sz w:val="9"/>
                <w:szCs w:val="9"/>
                <w:color w:val="auto"/>
              </w:rPr>
            </w:pPr>
          </w:p>
        </w:tc>
        <w:tc>
          <w:tcPr>
            <w:tcW w:w="860" w:type="dxa"/>
            <w:vAlign w:val="bottom"/>
            <w:gridSpan w:val="2"/>
            <w:vMerge w:val="restart"/>
            <w:shd w:val="clear" w:color="auto" w:fill="000000"/>
          </w:tcPr>
          <w:p>
            <w:pPr>
              <w:ind w:left="120"/>
              <w:spacing w:after="0"/>
              <w:rPr>
                <w:sz w:val="20"/>
                <w:szCs w:val="20"/>
                <w:color w:val="auto"/>
              </w:rPr>
            </w:pPr>
            <w:r>
              <w:rPr>
                <w:rFonts w:ascii="Arial" w:cs="Arial" w:eastAsia="Arial" w:hAnsi="Arial"/>
                <w:sz w:val="11"/>
                <w:szCs w:val="11"/>
                <w:b w:val="1"/>
                <w:bCs w:val="1"/>
                <w:color w:val="FFFFFF"/>
              </w:rPr>
              <w:t>Death</w:t>
            </w:r>
          </w:p>
        </w:tc>
        <w:tc>
          <w:tcPr>
            <w:tcW w:w="140" w:type="dxa"/>
            <w:vAlign w:val="bottom"/>
            <w:shd w:val="clear" w:color="auto" w:fill="000000"/>
          </w:tcPr>
          <w:p>
            <w:pPr>
              <w:spacing w:after="0"/>
              <w:rPr>
                <w:sz w:val="9"/>
                <w:szCs w:val="9"/>
                <w:color w:val="auto"/>
              </w:rPr>
            </w:pPr>
          </w:p>
        </w:tc>
        <w:tc>
          <w:tcPr>
            <w:tcW w:w="840" w:type="dxa"/>
            <w:vAlign w:val="bottom"/>
            <w:vMerge w:val="restart"/>
            <w:shd w:val="clear" w:color="auto" w:fill="000000"/>
          </w:tcPr>
          <w:p>
            <w:pPr>
              <w:jc w:val="right"/>
              <w:ind w:right="135"/>
              <w:spacing w:after="0"/>
              <w:rPr>
                <w:sz w:val="20"/>
                <w:szCs w:val="20"/>
                <w:color w:val="auto"/>
              </w:rPr>
            </w:pPr>
            <w:r>
              <w:rPr>
                <w:rFonts w:ascii="Arial" w:cs="Arial" w:eastAsia="Arial" w:hAnsi="Arial"/>
                <w:sz w:val="11"/>
                <w:szCs w:val="11"/>
                <w:b w:val="1"/>
                <w:bCs w:val="1"/>
                <w:color w:val="FFFFFF"/>
              </w:rPr>
              <w:t>Retirement</w:t>
            </w:r>
          </w:p>
        </w:tc>
        <w:tc>
          <w:tcPr>
            <w:tcW w:w="0" w:type="dxa"/>
            <w:vAlign w:val="bottom"/>
          </w:tcPr>
          <w:p>
            <w:pPr>
              <w:spacing w:after="0"/>
              <w:rPr>
                <w:sz w:val="1"/>
                <w:szCs w:val="1"/>
                <w:color w:val="auto"/>
              </w:rPr>
            </w:pPr>
          </w:p>
        </w:tc>
      </w:tr>
      <w:tr>
        <w:trPr>
          <w:trHeight w:val="164"/>
        </w:trPr>
        <w:tc>
          <w:tcPr>
            <w:tcW w:w="2260" w:type="dxa"/>
            <w:vAlign w:val="bottom"/>
            <w:shd w:val="clear" w:color="auto" w:fill="000000"/>
          </w:tcPr>
          <w:p>
            <w:pPr>
              <w:ind w:left="600"/>
              <w:spacing w:after="0"/>
              <w:rPr>
                <w:sz w:val="20"/>
                <w:szCs w:val="20"/>
                <w:color w:val="auto"/>
              </w:rPr>
            </w:pPr>
            <w:r>
              <w:rPr>
                <w:rFonts w:ascii="Arial" w:cs="Arial" w:eastAsia="Arial" w:hAnsi="Arial"/>
                <w:sz w:val="11"/>
                <w:szCs w:val="11"/>
                <w:b w:val="1"/>
                <w:bCs w:val="1"/>
                <w:color w:val="FFFFFF"/>
              </w:rPr>
              <w:t>Potential Payments</w:t>
            </w: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980" w:type="dxa"/>
            <w:vAlign w:val="bottom"/>
            <w:gridSpan w:val="2"/>
            <w:shd w:val="clear" w:color="auto" w:fill="000000"/>
          </w:tcPr>
          <w:p>
            <w:pPr>
              <w:jc w:val="center"/>
              <w:ind w:right="220"/>
              <w:spacing w:after="0"/>
              <w:rPr>
                <w:sz w:val="20"/>
                <w:szCs w:val="20"/>
                <w:color w:val="auto"/>
              </w:rPr>
            </w:pPr>
            <w:r>
              <w:rPr>
                <w:rFonts w:ascii="Arial" w:cs="Arial" w:eastAsia="Arial" w:hAnsi="Arial"/>
                <w:sz w:val="11"/>
                <w:szCs w:val="11"/>
                <w:b w:val="1"/>
                <w:bCs w:val="1"/>
                <w:color w:val="FFFFFF"/>
              </w:rPr>
              <w:t>Termination</w:t>
            </w:r>
          </w:p>
        </w:tc>
        <w:tc>
          <w:tcPr>
            <w:tcW w:w="80" w:type="dxa"/>
            <w:vAlign w:val="bottom"/>
            <w:shd w:val="clear" w:color="auto" w:fill="000000"/>
          </w:tcPr>
          <w:p>
            <w:pPr>
              <w:spacing w:after="0"/>
              <w:rPr>
                <w:sz w:val="14"/>
                <w:szCs w:val="14"/>
                <w:color w:val="auto"/>
              </w:rPr>
            </w:pPr>
          </w:p>
        </w:tc>
        <w:tc>
          <w:tcPr>
            <w:tcW w:w="1020" w:type="dxa"/>
            <w:vAlign w:val="bottom"/>
            <w:gridSpan w:val="2"/>
            <w:shd w:val="clear" w:color="auto" w:fill="000000"/>
          </w:tcPr>
          <w:p>
            <w:pPr>
              <w:jc w:val="center"/>
              <w:ind w:right="140"/>
              <w:spacing w:after="0"/>
              <w:rPr>
                <w:sz w:val="20"/>
                <w:szCs w:val="20"/>
                <w:color w:val="auto"/>
              </w:rPr>
            </w:pPr>
            <w:r>
              <w:rPr>
                <w:rFonts w:ascii="Arial" w:cs="Arial" w:eastAsia="Arial" w:hAnsi="Arial"/>
                <w:sz w:val="11"/>
                <w:szCs w:val="11"/>
                <w:b w:val="1"/>
                <w:bCs w:val="1"/>
                <w:color w:val="FFFFFF"/>
              </w:rPr>
              <w:t>for Cause</w:t>
            </w:r>
          </w:p>
        </w:tc>
        <w:tc>
          <w:tcPr>
            <w:tcW w:w="120" w:type="dxa"/>
            <w:vAlign w:val="bottom"/>
            <w:shd w:val="clear" w:color="auto" w:fill="000000"/>
          </w:tcPr>
          <w:p>
            <w:pPr>
              <w:spacing w:after="0"/>
              <w:rPr>
                <w:sz w:val="14"/>
                <w:szCs w:val="14"/>
                <w:color w:val="auto"/>
              </w:rPr>
            </w:pPr>
          </w:p>
        </w:tc>
        <w:tc>
          <w:tcPr>
            <w:tcW w:w="1040" w:type="dxa"/>
            <w:vAlign w:val="bottom"/>
            <w:gridSpan w:val="2"/>
            <w:shd w:val="clear" w:color="auto" w:fill="000000"/>
          </w:tcPr>
          <w:p>
            <w:pPr>
              <w:jc w:val="center"/>
              <w:ind w:right="220"/>
              <w:spacing w:after="0"/>
              <w:rPr>
                <w:sz w:val="20"/>
                <w:szCs w:val="20"/>
                <w:color w:val="auto"/>
              </w:rPr>
            </w:pPr>
            <w:r>
              <w:rPr>
                <w:rFonts w:ascii="Arial" w:cs="Arial" w:eastAsia="Arial" w:hAnsi="Arial"/>
                <w:sz w:val="11"/>
                <w:szCs w:val="11"/>
                <w:b w:val="1"/>
                <w:bCs w:val="1"/>
                <w:color w:val="FFFFFF"/>
              </w:rPr>
              <w:t>Cause</w:t>
            </w:r>
          </w:p>
        </w:tc>
        <w:tc>
          <w:tcPr>
            <w:tcW w:w="140" w:type="dxa"/>
            <w:vAlign w:val="bottom"/>
            <w:shd w:val="clear" w:color="auto" w:fill="000000"/>
          </w:tcPr>
          <w:p>
            <w:pPr>
              <w:spacing w:after="0"/>
              <w:rPr>
                <w:sz w:val="14"/>
                <w:szCs w:val="14"/>
                <w:color w:val="auto"/>
              </w:rPr>
            </w:pPr>
          </w:p>
        </w:tc>
        <w:tc>
          <w:tcPr>
            <w:tcW w:w="960" w:type="dxa"/>
            <w:vAlign w:val="bottom"/>
            <w:gridSpan w:val="2"/>
            <w:shd w:val="clear" w:color="auto" w:fill="000000"/>
          </w:tcPr>
          <w:p>
            <w:pPr>
              <w:jc w:val="center"/>
              <w:ind w:right="240"/>
              <w:spacing w:after="0"/>
              <w:rPr>
                <w:sz w:val="20"/>
                <w:szCs w:val="20"/>
                <w:color w:val="auto"/>
              </w:rPr>
            </w:pPr>
            <w:r>
              <w:rPr>
                <w:rFonts w:ascii="Arial" w:cs="Arial" w:eastAsia="Arial" w:hAnsi="Arial"/>
                <w:sz w:val="11"/>
                <w:szCs w:val="11"/>
                <w:b w:val="1"/>
                <w:bCs w:val="1"/>
                <w:color w:val="FFFFFF"/>
              </w:rPr>
              <w:t>Termination</w:t>
            </w:r>
          </w:p>
        </w:tc>
        <w:tc>
          <w:tcPr>
            <w:tcW w:w="1120" w:type="dxa"/>
            <w:vAlign w:val="bottom"/>
            <w:gridSpan w:val="3"/>
            <w:shd w:val="clear" w:color="auto" w:fill="000000"/>
          </w:tcPr>
          <w:p>
            <w:pPr>
              <w:ind w:left="60"/>
              <w:spacing w:after="0"/>
              <w:rPr>
                <w:sz w:val="20"/>
                <w:szCs w:val="20"/>
                <w:color w:val="auto"/>
              </w:rPr>
            </w:pPr>
            <w:r>
              <w:rPr>
                <w:rFonts w:ascii="Arial" w:cs="Arial" w:eastAsia="Arial" w:hAnsi="Arial"/>
                <w:sz w:val="11"/>
                <w:szCs w:val="11"/>
                <w:b w:val="1"/>
                <w:bCs w:val="1"/>
                <w:color w:val="FFFFFF"/>
              </w:rPr>
              <w:t>with Termination</w:t>
            </w:r>
          </w:p>
        </w:tc>
        <w:tc>
          <w:tcPr>
            <w:tcW w:w="180" w:type="dxa"/>
            <w:vAlign w:val="bottom"/>
            <w:shd w:val="clear" w:color="auto" w:fill="000000"/>
          </w:tcPr>
          <w:p>
            <w:pPr>
              <w:spacing w:after="0"/>
              <w:rPr>
                <w:sz w:val="14"/>
                <w:szCs w:val="14"/>
                <w:color w:val="auto"/>
              </w:rPr>
            </w:pPr>
          </w:p>
        </w:tc>
        <w:tc>
          <w:tcPr>
            <w:tcW w:w="960" w:type="dxa"/>
            <w:vAlign w:val="bottom"/>
            <w:gridSpan w:val="2"/>
            <w:vMerge w:val="continue"/>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860" w:type="dxa"/>
            <w:vAlign w:val="bottom"/>
            <w:gridSpan w:val="2"/>
            <w:vMerge w:val="continue"/>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840" w:type="dxa"/>
            <w:vAlign w:val="bottom"/>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Rex D. Geveden</w:t>
            </w:r>
          </w:p>
        </w:tc>
        <w:tc>
          <w:tcPr>
            <w:tcW w:w="8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80" w:type="dxa"/>
            <w:vAlign w:val="bottom"/>
            <w:shd w:val="clear" w:color="auto" w:fill="000000"/>
          </w:tcPr>
          <w:p>
            <w:pPr>
              <w:spacing w:after="0"/>
              <w:rPr>
                <w:sz w:val="17"/>
                <w:szCs w:val="17"/>
                <w:color w:val="auto"/>
              </w:rPr>
            </w:pPr>
          </w:p>
        </w:tc>
        <w:tc>
          <w:tcPr>
            <w:tcW w:w="8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20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4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Severance Payments</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925,000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5,531,500</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925,000</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EICP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925,000</w:t>
            </w: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925,000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925,000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925,000</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Benefits Payments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10,851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43,402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10,851</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Outplacement Services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Financial Planning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12,650</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SERP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9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Restoration Plan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Restricted Stock Units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1,264,227</w:t>
            </w:r>
          </w:p>
        </w:tc>
        <w:tc>
          <w:tcPr>
            <w:tcW w:w="8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1,264,227</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388,207</w:t>
            </w:r>
          </w:p>
        </w:tc>
        <w:tc>
          <w:tcPr>
            <w:tcW w:w="8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3,119,012</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3,119,012</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3,119,012</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1,264,227</w:t>
            </w:r>
          </w:p>
        </w:tc>
        <w:tc>
          <w:tcPr>
            <w:tcW w:w="0" w:type="dxa"/>
            <w:vAlign w:val="bottom"/>
          </w:tcPr>
          <w:p>
            <w:pPr>
              <w:spacing w:after="0"/>
              <w:rPr>
                <w:sz w:val="1"/>
                <w:szCs w:val="1"/>
                <w:color w:val="auto"/>
              </w:rPr>
            </w:pPr>
          </w:p>
        </w:tc>
      </w:tr>
      <w:tr>
        <w:trPr>
          <w:trHeight w:val="179"/>
        </w:trPr>
        <w:tc>
          <w:tcPr>
            <w:tcW w:w="2260" w:type="dxa"/>
            <w:vAlign w:val="bottom"/>
            <w:tcBorders>
              <w:bottom w:val="single" w:sz="8" w:color="DBDBDB"/>
            </w:tcBorders>
          </w:tcPr>
          <w:p>
            <w:pPr>
              <w:ind w:left="160"/>
              <w:spacing w:after="0"/>
              <w:rPr>
                <w:sz w:val="20"/>
                <w:szCs w:val="20"/>
                <w:color w:val="auto"/>
              </w:rPr>
            </w:pPr>
            <w:r>
              <w:rPr>
                <w:rFonts w:ascii="Arial" w:cs="Arial" w:eastAsia="Arial" w:hAnsi="Arial"/>
                <w:sz w:val="13"/>
                <w:szCs w:val="13"/>
                <w:color w:val="auto"/>
              </w:rPr>
              <w:t>Performance RSUs</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3,273,137</w:t>
            </w:r>
          </w:p>
        </w:tc>
        <w:tc>
          <w:tcPr>
            <w:tcW w:w="80" w:type="dxa"/>
            <w:vAlign w:val="bottom"/>
            <w:tcBorders>
              <w:bottom w:val="single" w:sz="8" w:color="DBDBD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3,273,137</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1,902,875</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6,740,358</w:t>
            </w: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6,740,358</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6,740,358</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3,273,137</w:t>
            </w:r>
          </w:p>
        </w:tc>
        <w:tc>
          <w:tcPr>
            <w:tcW w:w="0" w:type="dxa"/>
            <w:vAlign w:val="bottom"/>
          </w:tcPr>
          <w:p>
            <w:pPr>
              <w:spacing w:after="0"/>
              <w:rPr>
                <w:sz w:val="1"/>
                <w:szCs w:val="1"/>
                <w:color w:val="auto"/>
              </w:rPr>
            </w:pPr>
          </w:p>
        </w:tc>
      </w:tr>
      <w:tr>
        <w:trPr>
          <w:trHeight w:val="175"/>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Total</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9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5,475,014</w:t>
            </w:r>
          </w:p>
        </w:tc>
        <w:tc>
          <w:tcPr>
            <w:tcW w:w="80" w:type="dxa"/>
            <w:vAlign w:val="bottom"/>
            <w:shd w:val="clear" w:color="auto" w:fill="DBDBDB"/>
          </w:tcPr>
          <w:p>
            <w:pPr>
              <w:spacing w:after="0"/>
              <w:rPr>
                <w:sz w:val="15"/>
                <w:szCs w:val="15"/>
                <w:color w:val="auto"/>
              </w:rPr>
            </w:pP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6,425,865</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2,303,732</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16,386,922</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10,807,871</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9,872,020</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5,475,014</w:t>
            </w:r>
          </w:p>
        </w:tc>
        <w:tc>
          <w:tcPr>
            <w:tcW w:w="0" w:type="dxa"/>
            <w:vAlign w:val="bottom"/>
          </w:tcPr>
          <w:p>
            <w:pPr>
              <w:spacing w:after="0"/>
              <w:rPr>
                <w:sz w:val="1"/>
                <w:szCs w:val="1"/>
                <w:color w:val="auto"/>
              </w:rPr>
            </w:pPr>
          </w:p>
        </w:tc>
      </w:tr>
      <w:tr>
        <w:trPr>
          <w:trHeight w:val="186"/>
        </w:trPr>
        <w:tc>
          <w:tcPr>
            <w:tcW w:w="22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Robb A. LeMasters</w:t>
            </w:r>
          </w:p>
        </w:tc>
        <w:tc>
          <w:tcPr>
            <w:tcW w:w="8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90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4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000000"/>
          </w:tcPr>
          <w:p>
            <w:pPr>
              <w:spacing w:after="0"/>
              <w:rPr>
                <w:sz w:val="16"/>
                <w:szCs w:val="16"/>
                <w:color w:val="auto"/>
              </w:rPr>
            </w:pPr>
          </w:p>
        </w:tc>
        <w:tc>
          <w:tcPr>
            <w:tcW w:w="94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84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86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76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8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Severance Payments</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500,000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1,700,000</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EICP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350,000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Benefits Payments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16,986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67,946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16,986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Outplacement Services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b w:val="1"/>
                <w:bCs w:val="1"/>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Financial Planning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SERP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9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Restoration Plan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20,566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20,566</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20,566</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20,566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20,566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Restricted Stock Units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527,018</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527,018</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527,018</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Borders>
              <w:bottom w:val="single" w:sz="8" w:color="DBDBDB"/>
            </w:tcBorders>
          </w:tcPr>
          <w:p>
            <w:pPr>
              <w:ind w:left="160"/>
              <w:spacing w:after="0"/>
              <w:rPr>
                <w:sz w:val="20"/>
                <w:szCs w:val="20"/>
                <w:color w:val="auto"/>
              </w:rPr>
            </w:pPr>
            <w:r>
              <w:rPr>
                <w:rFonts w:ascii="Arial" w:cs="Arial" w:eastAsia="Arial" w:hAnsi="Arial"/>
                <w:sz w:val="13"/>
                <w:szCs w:val="13"/>
                <w:color w:val="auto"/>
              </w:rPr>
              <w:t>Performance RSUs</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357,502</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1,000,021</w:t>
            </w: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1,000,021</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1,000,021</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5"/>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Total</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922,704</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33,216</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3,693,201</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2,077,241</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1,560,255</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Kevin M. McCoy</w:t>
            </w:r>
          </w:p>
        </w:tc>
        <w:tc>
          <w:tcPr>
            <w:tcW w:w="80" w:type="dxa"/>
            <w:vAlign w:val="bottom"/>
            <w:shd w:val="clear" w:color="auto" w:fill="000000"/>
          </w:tcPr>
          <w:p>
            <w:pPr>
              <w:spacing w:after="0"/>
              <w:rPr>
                <w:sz w:val="16"/>
                <w:szCs w:val="16"/>
                <w:color w:val="auto"/>
              </w:rPr>
            </w:pPr>
          </w:p>
        </w:tc>
        <w:tc>
          <w:tcPr>
            <w:tcW w:w="160" w:type="dxa"/>
            <w:vAlign w:val="bottom"/>
            <w:shd w:val="clear" w:color="auto" w:fill="000000"/>
          </w:tcPr>
          <w:p>
            <w:pPr>
              <w:spacing w:after="0"/>
              <w:rPr>
                <w:sz w:val="16"/>
                <w:szCs w:val="16"/>
                <w:color w:val="auto"/>
              </w:rPr>
            </w:pPr>
          </w:p>
        </w:tc>
        <w:tc>
          <w:tcPr>
            <w:tcW w:w="90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94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20" w:type="dxa"/>
            <w:vAlign w:val="bottom"/>
            <w:shd w:val="clear" w:color="auto" w:fill="000000"/>
          </w:tcPr>
          <w:p>
            <w:pPr>
              <w:spacing w:after="0"/>
              <w:rPr>
                <w:sz w:val="16"/>
                <w:szCs w:val="16"/>
                <w:color w:val="auto"/>
              </w:rPr>
            </w:pPr>
          </w:p>
        </w:tc>
        <w:tc>
          <w:tcPr>
            <w:tcW w:w="94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88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840" w:type="dxa"/>
            <w:vAlign w:val="bottom"/>
            <w:shd w:val="clear" w:color="auto" w:fill="000000"/>
          </w:tcPr>
          <w:p>
            <w:pPr>
              <w:spacing w:after="0"/>
              <w:rPr>
                <w:sz w:val="16"/>
                <w:szCs w:val="16"/>
                <w:color w:val="auto"/>
              </w:rPr>
            </w:pPr>
          </w:p>
        </w:tc>
        <w:tc>
          <w:tcPr>
            <w:tcW w:w="80" w:type="dxa"/>
            <w:vAlign w:val="bottom"/>
            <w:shd w:val="clear" w:color="auto" w:fill="000000"/>
          </w:tcPr>
          <w:p>
            <w:pPr>
              <w:spacing w:after="0"/>
              <w:rPr>
                <w:sz w:val="16"/>
                <w:szCs w:val="16"/>
                <w:color w:val="auto"/>
              </w:rPr>
            </w:pPr>
          </w:p>
        </w:tc>
        <w:tc>
          <w:tcPr>
            <w:tcW w:w="180" w:type="dxa"/>
            <w:vAlign w:val="bottom"/>
            <w:shd w:val="clear" w:color="auto" w:fill="000000"/>
          </w:tcPr>
          <w:p>
            <w:pPr>
              <w:spacing w:after="0"/>
              <w:rPr>
                <w:sz w:val="16"/>
                <w:szCs w:val="16"/>
                <w:color w:val="auto"/>
              </w:rPr>
            </w:pPr>
          </w:p>
        </w:tc>
        <w:tc>
          <w:tcPr>
            <w:tcW w:w="86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200" w:type="dxa"/>
            <w:vAlign w:val="bottom"/>
            <w:shd w:val="clear" w:color="auto" w:fill="000000"/>
          </w:tcPr>
          <w:p>
            <w:pPr>
              <w:spacing w:after="0"/>
              <w:rPr>
                <w:sz w:val="16"/>
                <w:szCs w:val="16"/>
                <w:color w:val="auto"/>
              </w:rPr>
            </w:pPr>
          </w:p>
        </w:tc>
        <w:tc>
          <w:tcPr>
            <w:tcW w:w="760" w:type="dxa"/>
            <w:vAlign w:val="bottom"/>
            <w:shd w:val="clear" w:color="auto" w:fill="000000"/>
          </w:tcPr>
          <w:p>
            <w:pPr>
              <w:spacing w:after="0"/>
              <w:rPr>
                <w:sz w:val="16"/>
                <w:szCs w:val="16"/>
                <w:color w:val="auto"/>
              </w:rPr>
            </w:pPr>
          </w:p>
        </w:tc>
        <w:tc>
          <w:tcPr>
            <w:tcW w:w="100" w:type="dxa"/>
            <w:vAlign w:val="bottom"/>
            <w:shd w:val="clear" w:color="auto" w:fill="000000"/>
          </w:tcPr>
          <w:p>
            <w:pPr>
              <w:spacing w:after="0"/>
              <w:rPr>
                <w:sz w:val="16"/>
                <w:szCs w:val="16"/>
                <w:color w:val="auto"/>
              </w:rPr>
            </w:pPr>
          </w:p>
        </w:tc>
        <w:tc>
          <w:tcPr>
            <w:tcW w:w="140" w:type="dxa"/>
            <w:vAlign w:val="bottom"/>
            <w:shd w:val="clear" w:color="auto" w:fill="000000"/>
          </w:tcPr>
          <w:p>
            <w:pPr>
              <w:spacing w:after="0"/>
              <w:rPr>
                <w:sz w:val="16"/>
                <w:szCs w:val="16"/>
                <w:color w:val="auto"/>
              </w:rPr>
            </w:pPr>
          </w:p>
        </w:tc>
        <w:tc>
          <w:tcPr>
            <w:tcW w:w="84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Severance Payments</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735,000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ind w:left="20"/>
              <w:spacing w:after="0"/>
              <w:rPr>
                <w:sz w:val="20"/>
                <w:szCs w:val="20"/>
                <w:color w:val="auto"/>
              </w:rPr>
            </w:pPr>
            <w:r>
              <w:rPr>
                <w:rFonts w:ascii="Arial" w:cs="Arial" w:eastAsia="Arial" w:hAnsi="Arial"/>
                <w:sz w:val="13"/>
                <w:szCs w:val="13"/>
                <w:color w:val="auto"/>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2,425,500</w:t>
            </w:r>
          </w:p>
        </w:tc>
        <w:tc>
          <w:tcPr>
            <w:tcW w:w="80" w:type="dxa"/>
            <w:vAlign w:val="bottom"/>
          </w:tcPr>
          <w:p>
            <w:pPr>
              <w:spacing w:after="0"/>
              <w:rPr>
                <w:sz w:val="15"/>
                <w:szCs w:val="15"/>
                <w:color w:val="auto"/>
              </w:rPr>
            </w:pP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tcPr>
          <w:p>
            <w:pPr>
              <w:jc w:val="right"/>
              <w:spacing w:after="0"/>
              <w:rPr>
                <w:sz w:val="20"/>
                <w:szCs w:val="20"/>
                <w:color w:val="auto"/>
              </w:rPr>
            </w:pPr>
            <w:r>
              <w:rPr>
                <w:rFonts w:ascii="Arial" w:cs="Arial" w:eastAsia="Arial" w:hAnsi="Arial"/>
                <w:sz w:val="13"/>
                <w:szCs w:val="13"/>
                <w:color w:val="auto"/>
              </w:rPr>
              <w:t>735,000</w:t>
            </w:r>
          </w:p>
        </w:tc>
        <w:tc>
          <w:tcPr>
            <w:tcW w:w="100" w:type="dxa"/>
            <w:vAlign w:val="bottom"/>
          </w:tcPr>
          <w:p>
            <w:pPr>
              <w:spacing w:after="0"/>
              <w:rPr>
                <w:sz w:val="15"/>
                <w:szCs w:val="15"/>
                <w:color w:val="auto"/>
              </w:rPr>
            </w:pP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EICP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477,750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Benefits Payments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12,644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50,575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12,644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Outplacement Services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Financial Planning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SERP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9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8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Restoration Plan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35,957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35,957</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35,957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3"/>
                <w:szCs w:val="13"/>
                <w:color w:val="auto"/>
              </w:rPr>
              <w:t>35,957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35,957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Restricted Stock Units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0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185,391</w:t>
            </w:r>
          </w:p>
        </w:tc>
        <w:tc>
          <w:tcPr>
            <w:tcW w:w="80" w:type="dxa"/>
            <w:vAlign w:val="bottom"/>
            <w:shd w:val="clear" w:color="auto" w:fill="DBDBDB"/>
          </w:tcPr>
          <w:p>
            <w:pPr>
              <w:spacing w:after="0"/>
              <w:rPr>
                <w:sz w:val="16"/>
                <w:szCs w:val="16"/>
                <w:color w:val="auto"/>
              </w:rPr>
            </w:pPr>
          </w:p>
        </w:tc>
        <w:tc>
          <w:tcPr>
            <w:tcW w:w="18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185,391</w:t>
            </w:r>
          </w:p>
        </w:tc>
        <w:tc>
          <w:tcPr>
            <w:tcW w:w="100" w:type="dxa"/>
            <w:vAlign w:val="bottom"/>
            <w:shd w:val="clear" w:color="auto" w:fill="DBDBDB"/>
          </w:tcPr>
          <w:p>
            <w:pPr>
              <w:spacing w:after="0"/>
              <w:rPr>
                <w:sz w:val="16"/>
                <w:szCs w:val="16"/>
                <w:color w:val="auto"/>
              </w:rPr>
            </w:pPr>
          </w:p>
        </w:tc>
        <w:tc>
          <w:tcPr>
            <w:tcW w:w="20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185,391</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Borders>
              <w:bottom w:val="single" w:sz="8" w:color="DBDBDB"/>
            </w:tcBorders>
          </w:tcPr>
          <w:p>
            <w:pPr>
              <w:ind w:left="160"/>
              <w:spacing w:after="0"/>
              <w:rPr>
                <w:sz w:val="20"/>
                <w:szCs w:val="20"/>
                <w:color w:val="auto"/>
              </w:rPr>
            </w:pPr>
            <w:r>
              <w:rPr>
                <w:rFonts w:ascii="Arial" w:cs="Arial" w:eastAsia="Arial" w:hAnsi="Arial"/>
                <w:sz w:val="13"/>
                <w:szCs w:val="13"/>
                <w:color w:val="auto"/>
              </w:rPr>
              <w:t>Performance RSUs</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278,203</w:t>
            </w:r>
          </w:p>
        </w:tc>
        <w:tc>
          <w:tcPr>
            <w:tcW w:w="80" w:type="dxa"/>
            <w:vAlign w:val="bottom"/>
            <w:tcBorders>
              <w:bottom w:val="single" w:sz="8" w:color="DBDBDB"/>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278,203</w:t>
            </w:r>
          </w:p>
        </w:tc>
        <w:tc>
          <w:tcPr>
            <w:tcW w:w="100" w:type="dxa"/>
            <w:vAlign w:val="bottom"/>
            <w:tcBorders>
              <w:bottom w:val="single" w:sz="8" w:color="DBDBDB"/>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278,203</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Total</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811,251</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48,607</w:t>
            </w:r>
          </w:p>
        </w:tc>
        <w:tc>
          <w:tcPr>
            <w:tcW w:w="80" w:type="dxa"/>
            <w:vAlign w:val="bottom"/>
            <w:shd w:val="clear" w:color="auto" w:fill="DBDBDB"/>
          </w:tcPr>
          <w:p>
            <w:pPr>
              <w:spacing w:after="0"/>
              <w:rPr>
                <w:sz w:val="15"/>
                <w:szCs w:val="15"/>
                <w:color w:val="auto"/>
              </w:rPr>
            </w:pPr>
          </w:p>
        </w:tc>
        <w:tc>
          <w:tcPr>
            <w:tcW w:w="20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3,481,026</w:t>
            </w:r>
          </w:p>
        </w:tc>
        <w:tc>
          <w:tcPr>
            <w:tcW w:w="80" w:type="dxa"/>
            <w:vAlign w:val="bottom"/>
            <w:shd w:val="clear" w:color="auto" w:fill="DBDBDB"/>
          </w:tcPr>
          <w:p>
            <w:pPr>
              <w:spacing w:after="0"/>
              <w:rPr>
                <w:sz w:val="15"/>
                <w:szCs w:val="15"/>
                <w:color w:val="auto"/>
              </w:rPr>
            </w:pPr>
          </w:p>
        </w:tc>
        <w:tc>
          <w:tcPr>
            <w:tcW w:w="18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1,259,845</w:t>
            </w:r>
          </w:p>
        </w:tc>
        <w:tc>
          <w:tcPr>
            <w:tcW w:w="100" w:type="dxa"/>
            <w:vAlign w:val="bottom"/>
            <w:shd w:val="clear" w:color="auto" w:fill="DBDBDB"/>
          </w:tcPr>
          <w:p>
            <w:pPr>
              <w:spacing w:after="0"/>
              <w:rPr>
                <w:sz w:val="15"/>
                <w:szCs w:val="15"/>
                <w:color w:val="auto"/>
              </w:rPr>
            </w:pPr>
          </w:p>
        </w:tc>
        <w:tc>
          <w:tcPr>
            <w:tcW w:w="20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512,201</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-3858260</wp:posOffset>
            </wp:positionV>
            <wp:extent cx="7076440"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076440" cy="762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46 </w:t>
      </w:r>
      <w:r>
        <w:rPr>
          <w:sz w:val="1"/>
          <w:szCs w:val="1"/>
          <w:color w:val="auto"/>
        </w:rPr>
        <w:drawing>
          <wp:inline distT="0" distB="0" distL="0" distR="0">
            <wp:extent cx="401955" cy="16256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58" w:name="page59"/>
    <w:bookmarkEnd w:id="58"/>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280" w:type="dxa"/>
            <w:vAlign w:val="bottom"/>
            <w:tcBorders>
              <w:bottom w:val="single" w:sz="8" w:color="auto"/>
            </w:tcBorders>
            <w:gridSpan w:val="11"/>
          </w:tcPr>
          <w:p>
            <w:pPr>
              <w:ind w:left="860"/>
              <w:spacing w:after="0"/>
              <w:rPr>
                <w:sz w:val="20"/>
                <w:szCs w:val="20"/>
                <w:color w:val="auto"/>
              </w:rPr>
            </w:pPr>
            <w:r>
              <w:rPr>
                <w:rFonts w:ascii="Arial" w:cs="Arial" w:eastAsia="Arial" w:hAnsi="Arial"/>
                <w:sz w:val="13"/>
                <w:szCs w:val="13"/>
                <w:color w:val="auto"/>
              </w:rPr>
              <w:t>COMPENSATION OF EXECUTIVE OFFICERS</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2"/>
        </w:trPr>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260" w:type="dxa"/>
            <w:vAlign w:val="bottom"/>
            <w:vMerge w:val="restart"/>
            <w:shd w:val="clear" w:color="auto" w:fill="000000"/>
          </w:tcPr>
          <w:p>
            <w:pPr>
              <w:ind w:left="140"/>
              <w:spacing w:after="0"/>
              <w:rPr>
                <w:sz w:val="20"/>
                <w:szCs w:val="20"/>
                <w:color w:val="auto"/>
              </w:rPr>
            </w:pPr>
            <w:r>
              <w:rPr>
                <w:rFonts w:ascii="Arial" w:cs="Arial" w:eastAsia="Arial" w:hAnsi="Arial"/>
                <w:sz w:val="11"/>
                <w:szCs w:val="11"/>
                <w:b w:val="1"/>
                <w:bCs w:val="1"/>
                <w:color w:val="FFFFFF"/>
              </w:rPr>
              <w:t>Named Executive and Description of</w:t>
            </w:r>
          </w:p>
        </w:tc>
        <w:tc>
          <w:tcPr>
            <w:tcW w:w="8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980" w:type="dxa"/>
            <w:vAlign w:val="bottom"/>
            <w:gridSpan w:val="2"/>
            <w:vMerge w:val="restart"/>
            <w:shd w:val="clear" w:color="auto" w:fill="000000"/>
          </w:tcPr>
          <w:p>
            <w:pPr>
              <w:ind w:left="120"/>
              <w:spacing w:after="0"/>
              <w:rPr>
                <w:sz w:val="20"/>
                <w:szCs w:val="20"/>
                <w:color w:val="auto"/>
              </w:rPr>
            </w:pPr>
            <w:r>
              <w:rPr>
                <w:rFonts w:ascii="Arial" w:cs="Arial" w:eastAsia="Arial" w:hAnsi="Arial"/>
                <w:sz w:val="11"/>
                <w:szCs w:val="11"/>
                <w:b w:val="1"/>
                <w:bCs w:val="1"/>
                <w:color w:val="FFFFFF"/>
              </w:rPr>
              <w:t>Voluntary</w:t>
            </w:r>
          </w:p>
        </w:tc>
        <w:tc>
          <w:tcPr>
            <w:tcW w:w="80" w:type="dxa"/>
            <w:vAlign w:val="bottom"/>
            <w:shd w:val="clear" w:color="auto" w:fill="000000"/>
          </w:tcPr>
          <w:p>
            <w:pPr>
              <w:spacing w:after="0"/>
              <w:rPr>
                <w:sz w:val="9"/>
                <w:szCs w:val="9"/>
                <w:color w:val="auto"/>
              </w:rPr>
            </w:pPr>
          </w:p>
        </w:tc>
        <w:tc>
          <w:tcPr>
            <w:tcW w:w="1020" w:type="dxa"/>
            <w:vAlign w:val="bottom"/>
            <w:gridSpan w:val="2"/>
            <w:shd w:val="clear" w:color="auto" w:fill="000000"/>
          </w:tcPr>
          <w:p>
            <w:pPr>
              <w:jc w:val="center"/>
              <w:ind w:right="160"/>
              <w:spacing w:after="0" w:line="110" w:lineRule="exact"/>
              <w:rPr>
                <w:sz w:val="20"/>
                <w:szCs w:val="20"/>
                <w:color w:val="auto"/>
              </w:rPr>
            </w:pPr>
            <w:r>
              <w:rPr>
                <w:rFonts w:ascii="Arial" w:cs="Arial" w:eastAsia="Arial" w:hAnsi="Arial"/>
                <w:sz w:val="11"/>
                <w:szCs w:val="11"/>
                <w:b w:val="1"/>
                <w:bCs w:val="1"/>
                <w:color w:val="FFFFFF"/>
              </w:rPr>
              <w:t>Involuntary</w:t>
            </w:r>
          </w:p>
        </w:tc>
        <w:tc>
          <w:tcPr>
            <w:tcW w:w="120" w:type="dxa"/>
            <w:vAlign w:val="bottom"/>
            <w:shd w:val="clear" w:color="auto" w:fill="000000"/>
          </w:tcPr>
          <w:p>
            <w:pPr>
              <w:spacing w:after="0"/>
              <w:rPr>
                <w:sz w:val="9"/>
                <w:szCs w:val="9"/>
                <w:color w:val="auto"/>
              </w:rPr>
            </w:pPr>
          </w:p>
        </w:tc>
        <w:tc>
          <w:tcPr>
            <w:tcW w:w="1040" w:type="dxa"/>
            <w:vAlign w:val="bottom"/>
            <w:gridSpan w:val="2"/>
            <w:shd w:val="clear" w:color="auto" w:fill="000000"/>
          </w:tcPr>
          <w:p>
            <w:pPr>
              <w:jc w:val="center"/>
              <w:ind w:right="200"/>
              <w:spacing w:after="0" w:line="110" w:lineRule="exact"/>
              <w:rPr>
                <w:sz w:val="20"/>
                <w:szCs w:val="20"/>
                <w:color w:val="auto"/>
              </w:rPr>
            </w:pPr>
            <w:r>
              <w:rPr>
                <w:rFonts w:ascii="Arial" w:cs="Arial" w:eastAsia="Arial" w:hAnsi="Arial"/>
                <w:sz w:val="11"/>
                <w:szCs w:val="11"/>
                <w:b w:val="1"/>
                <w:bCs w:val="1"/>
                <w:color w:val="FFFFFF"/>
              </w:rPr>
              <w:t>Involuntary</w:t>
            </w:r>
          </w:p>
        </w:tc>
        <w:tc>
          <w:tcPr>
            <w:tcW w:w="1100" w:type="dxa"/>
            <w:vAlign w:val="bottom"/>
            <w:gridSpan w:val="3"/>
            <w:shd w:val="clear" w:color="auto" w:fill="000000"/>
          </w:tcPr>
          <w:p>
            <w:pPr>
              <w:ind w:left="20"/>
              <w:spacing w:after="0" w:line="110" w:lineRule="exact"/>
              <w:rPr>
                <w:sz w:val="20"/>
                <w:szCs w:val="20"/>
                <w:color w:val="auto"/>
              </w:rPr>
            </w:pPr>
            <w:r>
              <w:rPr>
                <w:rFonts w:ascii="Arial" w:cs="Arial" w:eastAsia="Arial" w:hAnsi="Arial"/>
                <w:sz w:val="11"/>
                <w:szCs w:val="11"/>
                <w:b w:val="1"/>
                <w:bCs w:val="1"/>
                <w:color w:val="FFFFFF"/>
              </w:rPr>
              <w:t>Change in Control</w:t>
            </w:r>
          </w:p>
        </w:tc>
        <w:tc>
          <w:tcPr>
            <w:tcW w:w="1120" w:type="dxa"/>
            <w:vAlign w:val="bottom"/>
            <w:gridSpan w:val="3"/>
            <w:vMerge w:val="restart"/>
            <w:shd w:val="clear" w:color="auto" w:fill="000000"/>
          </w:tcPr>
          <w:p>
            <w:pPr>
              <w:ind w:left="20"/>
              <w:spacing w:after="0"/>
              <w:rPr>
                <w:sz w:val="20"/>
                <w:szCs w:val="20"/>
                <w:color w:val="auto"/>
              </w:rPr>
            </w:pPr>
            <w:r>
              <w:rPr>
                <w:rFonts w:ascii="Arial" w:cs="Arial" w:eastAsia="Arial" w:hAnsi="Arial"/>
                <w:sz w:val="11"/>
                <w:szCs w:val="11"/>
                <w:b w:val="1"/>
                <w:bCs w:val="1"/>
                <w:color w:val="FFFFFF"/>
              </w:rPr>
              <w:t>Change in Control</w:t>
            </w:r>
          </w:p>
        </w:tc>
        <w:tc>
          <w:tcPr>
            <w:tcW w:w="160" w:type="dxa"/>
            <w:vAlign w:val="bottom"/>
            <w:shd w:val="clear" w:color="auto" w:fill="000000"/>
          </w:tcPr>
          <w:p>
            <w:pPr>
              <w:spacing w:after="0"/>
              <w:rPr>
                <w:sz w:val="9"/>
                <w:szCs w:val="9"/>
                <w:color w:val="auto"/>
              </w:rPr>
            </w:pPr>
          </w:p>
        </w:tc>
        <w:tc>
          <w:tcPr>
            <w:tcW w:w="88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22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100" w:type="dxa"/>
            <w:vAlign w:val="bottom"/>
            <w:shd w:val="clear" w:color="auto" w:fill="000000"/>
          </w:tcPr>
          <w:p>
            <w:pPr>
              <w:spacing w:after="0"/>
              <w:rPr>
                <w:sz w:val="9"/>
                <w:szCs w:val="9"/>
                <w:color w:val="auto"/>
              </w:rPr>
            </w:pPr>
          </w:p>
        </w:tc>
        <w:tc>
          <w:tcPr>
            <w:tcW w:w="140" w:type="dxa"/>
            <w:vAlign w:val="bottom"/>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76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260" w:type="dxa"/>
            <w:vAlign w:val="bottom"/>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980" w:type="dxa"/>
            <w:vAlign w:val="bottom"/>
            <w:gridSpan w:val="2"/>
            <w:vMerge w:val="continue"/>
            <w:shd w:val="clear" w:color="auto" w:fill="000000"/>
          </w:tcPr>
          <w:p>
            <w:pPr>
              <w:spacing w:after="0"/>
              <w:rPr>
                <w:sz w:val="9"/>
                <w:szCs w:val="9"/>
                <w:color w:val="auto"/>
              </w:rPr>
            </w:pPr>
          </w:p>
        </w:tc>
        <w:tc>
          <w:tcPr>
            <w:tcW w:w="80" w:type="dxa"/>
            <w:vAlign w:val="bottom"/>
            <w:shd w:val="clear" w:color="auto" w:fill="000000"/>
          </w:tcPr>
          <w:p>
            <w:pPr>
              <w:spacing w:after="0"/>
              <w:rPr>
                <w:sz w:val="9"/>
                <w:szCs w:val="9"/>
                <w:color w:val="auto"/>
              </w:rPr>
            </w:pPr>
          </w:p>
        </w:tc>
        <w:tc>
          <w:tcPr>
            <w:tcW w:w="1020" w:type="dxa"/>
            <w:vAlign w:val="bottom"/>
            <w:gridSpan w:val="2"/>
            <w:shd w:val="clear" w:color="auto" w:fill="000000"/>
          </w:tcPr>
          <w:p>
            <w:pPr>
              <w:jc w:val="center"/>
              <w:ind w:right="160"/>
              <w:spacing w:after="0" w:line="110" w:lineRule="exact"/>
              <w:rPr>
                <w:sz w:val="20"/>
                <w:szCs w:val="20"/>
                <w:color w:val="auto"/>
              </w:rPr>
            </w:pPr>
            <w:r>
              <w:rPr>
                <w:rFonts w:ascii="Arial" w:cs="Arial" w:eastAsia="Arial" w:hAnsi="Arial"/>
                <w:sz w:val="11"/>
                <w:szCs w:val="11"/>
                <w:b w:val="1"/>
                <w:bCs w:val="1"/>
                <w:color w:val="FFFFFF"/>
              </w:rPr>
              <w:t>Termination not</w:t>
            </w:r>
          </w:p>
        </w:tc>
        <w:tc>
          <w:tcPr>
            <w:tcW w:w="120" w:type="dxa"/>
            <w:vAlign w:val="bottom"/>
            <w:shd w:val="clear" w:color="auto" w:fill="000000"/>
          </w:tcPr>
          <w:p>
            <w:pPr>
              <w:spacing w:after="0"/>
              <w:rPr>
                <w:sz w:val="9"/>
                <w:szCs w:val="9"/>
                <w:color w:val="auto"/>
              </w:rPr>
            </w:pPr>
          </w:p>
        </w:tc>
        <w:tc>
          <w:tcPr>
            <w:tcW w:w="1040" w:type="dxa"/>
            <w:vAlign w:val="bottom"/>
            <w:gridSpan w:val="2"/>
            <w:shd w:val="clear" w:color="auto" w:fill="000000"/>
          </w:tcPr>
          <w:p>
            <w:pPr>
              <w:jc w:val="center"/>
              <w:ind w:right="200"/>
              <w:spacing w:after="0" w:line="110" w:lineRule="exact"/>
              <w:rPr>
                <w:sz w:val="20"/>
                <w:szCs w:val="20"/>
                <w:color w:val="auto"/>
              </w:rPr>
            </w:pPr>
            <w:r>
              <w:rPr>
                <w:rFonts w:ascii="Arial" w:cs="Arial" w:eastAsia="Arial" w:hAnsi="Arial"/>
                <w:sz w:val="11"/>
                <w:szCs w:val="11"/>
                <w:b w:val="1"/>
                <w:bCs w:val="1"/>
                <w:color w:val="FFFFFF"/>
              </w:rPr>
              <w:t>Termination for</w:t>
            </w:r>
          </w:p>
        </w:tc>
        <w:tc>
          <w:tcPr>
            <w:tcW w:w="140" w:type="dxa"/>
            <w:vAlign w:val="bottom"/>
            <w:shd w:val="clear" w:color="auto" w:fill="000000"/>
          </w:tcPr>
          <w:p>
            <w:pPr>
              <w:spacing w:after="0"/>
              <w:rPr>
                <w:sz w:val="9"/>
                <w:szCs w:val="9"/>
                <w:color w:val="auto"/>
              </w:rPr>
            </w:pPr>
          </w:p>
        </w:tc>
        <w:tc>
          <w:tcPr>
            <w:tcW w:w="960" w:type="dxa"/>
            <w:vAlign w:val="bottom"/>
            <w:gridSpan w:val="2"/>
            <w:shd w:val="clear" w:color="auto" w:fill="000000"/>
          </w:tcPr>
          <w:p>
            <w:pPr>
              <w:jc w:val="center"/>
              <w:ind w:right="240"/>
              <w:spacing w:after="0" w:line="110" w:lineRule="exact"/>
              <w:rPr>
                <w:sz w:val="20"/>
                <w:szCs w:val="20"/>
                <w:color w:val="auto"/>
              </w:rPr>
            </w:pPr>
            <w:r>
              <w:rPr>
                <w:rFonts w:ascii="Arial" w:cs="Arial" w:eastAsia="Arial" w:hAnsi="Arial"/>
                <w:sz w:val="11"/>
                <w:szCs w:val="11"/>
                <w:b w:val="1"/>
                <w:bCs w:val="1"/>
                <w:color w:val="FFFFFF"/>
              </w:rPr>
              <w:t>without</w:t>
            </w:r>
          </w:p>
        </w:tc>
        <w:tc>
          <w:tcPr>
            <w:tcW w:w="1120" w:type="dxa"/>
            <w:vAlign w:val="bottom"/>
            <w:gridSpan w:val="3"/>
            <w:vMerge w:val="continue"/>
            <w:shd w:val="clear" w:color="auto" w:fill="000000"/>
          </w:tcPr>
          <w:p>
            <w:pPr>
              <w:spacing w:after="0"/>
              <w:rPr>
                <w:sz w:val="9"/>
                <w:szCs w:val="9"/>
                <w:color w:val="auto"/>
              </w:rPr>
            </w:pPr>
          </w:p>
        </w:tc>
        <w:tc>
          <w:tcPr>
            <w:tcW w:w="160" w:type="dxa"/>
            <w:vAlign w:val="bottom"/>
            <w:shd w:val="clear" w:color="auto" w:fill="000000"/>
          </w:tcPr>
          <w:p>
            <w:pPr>
              <w:spacing w:after="0"/>
              <w:rPr>
                <w:sz w:val="9"/>
                <w:szCs w:val="9"/>
                <w:color w:val="auto"/>
              </w:rPr>
            </w:pPr>
          </w:p>
        </w:tc>
        <w:tc>
          <w:tcPr>
            <w:tcW w:w="960" w:type="dxa"/>
            <w:vAlign w:val="bottom"/>
            <w:gridSpan w:val="2"/>
            <w:vMerge w:val="restart"/>
            <w:shd w:val="clear" w:color="auto" w:fill="000000"/>
          </w:tcPr>
          <w:p>
            <w:pPr>
              <w:ind w:left="100"/>
              <w:spacing w:after="0"/>
              <w:rPr>
                <w:sz w:val="20"/>
                <w:szCs w:val="20"/>
                <w:color w:val="auto"/>
              </w:rPr>
            </w:pPr>
            <w:r>
              <w:rPr>
                <w:rFonts w:ascii="Arial" w:cs="Arial" w:eastAsia="Arial" w:hAnsi="Arial"/>
                <w:sz w:val="11"/>
                <w:szCs w:val="11"/>
                <w:b w:val="1"/>
                <w:bCs w:val="1"/>
                <w:color w:val="FFFFFF"/>
              </w:rPr>
              <w:t>Disability</w:t>
            </w:r>
          </w:p>
        </w:tc>
        <w:tc>
          <w:tcPr>
            <w:tcW w:w="220" w:type="dxa"/>
            <w:vAlign w:val="bottom"/>
            <w:shd w:val="clear" w:color="auto" w:fill="000000"/>
          </w:tcPr>
          <w:p>
            <w:pPr>
              <w:spacing w:after="0"/>
              <w:rPr>
                <w:sz w:val="9"/>
                <w:szCs w:val="9"/>
                <w:color w:val="auto"/>
              </w:rPr>
            </w:pPr>
          </w:p>
        </w:tc>
        <w:tc>
          <w:tcPr>
            <w:tcW w:w="860" w:type="dxa"/>
            <w:vAlign w:val="bottom"/>
            <w:gridSpan w:val="2"/>
            <w:vMerge w:val="restart"/>
            <w:shd w:val="clear" w:color="auto" w:fill="000000"/>
          </w:tcPr>
          <w:p>
            <w:pPr>
              <w:ind w:left="120"/>
              <w:spacing w:after="0"/>
              <w:rPr>
                <w:sz w:val="20"/>
                <w:szCs w:val="20"/>
                <w:color w:val="auto"/>
              </w:rPr>
            </w:pPr>
            <w:r>
              <w:rPr>
                <w:rFonts w:ascii="Arial" w:cs="Arial" w:eastAsia="Arial" w:hAnsi="Arial"/>
                <w:sz w:val="11"/>
                <w:szCs w:val="11"/>
                <w:b w:val="1"/>
                <w:bCs w:val="1"/>
                <w:color w:val="FFFFFF"/>
              </w:rPr>
              <w:t>Death</w:t>
            </w:r>
          </w:p>
        </w:tc>
        <w:tc>
          <w:tcPr>
            <w:tcW w:w="140" w:type="dxa"/>
            <w:vAlign w:val="bottom"/>
            <w:shd w:val="clear" w:color="auto" w:fill="000000"/>
          </w:tcPr>
          <w:p>
            <w:pPr>
              <w:spacing w:after="0"/>
              <w:rPr>
                <w:sz w:val="9"/>
                <w:szCs w:val="9"/>
                <w:color w:val="auto"/>
              </w:rPr>
            </w:pPr>
          </w:p>
        </w:tc>
        <w:tc>
          <w:tcPr>
            <w:tcW w:w="840" w:type="dxa"/>
            <w:vAlign w:val="bottom"/>
            <w:gridSpan w:val="2"/>
            <w:vMerge w:val="restart"/>
            <w:shd w:val="clear" w:color="auto" w:fill="000000"/>
          </w:tcPr>
          <w:p>
            <w:pPr>
              <w:ind w:left="60"/>
              <w:spacing w:after="0"/>
              <w:rPr>
                <w:sz w:val="20"/>
                <w:szCs w:val="20"/>
                <w:color w:val="auto"/>
              </w:rPr>
            </w:pPr>
            <w:r>
              <w:rPr>
                <w:rFonts w:ascii="Arial" w:cs="Arial" w:eastAsia="Arial" w:hAnsi="Arial"/>
                <w:sz w:val="11"/>
                <w:szCs w:val="11"/>
                <w:b w:val="1"/>
                <w:bCs w:val="1"/>
                <w:color w:val="FFFFFF"/>
              </w:rPr>
              <w:t>Retirement</w:t>
            </w:r>
          </w:p>
        </w:tc>
        <w:tc>
          <w:tcPr>
            <w:tcW w:w="0" w:type="dxa"/>
            <w:vAlign w:val="bottom"/>
          </w:tcPr>
          <w:p>
            <w:pPr>
              <w:spacing w:after="0"/>
              <w:rPr>
                <w:sz w:val="1"/>
                <w:szCs w:val="1"/>
                <w:color w:val="auto"/>
              </w:rPr>
            </w:pPr>
          </w:p>
        </w:tc>
      </w:tr>
      <w:tr>
        <w:trPr>
          <w:trHeight w:val="164"/>
        </w:trPr>
        <w:tc>
          <w:tcPr>
            <w:tcW w:w="2260" w:type="dxa"/>
            <w:vAlign w:val="bottom"/>
            <w:shd w:val="clear" w:color="auto" w:fill="000000"/>
          </w:tcPr>
          <w:p>
            <w:pPr>
              <w:ind w:left="600"/>
              <w:spacing w:after="0"/>
              <w:rPr>
                <w:sz w:val="20"/>
                <w:szCs w:val="20"/>
                <w:color w:val="auto"/>
              </w:rPr>
            </w:pPr>
            <w:r>
              <w:rPr>
                <w:rFonts w:ascii="Arial" w:cs="Arial" w:eastAsia="Arial" w:hAnsi="Arial"/>
                <w:sz w:val="11"/>
                <w:szCs w:val="11"/>
                <w:b w:val="1"/>
                <w:bCs w:val="1"/>
                <w:color w:val="FFFFFF"/>
              </w:rPr>
              <w:t>Potential Payments</w:t>
            </w:r>
          </w:p>
        </w:tc>
        <w:tc>
          <w:tcPr>
            <w:tcW w:w="8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980" w:type="dxa"/>
            <w:vAlign w:val="bottom"/>
            <w:gridSpan w:val="2"/>
            <w:shd w:val="clear" w:color="auto" w:fill="000000"/>
          </w:tcPr>
          <w:p>
            <w:pPr>
              <w:ind w:left="60"/>
              <w:spacing w:after="0"/>
              <w:rPr>
                <w:sz w:val="20"/>
                <w:szCs w:val="20"/>
                <w:color w:val="auto"/>
              </w:rPr>
            </w:pPr>
            <w:r>
              <w:rPr>
                <w:rFonts w:ascii="Arial" w:cs="Arial" w:eastAsia="Arial" w:hAnsi="Arial"/>
                <w:sz w:val="11"/>
                <w:szCs w:val="11"/>
                <w:b w:val="1"/>
                <w:bCs w:val="1"/>
                <w:color w:val="FFFFFF"/>
              </w:rPr>
              <w:t>Termination</w:t>
            </w:r>
          </w:p>
        </w:tc>
        <w:tc>
          <w:tcPr>
            <w:tcW w:w="80" w:type="dxa"/>
            <w:vAlign w:val="bottom"/>
            <w:shd w:val="clear" w:color="auto" w:fill="000000"/>
          </w:tcPr>
          <w:p>
            <w:pPr>
              <w:spacing w:after="0"/>
              <w:rPr>
                <w:sz w:val="14"/>
                <w:szCs w:val="14"/>
                <w:color w:val="auto"/>
              </w:rPr>
            </w:pPr>
          </w:p>
        </w:tc>
        <w:tc>
          <w:tcPr>
            <w:tcW w:w="1020" w:type="dxa"/>
            <w:vAlign w:val="bottom"/>
            <w:gridSpan w:val="2"/>
            <w:shd w:val="clear" w:color="auto" w:fill="000000"/>
          </w:tcPr>
          <w:p>
            <w:pPr>
              <w:jc w:val="center"/>
              <w:ind w:right="140"/>
              <w:spacing w:after="0"/>
              <w:rPr>
                <w:sz w:val="20"/>
                <w:szCs w:val="20"/>
                <w:color w:val="auto"/>
              </w:rPr>
            </w:pPr>
            <w:r>
              <w:rPr>
                <w:rFonts w:ascii="Arial" w:cs="Arial" w:eastAsia="Arial" w:hAnsi="Arial"/>
                <w:sz w:val="11"/>
                <w:szCs w:val="11"/>
                <w:b w:val="1"/>
                <w:bCs w:val="1"/>
                <w:color w:val="FFFFFF"/>
              </w:rPr>
              <w:t>for Cause</w:t>
            </w:r>
          </w:p>
        </w:tc>
        <w:tc>
          <w:tcPr>
            <w:tcW w:w="120" w:type="dxa"/>
            <w:vAlign w:val="bottom"/>
            <w:shd w:val="clear" w:color="auto" w:fill="000000"/>
          </w:tcPr>
          <w:p>
            <w:pPr>
              <w:spacing w:after="0"/>
              <w:rPr>
                <w:sz w:val="14"/>
                <w:szCs w:val="14"/>
                <w:color w:val="auto"/>
              </w:rPr>
            </w:pPr>
          </w:p>
        </w:tc>
        <w:tc>
          <w:tcPr>
            <w:tcW w:w="1040" w:type="dxa"/>
            <w:vAlign w:val="bottom"/>
            <w:gridSpan w:val="2"/>
            <w:shd w:val="clear" w:color="auto" w:fill="000000"/>
          </w:tcPr>
          <w:p>
            <w:pPr>
              <w:jc w:val="center"/>
              <w:ind w:right="220"/>
              <w:spacing w:after="0"/>
              <w:rPr>
                <w:sz w:val="20"/>
                <w:szCs w:val="20"/>
                <w:color w:val="auto"/>
              </w:rPr>
            </w:pPr>
            <w:r>
              <w:rPr>
                <w:rFonts w:ascii="Arial" w:cs="Arial" w:eastAsia="Arial" w:hAnsi="Arial"/>
                <w:sz w:val="11"/>
                <w:szCs w:val="11"/>
                <w:b w:val="1"/>
                <w:bCs w:val="1"/>
                <w:color w:val="FFFFFF"/>
              </w:rPr>
              <w:t>Cause</w:t>
            </w:r>
          </w:p>
        </w:tc>
        <w:tc>
          <w:tcPr>
            <w:tcW w:w="140" w:type="dxa"/>
            <w:vAlign w:val="bottom"/>
            <w:shd w:val="clear" w:color="auto" w:fill="000000"/>
          </w:tcPr>
          <w:p>
            <w:pPr>
              <w:spacing w:after="0"/>
              <w:rPr>
                <w:sz w:val="14"/>
                <w:szCs w:val="14"/>
                <w:color w:val="auto"/>
              </w:rPr>
            </w:pPr>
          </w:p>
        </w:tc>
        <w:tc>
          <w:tcPr>
            <w:tcW w:w="960" w:type="dxa"/>
            <w:vAlign w:val="bottom"/>
            <w:gridSpan w:val="2"/>
            <w:shd w:val="clear" w:color="auto" w:fill="000000"/>
          </w:tcPr>
          <w:p>
            <w:pPr>
              <w:jc w:val="center"/>
              <w:ind w:right="240"/>
              <w:spacing w:after="0"/>
              <w:rPr>
                <w:sz w:val="20"/>
                <w:szCs w:val="20"/>
                <w:color w:val="auto"/>
              </w:rPr>
            </w:pPr>
            <w:r>
              <w:rPr>
                <w:rFonts w:ascii="Arial" w:cs="Arial" w:eastAsia="Arial" w:hAnsi="Arial"/>
                <w:sz w:val="11"/>
                <w:szCs w:val="11"/>
                <w:b w:val="1"/>
                <w:bCs w:val="1"/>
                <w:color w:val="FFFFFF"/>
              </w:rPr>
              <w:t>Termination</w:t>
            </w:r>
          </w:p>
        </w:tc>
        <w:tc>
          <w:tcPr>
            <w:tcW w:w="1120" w:type="dxa"/>
            <w:vAlign w:val="bottom"/>
            <w:gridSpan w:val="3"/>
            <w:shd w:val="clear" w:color="auto" w:fill="000000"/>
          </w:tcPr>
          <w:p>
            <w:pPr>
              <w:ind w:left="60"/>
              <w:spacing w:after="0"/>
              <w:rPr>
                <w:sz w:val="20"/>
                <w:szCs w:val="20"/>
                <w:color w:val="auto"/>
              </w:rPr>
            </w:pPr>
            <w:r>
              <w:rPr>
                <w:rFonts w:ascii="Arial" w:cs="Arial" w:eastAsia="Arial" w:hAnsi="Arial"/>
                <w:sz w:val="11"/>
                <w:szCs w:val="11"/>
                <w:b w:val="1"/>
                <w:bCs w:val="1"/>
                <w:color w:val="FFFFFF"/>
              </w:rPr>
              <w:t>with Termination</w:t>
            </w:r>
          </w:p>
        </w:tc>
        <w:tc>
          <w:tcPr>
            <w:tcW w:w="160" w:type="dxa"/>
            <w:vAlign w:val="bottom"/>
            <w:shd w:val="clear" w:color="auto" w:fill="000000"/>
          </w:tcPr>
          <w:p>
            <w:pPr>
              <w:spacing w:after="0"/>
              <w:rPr>
                <w:sz w:val="14"/>
                <w:szCs w:val="14"/>
                <w:color w:val="auto"/>
              </w:rPr>
            </w:pPr>
          </w:p>
        </w:tc>
        <w:tc>
          <w:tcPr>
            <w:tcW w:w="960" w:type="dxa"/>
            <w:vAlign w:val="bottom"/>
            <w:gridSpan w:val="2"/>
            <w:vMerge w:val="continue"/>
            <w:shd w:val="clear" w:color="auto" w:fill="000000"/>
          </w:tcPr>
          <w:p>
            <w:pPr>
              <w:spacing w:after="0"/>
              <w:rPr>
                <w:sz w:val="14"/>
                <w:szCs w:val="14"/>
                <w:color w:val="auto"/>
              </w:rPr>
            </w:pPr>
          </w:p>
        </w:tc>
        <w:tc>
          <w:tcPr>
            <w:tcW w:w="220" w:type="dxa"/>
            <w:vAlign w:val="bottom"/>
            <w:shd w:val="clear" w:color="auto" w:fill="000000"/>
          </w:tcPr>
          <w:p>
            <w:pPr>
              <w:spacing w:after="0"/>
              <w:rPr>
                <w:sz w:val="14"/>
                <w:szCs w:val="14"/>
                <w:color w:val="auto"/>
              </w:rPr>
            </w:pPr>
          </w:p>
        </w:tc>
        <w:tc>
          <w:tcPr>
            <w:tcW w:w="860" w:type="dxa"/>
            <w:vAlign w:val="bottom"/>
            <w:gridSpan w:val="2"/>
            <w:vMerge w:val="continue"/>
            <w:shd w:val="clear" w:color="auto" w:fill="000000"/>
          </w:tcPr>
          <w:p>
            <w:pPr>
              <w:spacing w:after="0"/>
              <w:rPr>
                <w:sz w:val="14"/>
                <w:szCs w:val="14"/>
                <w:color w:val="auto"/>
              </w:rPr>
            </w:pPr>
          </w:p>
        </w:tc>
        <w:tc>
          <w:tcPr>
            <w:tcW w:w="140" w:type="dxa"/>
            <w:vAlign w:val="bottom"/>
            <w:shd w:val="clear" w:color="auto" w:fill="000000"/>
          </w:tcPr>
          <w:p>
            <w:pPr>
              <w:spacing w:after="0"/>
              <w:rPr>
                <w:sz w:val="14"/>
                <w:szCs w:val="14"/>
                <w:color w:val="auto"/>
              </w:rPr>
            </w:pPr>
          </w:p>
        </w:tc>
        <w:tc>
          <w:tcPr>
            <w:tcW w:w="840" w:type="dxa"/>
            <w:vAlign w:val="bottom"/>
            <w:gridSpan w:val="2"/>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2260" w:type="dxa"/>
            <w:vAlign w:val="bottom"/>
            <w:shd w:val="clear" w:color="auto" w:fill="000000"/>
          </w:tcPr>
          <w:p>
            <w:pPr>
              <w:ind w:left="20"/>
              <w:spacing w:after="0"/>
              <w:rPr>
                <w:sz w:val="20"/>
                <w:szCs w:val="20"/>
                <w:color w:val="auto"/>
              </w:rPr>
            </w:pPr>
            <w:r>
              <w:rPr>
                <w:rFonts w:ascii="Arial" w:cs="Arial" w:eastAsia="Arial" w:hAnsi="Arial"/>
                <w:sz w:val="13"/>
                <w:szCs w:val="13"/>
                <w:b w:val="1"/>
                <w:bCs w:val="1"/>
                <w:color w:val="FFFFFF"/>
              </w:rPr>
              <w:t>Robert L. Duffy</w:t>
            </w:r>
          </w:p>
        </w:tc>
        <w:tc>
          <w:tcPr>
            <w:tcW w:w="8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90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120" w:type="dxa"/>
            <w:vAlign w:val="bottom"/>
            <w:shd w:val="clear" w:color="auto" w:fill="000000"/>
          </w:tcPr>
          <w:p>
            <w:pPr>
              <w:spacing w:after="0"/>
              <w:rPr>
                <w:sz w:val="17"/>
                <w:szCs w:val="17"/>
                <w:color w:val="auto"/>
              </w:rPr>
            </w:pPr>
          </w:p>
        </w:tc>
        <w:tc>
          <w:tcPr>
            <w:tcW w:w="94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40" w:type="dxa"/>
            <w:vAlign w:val="bottom"/>
            <w:shd w:val="clear" w:color="auto" w:fill="000000"/>
          </w:tcPr>
          <w:p>
            <w:pPr>
              <w:spacing w:after="0"/>
              <w:rPr>
                <w:sz w:val="17"/>
                <w:szCs w:val="17"/>
                <w:color w:val="auto"/>
              </w:rPr>
            </w:pPr>
          </w:p>
        </w:tc>
        <w:tc>
          <w:tcPr>
            <w:tcW w:w="78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60" w:type="dxa"/>
            <w:vAlign w:val="bottom"/>
            <w:shd w:val="clear" w:color="auto" w:fill="000000"/>
          </w:tcPr>
          <w:p>
            <w:pPr>
              <w:spacing w:after="0"/>
              <w:rPr>
                <w:sz w:val="17"/>
                <w:szCs w:val="17"/>
                <w:color w:val="auto"/>
              </w:rPr>
            </w:pPr>
          </w:p>
        </w:tc>
        <w:tc>
          <w:tcPr>
            <w:tcW w:w="88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22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100" w:type="dxa"/>
            <w:vAlign w:val="bottom"/>
            <w:shd w:val="clear" w:color="auto" w:fill="000000"/>
          </w:tcPr>
          <w:p>
            <w:pPr>
              <w:spacing w:after="0"/>
              <w:rPr>
                <w:sz w:val="17"/>
                <w:szCs w:val="17"/>
                <w:color w:val="auto"/>
              </w:rPr>
            </w:pPr>
          </w:p>
        </w:tc>
        <w:tc>
          <w:tcPr>
            <w:tcW w:w="140" w:type="dxa"/>
            <w:vAlign w:val="bottom"/>
            <w:shd w:val="clear" w:color="auto" w:fill="000000"/>
          </w:tcPr>
          <w:p>
            <w:pPr>
              <w:spacing w:after="0"/>
              <w:rPr>
                <w:sz w:val="17"/>
                <w:szCs w:val="17"/>
                <w:color w:val="auto"/>
              </w:rPr>
            </w:pPr>
          </w:p>
        </w:tc>
        <w:tc>
          <w:tcPr>
            <w:tcW w:w="80" w:type="dxa"/>
            <w:vAlign w:val="bottom"/>
            <w:shd w:val="clear" w:color="auto" w:fill="000000"/>
          </w:tcPr>
          <w:p>
            <w:pPr>
              <w:spacing w:after="0"/>
              <w:rPr>
                <w:sz w:val="17"/>
                <w:szCs w:val="17"/>
                <w:color w:val="auto"/>
              </w:rPr>
            </w:pPr>
          </w:p>
        </w:tc>
        <w:tc>
          <w:tcPr>
            <w:tcW w:w="76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Severance Payments</w:t>
            </w:r>
          </w:p>
        </w:tc>
        <w:tc>
          <w:tcPr>
            <w:tcW w:w="240" w:type="dxa"/>
            <w:vAlign w:val="bottom"/>
            <w:gridSpan w:val="2"/>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400,000</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1,200,000</w:t>
            </w:r>
          </w:p>
        </w:tc>
        <w:tc>
          <w:tcPr>
            <w:tcW w:w="100" w:type="dxa"/>
            <w:vAlign w:val="bottom"/>
          </w:tcPr>
          <w:p>
            <w:pPr>
              <w:spacing w:after="0"/>
              <w:rPr>
                <w:sz w:val="15"/>
                <w:szCs w:val="15"/>
                <w:color w:val="auto"/>
              </w:rPr>
            </w:pP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880" w:type="dxa"/>
            <w:vAlign w:val="bottom"/>
          </w:tcPr>
          <w:p>
            <w:pPr>
              <w:jc w:val="right"/>
              <w:spacing w:after="0"/>
              <w:rPr>
                <w:sz w:val="20"/>
                <w:szCs w:val="20"/>
                <w:color w:val="auto"/>
              </w:rPr>
            </w:pPr>
            <w:r>
              <w:rPr>
                <w:rFonts w:ascii="Arial" w:cs="Arial" w:eastAsia="Arial" w:hAnsi="Arial"/>
                <w:sz w:val="13"/>
                <w:szCs w:val="13"/>
                <w:color w:val="auto"/>
              </w:rPr>
              <w:t>400,000</w:t>
            </w:r>
          </w:p>
        </w:tc>
        <w:tc>
          <w:tcPr>
            <w:tcW w:w="80" w:type="dxa"/>
            <w:vAlign w:val="bottom"/>
          </w:tcPr>
          <w:p>
            <w:pPr>
              <w:spacing w:after="0"/>
              <w:rPr>
                <w:sz w:val="15"/>
                <w:szCs w:val="15"/>
                <w:color w:val="auto"/>
              </w:rPr>
            </w:pPr>
          </w:p>
        </w:tc>
        <w:tc>
          <w:tcPr>
            <w:tcW w:w="220" w:type="dxa"/>
            <w:vAlign w:val="bottom"/>
          </w:tcPr>
          <w:p>
            <w:pPr>
              <w:jc w:val="right"/>
              <w:ind w:right="55"/>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EICP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200,000</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Benefits Payments</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5,233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20,930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5,233</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Outplacement Services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8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15,000</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Financial Planning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3"/>
                <w:szCs w:val="13"/>
                <w:color w:val="auto"/>
              </w:rPr>
              <w:t>12,650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12,650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SERP</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6"/>
                <w:szCs w:val="16"/>
                <w:color w:val="auto"/>
              </w:rPr>
            </w:pPr>
          </w:p>
        </w:tc>
        <w:tc>
          <w:tcPr>
            <w:tcW w:w="88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6"/>
                <w:szCs w:val="16"/>
                <w:color w:val="auto"/>
              </w:rPr>
            </w:pPr>
          </w:p>
        </w:tc>
        <w:tc>
          <w:tcPr>
            <w:tcW w:w="86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Pr>
          <w:p>
            <w:pPr>
              <w:ind w:left="160"/>
              <w:spacing w:after="0"/>
              <w:rPr>
                <w:sz w:val="20"/>
                <w:szCs w:val="20"/>
                <w:color w:val="auto"/>
              </w:rPr>
            </w:pPr>
            <w:r>
              <w:rPr>
                <w:rFonts w:ascii="Arial" w:cs="Arial" w:eastAsia="Arial" w:hAnsi="Arial"/>
                <w:sz w:val="13"/>
                <w:szCs w:val="13"/>
                <w:color w:val="auto"/>
              </w:rPr>
              <w:t>Restoration Plan</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7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ind w:left="7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6"/>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Restricted Stock Units</w:t>
            </w:r>
          </w:p>
        </w:tc>
        <w:tc>
          <w:tcPr>
            <w:tcW w:w="8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980" w:type="dxa"/>
            <w:vAlign w:val="bottom"/>
            <w:gridSpan w:val="2"/>
            <w:shd w:val="clear" w:color="auto" w:fill="DBDBDB"/>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6"/>
                <w:szCs w:val="16"/>
                <w:color w:val="auto"/>
              </w:rPr>
            </w:pPr>
          </w:p>
        </w:tc>
        <w:tc>
          <w:tcPr>
            <w:tcW w:w="102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DBDBDB"/>
          </w:tcPr>
          <w:p>
            <w:pPr>
              <w:spacing w:after="0"/>
              <w:rPr>
                <w:sz w:val="16"/>
                <w:szCs w:val="16"/>
                <w:color w:val="auto"/>
              </w:rPr>
            </w:pP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960" w:type="dxa"/>
            <w:vAlign w:val="bottom"/>
            <w:gridSpan w:val="2"/>
            <w:shd w:val="clear" w:color="auto" w:fill="DBDBDB"/>
          </w:tcPr>
          <w:p>
            <w:pPr>
              <w:jc w:val="right"/>
              <w:ind w:right="140"/>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1,313,073</w:t>
            </w:r>
          </w:p>
        </w:tc>
        <w:tc>
          <w:tcPr>
            <w:tcW w:w="10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1,313,073</w:t>
            </w:r>
          </w:p>
        </w:tc>
        <w:tc>
          <w:tcPr>
            <w:tcW w:w="8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1,313,073</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7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9"/>
        </w:trPr>
        <w:tc>
          <w:tcPr>
            <w:tcW w:w="2260" w:type="dxa"/>
            <w:vAlign w:val="bottom"/>
            <w:tcBorders>
              <w:bottom w:val="single" w:sz="8" w:color="DBDBDB"/>
            </w:tcBorders>
          </w:tcPr>
          <w:p>
            <w:pPr>
              <w:ind w:left="160"/>
              <w:spacing w:after="0"/>
              <w:rPr>
                <w:sz w:val="20"/>
                <w:szCs w:val="20"/>
                <w:color w:val="auto"/>
              </w:rPr>
            </w:pPr>
            <w:r>
              <w:rPr>
                <w:rFonts w:ascii="Arial" w:cs="Arial" w:eastAsia="Arial" w:hAnsi="Arial"/>
                <w:sz w:val="13"/>
                <w:szCs w:val="13"/>
                <w:color w:val="auto"/>
              </w:rPr>
              <w:t>Performance RSUs</w:t>
            </w:r>
          </w:p>
        </w:tc>
        <w:tc>
          <w:tcPr>
            <w:tcW w:w="8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ind w:left="76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Borders>
              <w:bottom w:val="single" w:sz="8" w:color="DBDBDB"/>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DBDBDB"/>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8"/>
        </w:trPr>
        <w:tc>
          <w:tcPr>
            <w:tcW w:w="2260" w:type="dxa"/>
            <w:vAlign w:val="bottom"/>
            <w:shd w:val="clear" w:color="auto" w:fill="DBDBDB"/>
          </w:tcPr>
          <w:p>
            <w:pPr>
              <w:ind w:left="160"/>
              <w:spacing w:after="0"/>
              <w:rPr>
                <w:sz w:val="20"/>
                <w:szCs w:val="20"/>
                <w:color w:val="auto"/>
              </w:rPr>
            </w:pPr>
            <w:r>
              <w:rPr>
                <w:rFonts w:ascii="Arial" w:cs="Arial" w:eastAsia="Arial" w:hAnsi="Arial"/>
                <w:sz w:val="13"/>
                <w:szCs w:val="13"/>
                <w:color w:val="auto"/>
              </w:rPr>
              <w:t>Total</w:t>
            </w:r>
          </w:p>
        </w:tc>
        <w:tc>
          <w:tcPr>
            <w:tcW w:w="24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DBDBDB"/>
          </w:tcPr>
          <w:p>
            <w:pPr>
              <w:ind w:left="70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432,883</w:t>
            </w:r>
          </w:p>
        </w:tc>
        <w:tc>
          <w:tcPr>
            <w:tcW w:w="8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DBDBDB"/>
          </w:tcPr>
          <w:p>
            <w:pPr>
              <w:ind w:left="76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20"/>
                <w:szCs w:val="20"/>
                <w:color w:val="auto"/>
              </w:rPr>
            </w:pPr>
            <w:r>
              <w:rPr>
                <w:rFonts w:ascii="Arial" w:cs="Arial" w:eastAsia="Arial" w:hAnsi="Arial"/>
                <w:sz w:val="13"/>
                <w:szCs w:val="13"/>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12,650</w:t>
            </w:r>
          </w:p>
        </w:tc>
        <w:tc>
          <w:tcPr>
            <w:tcW w:w="80" w:type="dxa"/>
            <w:vAlign w:val="bottom"/>
            <w:shd w:val="clear" w:color="auto" w:fill="DBDBDB"/>
          </w:tcPr>
          <w:p>
            <w:pPr>
              <w:spacing w:after="0"/>
              <w:rPr>
                <w:sz w:val="15"/>
                <w:szCs w:val="15"/>
                <w:color w:val="auto"/>
              </w:rPr>
            </w:pPr>
          </w:p>
        </w:tc>
        <w:tc>
          <w:tcPr>
            <w:tcW w:w="240" w:type="dxa"/>
            <w:vAlign w:val="bottom"/>
            <w:shd w:val="clear" w:color="auto" w:fill="DBDBDB"/>
          </w:tcPr>
          <w:p>
            <w:pPr>
              <w:ind w:lef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2,761,653</w:t>
            </w:r>
          </w:p>
        </w:tc>
        <w:tc>
          <w:tcPr>
            <w:tcW w:w="100" w:type="dxa"/>
            <w:vAlign w:val="bottom"/>
            <w:shd w:val="clear" w:color="auto" w:fill="DBDBDB"/>
          </w:tcPr>
          <w:p>
            <w:pPr>
              <w:spacing w:after="0"/>
              <w:rPr>
                <w:sz w:val="15"/>
                <w:szCs w:val="15"/>
                <w:color w:val="auto"/>
              </w:rPr>
            </w:pPr>
          </w:p>
        </w:tc>
        <w:tc>
          <w:tcPr>
            <w:tcW w:w="160" w:type="dxa"/>
            <w:vAlign w:val="bottom"/>
            <w:shd w:val="clear" w:color="auto" w:fill="DBDBDB"/>
          </w:tcPr>
          <w:p>
            <w:pPr>
              <w:jc w:val="right"/>
              <w:ind w:right="15"/>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1,730,956</w:t>
            </w:r>
          </w:p>
        </w:tc>
        <w:tc>
          <w:tcPr>
            <w:tcW w:w="80" w:type="dxa"/>
            <w:vAlign w:val="bottom"/>
            <w:shd w:val="clear" w:color="auto" w:fill="DBDBDB"/>
          </w:tcPr>
          <w:p>
            <w:pPr>
              <w:spacing w:after="0"/>
              <w:rPr>
                <w:sz w:val="15"/>
                <w:szCs w:val="15"/>
                <w:color w:val="auto"/>
              </w:rPr>
            </w:pPr>
          </w:p>
        </w:tc>
        <w:tc>
          <w:tcPr>
            <w:tcW w:w="220" w:type="dxa"/>
            <w:vAlign w:val="bottom"/>
            <w:shd w:val="clear" w:color="auto" w:fill="DBDBDB"/>
          </w:tcPr>
          <w:p>
            <w:pPr>
              <w:jc w:val="right"/>
              <w:ind w:right="55"/>
              <w:spacing w:after="0"/>
              <w:rPr>
                <w:sz w:val="20"/>
                <w:szCs w:val="20"/>
                <w:color w:val="auto"/>
              </w:rPr>
            </w:pPr>
            <w:r>
              <w:rPr>
                <w:rFonts w:ascii="Arial" w:cs="Arial" w:eastAsia="Arial" w:hAnsi="Arial"/>
                <w:sz w:val="13"/>
                <w:szCs w:val="13"/>
                <w:color w:val="auto"/>
              </w:rPr>
              <w:t>$</w:t>
            </w:r>
          </w:p>
        </w:tc>
        <w:tc>
          <w:tcPr>
            <w:tcW w:w="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1,325,723</w:t>
            </w: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2"/>
              </w:rPr>
              <w:t>$</w:t>
            </w:r>
          </w:p>
        </w:tc>
        <w:tc>
          <w:tcPr>
            <w:tcW w:w="80" w:type="dxa"/>
            <w:vAlign w:val="bottom"/>
            <w:shd w:val="clear" w:color="auto" w:fill="DBDBDB"/>
          </w:tcPr>
          <w:p>
            <w:pPr>
              <w:spacing w:after="0"/>
              <w:rPr>
                <w:sz w:val="15"/>
                <w:szCs w:val="15"/>
                <w:color w:val="auto"/>
              </w:rPr>
            </w:pPr>
          </w:p>
        </w:tc>
        <w:tc>
          <w:tcPr>
            <w:tcW w:w="760" w:type="dxa"/>
            <w:vAlign w:val="bottom"/>
            <w:shd w:val="clear" w:color="auto" w:fill="DBDBDB"/>
          </w:tcPr>
          <w:p>
            <w:pPr>
              <w:ind w:left="58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-1290955</wp:posOffset>
            </wp:positionV>
            <wp:extent cx="7076440" cy="762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076440" cy="7620"/>
                    </a:xfrm>
                    <a:prstGeom prst="rect">
                      <a:avLst/>
                    </a:prstGeom>
                    <a:noFill/>
                  </pic:spPr>
                </pic:pic>
              </a:graphicData>
            </a:graphic>
          </wp:anchor>
        </w:drawing>
      </w:r>
    </w:p>
    <w:p>
      <w:pPr>
        <w:spacing w:after="0" w:line="134" w:lineRule="exact"/>
        <w:rPr>
          <w:sz w:val="20"/>
          <w:szCs w:val="20"/>
          <w:color w:val="auto"/>
        </w:rPr>
      </w:pPr>
    </w:p>
    <w:p>
      <w:pPr>
        <w:ind w:right="440"/>
        <w:spacing w:after="0" w:line="274" w:lineRule="auto"/>
        <w:rPr>
          <w:sz w:val="20"/>
          <w:szCs w:val="20"/>
          <w:color w:val="auto"/>
        </w:rPr>
      </w:pPr>
      <w:r>
        <w:rPr>
          <w:rFonts w:ascii="Arial" w:cs="Arial" w:eastAsia="Arial" w:hAnsi="Arial"/>
          <w:sz w:val="16"/>
          <w:szCs w:val="16"/>
          <w:color w:val="auto"/>
        </w:rPr>
        <w:t>The Company generally does not make payments to Named Executives for voluntary termination of employment, except where a Named Executive is eligible for retirement as of the date of termination. In the event of a Named Executive’s termination for cause, none of the payments and other benefits described herein would be payable.</w:t>
      </w:r>
    </w:p>
    <w:p>
      <w:pPr>
        <w:spacing w:after="0" w:line="40"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color w:val="auto"/>
        </w:rPr>
        <w:t xml:space="preserve">Severance Payments. </w:t>
      </w:r>
      <w:r>
        <w:rPr>
          <w:rFonts w:ascii="Arial" w:cs="Arial" w:eastAsia="Arial" w:hAnsi="Arial"/>
          <w:sz w:val="16"/>
          <w:szCs w:val="16"/>
          <w:color w:val="auto"/>
        </w:rPr>
        <w:t>The severance payments reported for each Named Executive in the event of involuntary termination not for cause and disability</w:t>
      </w:r>
      <w:r>
        <w:rPr>
          <w:rFonts w:ascii="Arial" w:cs="Arial" w:eastAsia="Arial" w:hAnsi="Arial"/>
          <w:sz w:val="16"/>
          <w:szCs w:val="16"/>
          <w:b w:val="1"/>
          <w:bCs w:val="1"/>
          <w:color w:val="auto"/>
        </w:rPr>
        <w:t xml:space="preserve"> </w:t>
      </w:r>
      <w:r>
        <w:rPr>
          <w:rFonts w:ascii="Arial" w:cs="Arial" w:eastAsia="Arial" w:hAnsi="Arial"/>
          <w:sz w:val="16"/>
          <w:szCs w:val="16"/>
          <w:color w:val="auto"/>
        </w:rPr>
        <w:t>represent lump-sum cash payments equal to 52 weeks’ base salary as in effect on the date of termination under the Executive Severance Plan in the event their employment is terminated for reasons other than “cause.” Under the Executive Severance Plan, “cause” means:</w:t>
      </w:r>
    </w:p>
    <w:p>
      <w:pPr>
        <w:spacing w:after="0" w:line="52" w:lineRule="exact"/>
        <w:rPr>
          <w:sz w:val="20"/>
          <w:szCs w:val="20"/>
          <w:color w:val="auto"/>
        </w:rPr>
      </w:pPr>
    </w:p>
    <w:p>
      <w:pPr>
        <w:ind w:left="580" w:right="140" w:hanging="290"/>
        <w:spacing w:after="0" w:line="256" w:lineRule="auto"/>
        <w:tabs>
          <w:tab w:leader="none" w:pos="569"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willful and continued failure of a participant to perform substantially his or her duties (occasioned by reason other than physical or mental illness or disability) after a written demand for substantial performance is delivered to the participant by the Compensation Committee or the Chief Executive Officer, which specifically identifies the manner in which the Compensation Committee or the Chief Executive Officer believes that the participant has not substantially performed his or her duties, after which the participant will have 30 days to defend or remedy such failure to substantially perform his or her duties;</w:t>
      </w:r>
    </w:p>
    <w:p>
      <w:pPr>
        <w:spacing w:after="0" w:line="65" w:lineRule="exact"/>
        <w:rPr>
          <w:rFonts w:ascii="Arial" w:cs="Arial" w:eastAsia="Arial" w:hAnsi="Arial"/>
          <w:sz w:val="18"/>
          <w:szCs w:val="18"/>
          <w:color w:val="auto"/>
        </w:rPr>
      </w:pPr>
    </w:p>
    <w:p>
      <w:pPr>
        <w:ind w:left="580" w:hanging="290"/>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willful engaging by a participant in illegal conduct or gross misconduct, which is materially and demonstrably injurious to the Company; or</w:t>
      </w:r>
    </w:p>
    <w:p>
      <w:pPr>
        <w:spacing w:after="0" w:line="85" w:lineRule="exact"/>
        <w:rPr>
          <w:rFonts w:ascii="Arial" w:cs="Arial" w:eastAsia="Arial" w:hAnsi="Arial"/>
          <w:sz w:val="18"/>
          <w:szCs w:val="18"/>
          <w:color w:val="auto"/>
        </w:rPr>
      </w:pPr>
    </w:p>
    <w:p>
      <w:pPr>
        <w:ind w:left="580" w:hanging="290"/>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6"/>
          <w:szCs w:val="16"/>
          <w:color w:val="auto"/>
        </w:rPr>
        <w:t>the conviction of a participant with no further possibility of appeal, or plea of nolo contendere by the participant to, any felony or crime of falsehood.</w:t>
      </w:r>
    </w:p>
    <w:p>
      <w:pPr>
        <w:spacing w:after="0" w:line="73" w:lineRule="exact"/>
        <w:rPr>
          <w:sz w:val="20"/>
          <w:szCs w:val="20"/>
          <w:color w:val="auto"/>
        </w:rPr>
      </w:pPr>
    </w:p>
    <w:p>
      <w:pPr>
        <w:ind w:right="340"/>
        <w:spacing w:after="0" w:line="274" w:lineRule="auto"/>
        <w:rPr>
          <w:sz w:val="20"/>
          <w:szCs w:val="20"/>
          <w:color w:val="auto"/>
        </w:rPr>
      </w:pPr>
      <w:r>
        <w:rPr>
          <w:rFonts w:ascii="Arial" w:cs="Arial" w:eastAsia="Arial" w:hAnsi="Arial"/>
          <w:sz w:val="16"/>
          <w:szCs w:val="16"/>
          <w:color w:val="auto"/>
        </w:rPr>
        <w:t>“Cause” excludes instances where an eligible employee is unable to perform his duties by reason of his physical or mental illness or disability. Receipt of severance benefits under the Executive Severance Plan is subject to the employee executing a general release of claims and agreeing to certain non-compete, nondisclosure and other restrictive covenants, and the employee’s submission of a written claim for benefits.</w:t>
      </w:r>
    </w:p>
    <w:p>
      <w:pPr>
        <w:spacing w:after="0" w:line="40"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In connection with a termination following a change in control, the Company has entered into change-in-control agreements with each Named Executive provide for a cash payment equal to two times (2.99 times for Mr. Geveden) the sum of (1) the executive’s annual base salary prior to termination and (2) the same annual base salary multiplied by the executive’s target EICP percentage for the year in which the termination occurs. Assuming a termination as of December 31, 2022, the severance payment under a change in control would have been calculated based on the following:</w:t>
      </w:r>
    </w:p>
    <w:p>
      <w:pPr>
        <w:spacing w:after="0" w:line="84" w:lineRule="exact"/>
        <w:rPr>
          <w:sz w:val="20"/>
          <w:szCs w:val="20"/>
          <w:color w:val="auto"/>
        </w:rPr>
      </w:pPr>
    </w:p>
    <w:tbl>
      <w:tblPr>
        <w:tblLayout w:type="fixed"/>
        <w:tblInd w:w="1380" w:type="dxa"/>
        <w:tblCellMar>
          <w:top w:w="0" w:type="dxa"/>
          <w:left w:w="0" w:type="dxa"/>
          <w:bottom w:w="0" w:type="dxa"/>
          <w:right w:w="0" w:type="dxa"/>
        </w:tblCellMar>
      </w:tblPr>
      <w:tr>
        <w:trPr>
          <w:trHeight w:val="149"/>
        </w:trPr>
        <w:tc>
          <w:tcPr>
            <w:tcW w:w="3690" w:type="dxa"/>
            <w:vAlign w:val="bottom"/>
            <w:shd w:val="clear" w:color="auto" w:fill="000000"/>
          </w:tcPr>
          <w:p>
            <w:pPr>
              <w:spacing w:after="0"/>
              <w:rPr>
                <w:sz w:val="12"/>
                <w:szCs w:val="12"/>
                <w:color w:val="auto"/>
              </w:rPr>
            </w:pPr>
          </w:p>
        </w:tc>
        <w:tc>
          <w:tcPr>
            <w:tcW w:w="110" w:type="dxa"/>
            <w:vAlign w:val="bottom"/>
            <w:shd w:val="clear" w:color="auto" w:fill="000000"/>
          </w:tcPr>
          <w:p>
            <w:pPr>
              <w:spacing w:after="0"/>
              <w:rPr>
                <w:sz w:val="12"/>
                <w:szCs w:val="12"/>
                <w:color w:val="auto"/>
              </w:rPr>
            </w:pPr>
          </w:p>
        </w:tc>
        <w:tc>
          <w:tcPr>
            <w:tcW w:w="120" w:type="dxa"/>
            <w:vAlign w:val="bottom"/>
            <w:shd w:val="clear" w:color="auto" w:fill="000000"/>
          </w:tcPr>
          <w:p>
            <w:pPr>
              <w:spacing w:after="0"/>
              <w:rPr>
                <w:sz w:val="12"/>
                <w:szCs w:val="12"/>
                <w:color w:val="auto"/>
              </w:rPr>
            </w:pPr>
          </w:p>
        </w:tc>
        <w:tc>
          <w:tcPr>
            <w:tcW w:w="1280" w:type="dxa"/>
            <w:vAlign w:val="bottom"/>
            <w:vMerge w:val="restart"/>
            <w:shd w:val="clear" w:color="auto" w:fill="000000"/>
          </w:tcPr>
          <w:p>
            <w:pPr>
              <w:jc w:val="right"/>
              <w:ind w:right="89"/>
              <w:spacing w:after="0"/>
              <w:rPr>
                <w:sz w:val="20"/>
                <w:szCs w:val="20"/>
                <w:color w:val="auto"/>
              </w:rPr>
            </w:pPr>
            <w:r>
              <w:rPr>
                <w:rFonts w:ascii="Arial" w:cs="Arial" w:eastAsia="Arial" w:hAnsi="Arial"/>
                <w:sz w:val="13"/>
                <w:szCs w:val="13"/>
                <w:b w:val="1"/>
                <w:bCs w:val="1"/>
                <w:color w:val="FFFFFF"/>
              </w:rPr>
              <w:t>Base Salary as of</w:t>
            </w:r>
          </w:p>
        </w:tc>
        <w:tc>
          <w:tcPr>
            <w:tcW w:w="300" w:type="dxa"/>
            <w:vAlign w:val="bottom"/>
            <w:shd w:val="clear" w:color="auto" w:fill="000000"/>
          </w:tcPr>
          <w:p>
            <w:pPr>
              <w:spacing w:after="0"/>
              <w:rPr>
                <w:sz w:val="12"/>
                <w:szCs w:val="12"/>
                <w:color w:val="auto"/>
              </w:rPr>
            </w:pPr>
          </w:p>
        </w:tc>
        <w:tc>
          <w:tcPr>
            <w:tcW w:w="1325" w:type="dxa"/>
            <w:vAlign w:val="bottom"/>
            <w:shd w:val="clear" w:color="auto" w:fill="000000"/>
          </w:tcPr>
          <w:p>
            <w:pPr>
              <w:jc w:val="center"/>
              <w:ind w:right="175"/>
              <w:spacing w:after="0"/>
              <w:rPr>
                <w:sz w:val="20"/>
                <w:szCs w:val="20"/>
                <w:color w:val="auto"/>
              </w:rPr>
            </w:pPr>
            <w:r>
              <w:rPr>
                <w:rFonts w:ascii="Arial" w:cs="Arial" w:eastAsia="Arial" w:hAnsi="Arial"/>
                <w:sz w:val="13"/>
                <w:szCs w:val="13"/>
                <w:b w:val="1"/>
                <w:bCs w:val="1"/>
                <w:color w:val="FFFFFF"/>
              </w:rPr>
              <w:t>Target Annual</w:t>
            </w:r>
          </w:p>
        </w:tc>
        <w:tc>
          <w:tcPr>
            <w:tcW w:w="167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Target Annual Incentive</w:t>
            </w:r>
          </w:p>
        </w:tc>
        <w:tc>
          <w:tcPr>
            <w:tcW w:w="0" w:type="dxa"/>
            <w:vAlign w:val="bottom"/>
          </w:tcPr>
          <w:p>
            <w:pPr>
              <w:spacing w:after="0"/>
              <w:rPr>
                <w:sz w:val="1"/>
                <w:szCs w:val="1"/>
                <w:color w:val="auto"/>
              </w:rPr>
            </w:pPr>
          </w:p>
        </w:tc>
      </w:tr>
      <w:tr>
        <w:trPr>
          <w:trHeight w:val="134"/>
        </w:trPr>
        <w:tc>
          <w:tcPr>
            <w:tcW w:w="369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FFFFF"/>
              </w:rPr>
              <w:t>Name</w:t>
            </w:r>
          </w:p>
        </w:tc>
        <w:tc>
          <w:tcPr>
            <w:tcW w:w="110" w:type="dxa"/>
            <w:vAlign w:val="bottom"/>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280" w:type="dxa"/>
            <w:vAlign w:val="bottom"/>
            <w:vMerge w:val="continue"/>
            <w:shd w:val="clear" w:color="auto" w:fill="000000"/>
          </w:tcPr>
          <w:p>
            <w:pPr>
              <w:spacing w:after="0"/>
              <w:rPr>
                <w:sz w:val="11"/>
                <w:szCs w:val="11"/>
                <w:color w:val="auto"/>
              </w:rPr>
            </w:pPr>
          </w:p>
        </w:tc>
        <w:tc>
          <w:tcPr>
            <w:tcW w:w="300" w:type="dxa"/>
            <w:vAlign w:val="bottom"/>
            <w:shd w:val="clear" w:color="auto" w:fill="000000"/>
          </w:tcPr>
          <w:p>
            <w:pPr>
              <w:spacing w:after="0"/>
              <w:rPr>
                <w:sz w:val="11"/>
                <w:szCs w:val="11"/>
                <w:color w:val="auto"/>
              </w:rPr>
            </w:pPr>
          </w:p>
        </w:tc>
        <w:tc>
          <w:tcPr>
            <w:tcW w:w="1325" w:type="dxa"/>
            <w:vAlign w:val="bottom"/>
            <w:shd w:val="clear" w:color="auto" w:fill="000000"/>
          </w:tcPr>
          <w:p>
            <w:pPr>
              <w:jc w:val="center"/>
              <w:ind w:right="175"/>
              <w:spacing w:after="0" w:line="134" w:lineRule="exact"/>
              <w:rPr>
                <w:sz w:val="20"/>
                <w:szCs w:val="20"/>
                <w:color w:val="auto"/>
              </w:rPr>
            </w:pPr>
            <w:r>
              <w:rPr>
                <w:rFonts w:ascii="Arial" w:cs="Arial" w:eastAsia="Arial" w:hAnsi="Arial"/>
                <w:sz w:val="13"/>
                <w:szCs w:val="13"/>
                <w:b w:val="1"/>
                <w:bCs w:val="1"/>
                <w:color w:val="FFFFFF"/>
              </w:rPr>
              <w:t>Incentive as of</w:t>
            </w:r>
          </w:p>
        </w:tc>
        <w:tc>
          <w:tcPr>
            <w:tcW w:w="1675"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rPr>
              <w:t>as a Percentage of Base</w:t>
            </w:r>
          </w:p>
        </w:tc>
        <w:tc>
          <w:tcPr>
            <w:tcW w:w="0" w:type="dxa"/>
            <w:vAlign w:val="bottom"/>
          </w:tcPr>
          <w:p>
            <w:pPr>
              <w:spacing w:after="0"/>
              <w:rPr>
                <w:sz w:val="1"/>
                <w:szCs w:val="1"/>
                <w:color w:val="auto"/>
              </w:rPr>
            </w:pPr>
          </w:p>
        </w:tc>
      </w:tr>
      <w:tr>
        <w:trPr>
          <w:trHeight w:val="183"/>
        </w:trPr>
        <w:tc>
          <w:tcPr>
            <w:tcW w:w="3690" w:type="dxa"/>
            <w:vAlign w:val="bottom"/>
            <w:vMerge w:val="continue"/>
            <w:shd w:val="clear" w:color="auto" w:fill="000000"/>
          </w:tcPr>
          <w:p>
            <w:pPr>
              <w:spacing w:after="0"/>
              <w:rPr>
                <w:sz w:val="15"/>
                <w:szCs w:val="15"/>
                <w:color w:val="auto"/>
              </w:rPr>
            </w:pPr>
          </w:p>
        </w:tc>
        <w:tc>
          <w:tcPr>
            <w:tcW w:w="110" w:type="dxa"/>
            <w:vAlign w:val="bottom"/>
            <w:shd w:val="clear" w:color="auto" w:fill="000000"/>
          </w:tcPr>
          <w:p>
            <w:pPr>
              <w:spacing w:after="0"/>
              <w:rPr>
                <w:sz w:val="15"/>
                <w:szCs w:val="15"/>
                <w:color w:val="auto"/>
              </w:rPr>
            </w:pPr>
          </w:p>
        </w:tc>
        <w:tc>
          <w:tcPr>
            <w:tcW w:w="120" w:type="dxa"/>
            <w:vAlign w:val="bottom"/>
            <w:shd w:val="clear" w:color="auto" w:fill="000000"/>
          </w:tcPr>
          <w:p>
            <w:pPr>
              <w:spacing w:after="0"/>
              <w:rPr>
                <w:sz w:val="15"/>
                <w:szCs w:val="15"/>
                <w:color w:val="auto"/>
              </w:rPr>
            </w:pPr>
          </w:p>
        </w:tc>
        <w:tc>
          <w:tcPr>
            <w:tcW w:w="1280" w:type="dxa"/>
            <w:vAlign w:val="bottom"/>
            <w:shd w:val="clear" w:color="auto" w:fill="000000"/>
          </w:tcPr>
          <w:p>
            <w:pPr>
              <w:jc w:val="right"/>
              <w:ind w:right="309"/>
              <w:spacing w:after="0"/>
              <w:rPr>
                <w:sz w:val="20"/>
                <w:szCs w:val="20"/>
                <w:color w:val="auto"/>
              </w:rPr>
            </w:pPr>
            <w:r>
              <w:rPr>
                <w:rFonts w:ascii="Arial" w:cs="Arial" w:eastAsia="Arial" w:hAnsi="Arial"/>
                <w:sz w:val="13"/>
                <w:szCs w:val="13"/>
                <w:b w:val="1"/>
                <w:bCs w:val="1"/>
                <w:color w:val="FFFFFF"/>
              </w:rPr>
              <w:t>12/31/2022</w:t>
            </w:r>
          </w:p>
        </w:tc>
        <w:tc>
          <w:tcPr>
            <w:tcW w:w="300" w:type="dxa"/>
            <w:vAlign w:val="bottom"/>
            <w:shd w:val="clear" w:color="auto" w:fill="000000"/>
          </w:tcPr>
          <w:p>
            <w:pPr>
              <w:spacing w:after="0"/>
              <w:rPr>
                <w:sz w:val="15"/>
                <w:szCs w:val="15"/>
                <w:color w:val="auto"/>
              </w:rPr>
            </w:pPr>
          </w:p>
        </w:tc>
        <w:tc>
          <w:tcPr>
            <w:tcW w:w="1325" w:type="dxa"/>
            <w:vAlign w:val="bottom"/>
            <w:shd w:val="clear" w:color="auto" w:fill="000000"/>
          </w:tcPr>
          <w:p>
            <w:pPr>
              <w:jc w:val="center"/>
              <w:ind w:right="175"/>
              <w:spacing w:after="0"/>
              <w:rPr>
                <w:sz w:val="20"/>
                <w:szCs w:val="20"/>
                <w:color w:val="auto"/>
              </w:rPr>
            </w:pPr>
            <w:r>
              <w:rPr>
                <w:rFonts w:ascii="Arial" w:cs="Arial" w:eastAsia="Arial" w:hAnsi="Arial"/>
                <w:sz w:val="13"/>
                <w:szCs w:val="13"/>
                <w:b w:val="1"/>
                <w:bCs w:val="1"/>
                <w:color w:val="FFFFFF"/>
                <w:w w:val="98"/>
              </w:rPr>
              <w:t>12/31/2022</w:t>
            </w:r>
          </w:p>
        </w:tc>
        <w:tc>
          <w:tcPr>
            <w:tcW w:w="1675"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Salary</w:t>
            </w:r>
          </w:p>
        </w:tc>
        <w:tc>
          <w:tcPr>
            <w:tcW w:w="0" w:type="dxa"/>
            <w:vAlign w:val="bottom"/>
          </w:tcPr>
          <w:p>
            <w:pPr>
              <w:spacing w:after="0"/>
              <w:rPr>
                <w:sz w:val="1"/>
                <w:szCs w:val="1"/>
                <w:color w:val="auto"/>
              </w:rPr>
            </w:pPr>
          </w:p>
        </w:tc>
      </w:tr>
      <w:tr>
        <w:trPr>
          <w:trHeight w:val="194"/>
        </w:trPr>
        <w:tc>
          <w:tcPr>
            <w:tcW w:w="3800" w:type="dxa"/>
            <w:vAlign w:val="bottom"/>
            <w:gridSpan w:val="2"/>
          </w:tcPr>
          <w:p>
            <w:pPr>
              <w:spacing w:after="0"/>
              <w:rPr>
                <w:sz w:val="20"/>
                <w:szCs w:val="20"/>
                <w:color w:val="auto"/>
              </w:rPr>
            </w:pPr>
            <w:r>
              <w:rPr>
                <w:rFonts w:ascii="Arial" w:cs="Arial" w:eastAsia="Arial" w:hAnsi="Arial"/>
                <w:sz w:val="15"/>
                <w:szCs w:val="15"/>
                <w:color w:val="auto"/>
              </w:rPr>
              <w:t>Rex D. Geveden</w:t>
            </w: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80" w:type="dxa"/>
            <w:vAlign w:val="bottom"/>
          </w:tcPr>
          <w:p>
            <w:pPr>
              <w:jc w:val="right"/>
              <w:ind w:right="9"/>
              <w:spacing w:after="0"/>
              <w:rPr>
                <w:sz w:val="20"/>
                <w:szCs w:val="20"/>
                <w:color w:val="auto"/>
              </w:rPr>
            </w:pPr>
            <w:r>
              <w:rPr>
                <w:rFonts w:ascii="Arial" w:cs="Arial" w:eastAsia="Arial" w:hAnsi="Arial"/>
                <w:sz w:val="15"/>
                <w:szCs w:val="15"/>
                <w:color w:val="auto"/>
              </w:rPr>
              <w:t>925,000</w:t>
            </w:r>
          </w:p>
        </w:tc>
        <w:tc>
          <w:tcPr>
            <w:tcW w:w="300" w:type="dxa"/>
            <w:vAlign w:val="bottom"/>
          </w:tcPr>
          <w:p>
            <w:pPr>
              <w:jc w:val="right"/>
              <w:ind w:right="27"/>
              <w:spacing w:after="0"/>
              <w:rPr>
                <w:sz w:val="20"/>
                <w:szCs w:val="20"/>
                <w:color w:val="auto"/>
              </w:rPr>
            </w:pPr>
            <w:r>
              <w:rPr>
                <w:rFonts w:ascii="Arial" w:cs="Arial" w:eastAsia="Arial" w:hAnsi="Arial"/>
                <w:sz w:val="15"/>
                <w:szCs w:val="15"/>
                <w:color w:val="auto"/>
              </w:rPr>
              <w:t>$</w:t>
            </w:r>
          </w:p>
        </w:tc>
        <w:tc>
          <w:tcPr>
            <w:tcW w:w="1325" w:type="dxa"/>
            <w:vAlign w:val="bottom"/>
          </w:tcPr>
          <w:p>
            <w:pPr>
              <w:jc w:val="right"/>
              <w:ind w:right="55"/>
              <w:spacing w:after="0"/>
              <w:rPr>
                <w:sz w:val="20"/>
                <w:szCs w:val="20"/>
                <w:color w:val="auto"/>
              </w:rPr>
            </w:pPr>
            <w:r>
              <w:rPr>
                <w:rFonts w:ascii="Arial" w:cs="Arial" w:eastAsia="Arial" w:hAnsi="Arial"/>
                <w:sz w:val="15"/>
                <w:szCs w:val="15"/>
                <w:color w:val="auto"/>
              </w:rPr>
              <w:t>925,000</w:t>
            </w:r>
          </w:p>
        </w:tc>
        <w:tc>
          <w:tcPr>
            <w:tcW w:w="1675" w:type="dxa"/>
            <w:vAlign w:val="bottom"/>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DBDBDB"/>
          </w:tcPr>
          <w:p>
            <w:pPr>
              <w:spacing w:after="0"/>
              <w:rPr>
                <w:sz w:val="20"/>
                <w:szCs w:val="20"/>
                <w:color w:val="auto"/>
              </w:rPr>
            </w:pPr>
            <w:r>
              <w:rPr>
                <w:rFonts w:ascii="Arial" w:cs="Arial" w:eastAsia="Arial" w:hAnsi="Arial"/>
                <w:sz w:val="15"/>
                <w:szCs w:val="15"/>
                <w:color w:val="auto"/>
              </w:rPr>
              <w:t>Robb A. LeMasters</w:t>
            </w:r>
          </w:p>
        </w:tc>
        <w:tc>
          <w:tcPr>
            <w:tcW w:w="12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9"/>
              <w:spacing w:after="0"/>
              <w:rPr>
                <w:sz w:val="20"/>
                <w:szCs w:val="20"/>
                <w:color w:val="auto"/>
              </w:rPr>
            </w:pPr>
            <w:r>
              <w:rPr>
                <w:rFonts w:ascii="Arial" w:cs="Arial" w:eastAsia="Arial" w:hAnsi="Arial"/>
                <w:sz w:val="15"/>
                <w:szCs w:val="15"/>
                <w:color w:val="auto"/>
              </w:rPr>
              <w:t>500,000</w:t>
            </w:r>
          </w:p>
        </w:tc>
        <w:tc>
          <w:tcPr>
            <w:tcW w:w="300" w:type="dxa"/>
            <w:vAlign w:val="bottom"/>
            <w:shd w:val="clear" w:color="auto" w:fill="DBDBDB"/>
          </w:tcPr>
          <w:p>
            <w:pPr>
              <w:spacing w:after="0"/>
              <w:rPr>
                <w:sz w:val="17"/>
                <w:szCs w:val="17"/>
                <w:color w:val="auto"/>
              </w:rPr>
            </w:pPr>
          </w:p>
        </w:tc>
        <w:tc>
          <w:tcPr>
            <w:tcW w:w="1325" w:type="dxa"/>
            <w:vAlign w:val="bottom"/>
            <w:shd w:val="clear" w:color="auto" w:fill="DBDBDB"/>
          </w:tcPr>
          <w:p>
            <w:pPr>
              <w:jc w:val="right"/>
              <w:ind w:right="55"/>
              <w:spacing w:after="0"/>
              <w:rPr>
                <w:sz w:val="20"/>
                <w:szCs w:val="20"/>
                <w:color w:val="auto"/>
              </w:rPr>
            </w:pPr>
            <w:r>
              <w:rPr>
                <w:rFonts w:ascii="Arial" w:cs="Arial" w:eastAsia="Arial" w:hAnsi="Arial"/>
                <w:sz w:val="15"/>
                <w:szCs w:val="15"/>
                <w:color w:val="auto"/>
              </w:rPr>
              <w:t>350,000</w:t>
            </w:r>
          </w:p>
        </w:tc>
        <w:tc>
          <w:tcPr>
            <w:tcW w:w="1675" w:type="dxa"/>
            <w:vAlign w:val="bottom"/>
            <w:shd w:val="clear" w:color="auto" w:fill="DBDBDB"/>
          </w:tcPr>
          <w:p>
            <w:pPr>
              <w:jc w:val="right"/>
              <w:spacing w:after="0"/>
              <w:rPr>
                <w:sz w:val="20"/>
                <w:szCs w:val="20"/>
                <w:color w:val="auto"/>
              </w:rPr>
            </w:pPr>
            <w:r>
              <w:rPr>
                <w:rFonts w:ascii="Arial" w:cs="Arial" w:eastAsia="Arial" w:hAnsi="Arial"/>
                <w:sz w:val="15"/>
                <w:szCs w:val="15"/>
                <w:color w:val="auto"/>
              </w:rPr>
              <w:t>70 %</w:t>
            </w:r>
          </w:p>
        </w:tc>
        <w:tc>
          <w:tcPr>
            <w:tcW w:w="0" w:type="dxa"/>
            <w:vAlign w:val="bottom"/>
          </w:tcPr>
          <w:p>
            <w:pPr>
              <w:spacing w:after="0"/>
              <w:rPr>
                <w:sz w:val="1"/>
                <w:szCs w:val="1"/>
                <w:color w:val="auto"/>
              </w:rPr>
            </w:pPr>
          </w:p>
        </w:tc>
      </w:tr>
      <w:tr>
        <w:trPr>
          <w:trHeight w:val="194"/>
        </w:trPr>
        <w:tc>
          <w:tcPr>
            <w:tcW w:w="3800" w:type="dxa"/>
            <w:vAlign w:val="bottom"/>
            <w:gridSpan w:val="2"/>
          </w:tcPr>
          <w:p>
            <w:pPr>
              <w:spacing w:after="0"/>
              <w:rPr>
                <w:sz w:val="20"/>
                <w:szCs w:val="20"/>
                <w:color w:val="auto"/>
              </w:rPr>
            </w:pPr>
            <w:r>
              <w:rPr>
                <w:rFonts w:ascii="Arial" w:cs="Arial" w:eastAsia="Arial" w:hAnsi="Arial"/>
                <w:sz w:val="15"/>
                <w:szCs w:val="15"/>
                <w:color w:val="auto"/>
              </w:rPr>
              <w:t>Thomas E. McCabe</w:t>
            </w:r>
          </w:p>
        </w:tc>
        <w:tc>
          <w:tcPr>
            <w:tcW w:w="1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5"/>
                <w:szCs w:val="15"/>
                <w:color w:val="auto"/>
              </w:rPr>
              <w:t>545,000</w:t>
            </w:r>
          </w:p>
        </w:tc>
        <w:tc>
          <w:tcPr>
            <w:tcW w:w="300" w:type="dxa"/>
            <w:vAlign w:val="bottom"/>
          </w:tcPr>
          <w:p>
            <w:pPr>
              <w:spacing w:after="0"/>
              <w:rPr>
                <w:sz w:val="16"/>
                <w:szCs w:val="16"/>
                <w:color w:val="auto"/>
              </w:rPr>
            </w:pPr>
          </w:p>
        </w:tc>
        <w:tc>
          <w:tcPr>
            <w:tcW w:w="1325" w:type="dxa"/>
            <w:vAlign w:val="bottom"/>
          </w:tcPr>
          <w:p>
            <w:pPr>
              <w:jc w:val="right"/>
              <w:ind w:right="55"/>
              <w:spacing w:after="0"/>
              <w:rPr>
                <w:sz w:val="20"/>
                <w:szCs w:val="20"/>
                <w:color w:val="auto"/>
              </w:rPr>
            </w:pPr>
            <w:r>
              <w:rPr>
                <w:rFonts w:ascii="Arial" w:cs="Arial" w:eastAsia="Arial" w:hAnsi="Arial"/>
                <w:sz w:val="15"/>
                <w:szCs w:val="15"/>
                <w:color w:val="auto"/>
              </w:rPr>
              <w:t>354,250</w:t>
            </w:r>
          </w:p>
        </w:tc>
        <w:tc>
          <w:tcPr>
            <w:tcW w:w="1675" w:type="dxa"/>
            <w:vAlign w:val="bottom"/>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96"/>
        </w:trPr>
        <w:tc>
          <w:tcPr>
            <w:tcW w:w="3800" w:type="dxa"/>
            <w:vAlign w:val="bottom"/>
            <w:gridSpan w:val="2"/>
            <w:shd w:val="clear" w:color="auto" w:fill="DBDBDB"/>
          </w:tcPr>
          <w:p>
            <w:pPr>
              <w:spacing w:after="0"/>
              <w:rPr>
                <w:sz w:val="20"/>
                <w:szCs w:val="20"/>
                <w:color w:val="auto"/>
              </w:rPr>
            </w:pPr>
            <w:r>
              <w:rPr>
                <w:rFonts w:ascii="Arial" w:cs="Arial" w:eastAsia="Arial" w:hAnsi="Arial"/>
                <w:sz w:val="15"/>
                <w:szCs w:val="15"/>
                <w:color w:val="auto"/>
              </w:rPr>
              <w:t>Kevin M. McCoy</w:t>
            </w:r>
          </w:p>
        </w:tc>
        <w:tc>
          <w:tcPr>
            <w:tcW w:w="120" w:type="dxa"/>
            <w:vAlign w:val="bottom"/>
            <w:shd w:val="clear" w:color="auto" w:fill="DBDBDB"/>
          </w:tcPr>
          <w:p>
            <w:pPr>
              <w:spacing w:after="0"/>
              <w:rPr>
                <w:sz w:val="17"/>
                <w:szCs w:val="17"/>
                <w:color w:val="auto"/>
              </w:rPr>
            </w:pPr>
          </w:p>
        </w:tc>
        <w:tc>
          <w:tcPr>
            <w:tcW w:w="1280" w:type="dxa"/>
            <w:vAlign w:val="bottom"/>
            <w:shd w:val="clear" w:color="auto" w:fill="DBDBDB"/>
          </w:tcPr>
          <w:p>
            <w:pPr>
              <w:jc w:val="right"/>
              <w:ind w:right="9"/>
              <w:spacing w:after="0"/>
              <w:rPr>
                <w:sz w:val="20"/>
                <w:szCs w:val="20"/>
                <w:color w:val="auto"/>
              </w:rPr>
            </w:pPr>
            <w:r>
              <w:rPr>
                <w:rFonts w:ascii="Arial" w:cs="Arial" w:eastAsia="Arial" w:hAnsi="Arial"/>
                <w:sz w:val="15"/>
                <w:szCs w:val="15"/>
                <w:color w:val="auto"/>
              </w:rPr>
              <w:t>735,000</w:t>
            </w:r>
          </w:p>
        </w:tc>
        <w:tc>
          <w:tcPr>
            <w:tcW w:w="300" w:type="dxa"/>
            <w:vAlign w:val="bottom"/>
            <w:shd w:val="clear" w:color="auto" w:fill="DBDBDB"/>
          </w:tcPr>
          <w:p>
            <w:pPr>
              <w:spacing w:after="0"/>
              <w:rPr>
                <w:sz w:val="17"/>
                <w:szCs w:val="17"/>
                <w:color w:val="auto"/>
              </w:rPr>
            </w:pPr>
          </w:p>
        </w:tc>
        <w:tc>
          <w:tcPr>
            <w:tcW w:w="1325" w:type="dxa"/>
            <w:vAlign w:val="bottom"/>
            <w:shd w:val="clear" w:color="auto" w:fill="DBDBDB"/>
          </w:tcPr>
          <w:p>
            <w:pPr>
              <w:jc w:val="right"/>
              <w:ind w:right="55"/>
              <w:spacing w:after="0"/>
              <w:rPr>
                <w:sz w:val="20"/>
                <w:szCs w:val="20"/>
                <w:color w:val="auto"/>
              </w:rPr>
            </w:pPr>
            <w:r>
              <w:rPr>
                <w:rFonts w:ascii="Arial" w:cs="Arial" w:eastAsia="Arial" w:hAnsi="Arial"/>
                <w:sz w:val="15"/>
                <w:szCs w:val="15"/>
                <w:color w:val="auto"/>
              </w:rPr>
              <w:t>477,750</w:t>
            </w:r>
          </w:p>
        </w:tc>
        <w:tc>
          <w:tcPr>
            <w:tcW w:w="1675" w:type="dxa"/>
            <w:vAlign w:val="bottom"/>
            <w:shd w:val="clear" w:color="auto" w:fill="DBDBDB"/>
          </w:tcPr>
          <w:p>
            <w:pPr>
              <w:jc w:val="right"/>
              <w:spacing w:after="0"/>
              <w:rPr>
                <w:sz w:val="20"/>
                <w:szCs w:val="20"/>
                <w:color w:val="auto"/>
              </w:rPr>
            </w:pPr>
            <w:r>
              <w:rPr>
                <w:rFonts w:ascii="Arial" w:cs="Arial" w:eastAsia="Arial" w:hAnsi="Arial"/>
                <w:sz w:val="15"/>
                <w:szCs w:val="15"/>
                <w:color w:val="auto"/>
              </w:rPr>
              <w:t>65 %</w:t>
            </w:r>
          </w:p>
        </w:tc>
        <w:tc>
          <w:tcPr>
            <w:tcW w:w="0" w:type="dxa"/>
            <w:vAlign w:val="bottom"/>
          </w:tcPr>
          <w:p>
            <w:pPr>
              <w:spacing w:after="0"/>
              <w:rPr>
                <w:sz w:val="1"/>
                <w:szCs w:val="1"/>
                <w:color w:val="auto"/>
              </w:rPr>
            </w:pPr>
          </w:p>
        </w:tc>
      </w:tr>
      <w:tr>
        <w:trPr>
          <w:trHeight w:val="192"/>
        </w:trPr>
        <w:tc>
          <w:tcPr>
            <w:tcW w:w="3800" w:type="dxa"/>
            <w:vAlign w:val="bottom"/>
            <w:gridSpan w:val="2"/>
          </w:tcPr>
          <w:p>
            <w:pPr>
              <w:spacing w:after="0"/>
              <w:rPr>
                <w:sz w:val="20"/>
                <w:szCs w:val="20"/>
                <w:color w:val="auto"/>
              </w:rPr>
            </w:pPr>
            <w:r>
              <w:rPr>
                <w:rFonts w:ascii="Arial" w:cs="Arial" w:eastAsia="Arial" w:hAnsi="Arial"/>
                <w:sz w:val="15"/>
                <w:szCs w:val="15"/>
                <w:color w:val="auto"/>
              </w:rPr>
              <w:t>Robert L. Duffy</w:t>
            </w:r>
          </w:p>
        </w:tc>
        <w:tc>
          <w:tcPr>
            <w:tcW w:w="120" w:type="dxa"/>
            <w:vAlign w:val="bottom"/>
          </w:tcPr>
          <w:p>
            <w:pPr>
              <w:spacing w:after="0"/>
              <w:rPr>
                <w:sz w:val="16"/>
                <w:szCs w:val="16"/>
                <w:color w:val="auto"/>
              </w:rPr>
            </w:pPr>
          </w:p>
        </w:tc>
        <w:tc>
          <w:tcPr>
            <w:tcW w:w="1280" w:type="dxa"/>
            <w:vAlign w:val="bottom"/>
          </w:tcPr>
          <w:p>
            <w:pPr>
              <w:jc w:val="right"/>
              <w:ind w:right="9"/>
              <w:spacing w:after="0"/>
              <w:rPr>
                <w:sz w:val="20"/>
                <w:szCs w:val="20"/>
                <w:color w:val="auto"/>
              </w:rPr>
            </w:pPr>
            <w:r>
              <w:rPr>
                <w:rFonts w:ascii="Arial" w:cs="Arial" w:eastAsia="Arial" w:hAnsi="Arial"/>
                <w:sz w:val="15"/>
                <w:szCs w:val="15"/>
                <w:color w:val="auto"/>
              </w:rPr>
              <w:t>400,000</w:t>
            </w:r>
          </w:p>
        </w:tc>
        <w:tc>
          <w:tcPr>
            <w:tcW w:w="300" w:type="dxa"/>
            <w:vAlign w:val="bottom"/>
          </w:tcPr>
          <w:p>
            <w:pPr>
              <w:spacing w:after="0"/>
              <w:rPr>
                <w:sz w:val="16"/>
                <w:szCs w:val="16"/>
                <w:color w:val="auto"/>
              </w:rPr>
            </w:pPr>
          </w:p>
        </w:tc>
        <w:tc>
          <w:tcPr>
            <w:tcW w:w="1325" w:type="dxa"/>
            <w:vAlign w:val="bottom"/>
          </w:tcPr>
          <w:p>
            <w:pPr>
              <w:jc w:val="right"/>
              <w:ind w:right="55"/>
              <w:spacing w:after="0"/>
              <w:rPr>
                <w:sz w:val="20"/>
                <w:szCs w:val="20"/>
                <w:color w:val="auto"/>
              </w:rPr>
            </w:pPr>
            <w:r>
              <w:rPr>
                <w:rFonts w:ascii="Arial" w:cs="Arial" w:eastAsia="Arial" w:hAnsi="Arial"/>
                <w:sz w:val="15"/>
                <w:szCs w:val="15"/>
                <w:color w:val="auto"/>
              </w:rPr>
              <w:t>200,000</w:t>
            </w:r>
          </w:p>
        </w:tc>
        <w:tc>
          <w:tcPr>
            <w:tcW w:w="1675" w:type="dxa"/>
            <w:vAlign w:val="bottom"/>
          </w:tcPr>
          <w:p>
            <w:pPr>
              <w:jc w:val="right"/>
              <w:spacing w:after="0"/>
              <w:rPr>
                <w:sz w:val="20"/>
                <w:szCs w:val="20"/>
                <w:color w:val="auto"/>
              </w:rPr>
            </w:pPr>
            <w:r>
              <w:rPr>
                <w:rFonts w:ascii="Arial" w:cs="Arial" w:eastAsia="Arial" w:hAnsi="Arial"/>
                <w:sz w:val="15"/>
                <w:szCs w:val="15"/>
                <w:color w:val="auto"/>
              </w:rPr>
              <w:t>50 %</w:t>
            </w:r>
          </w:p>
        </w:tc>
        <w:tc>
          <w:tcPr>
            <w:tcW w:w="0" w:type="dxa"/>
            <w:vAlign w:val="bottom"/>
          </w:tcPr>
          <w:p>
            <w:pPr>
              <w:spacing w:after="0"/>
              <w:rPr>
                <w:sz w:val="1"/>
                <w:szCs w:val="1"/>
                <w:color w:val="auto"/>
              </w:rPr>
            </w:pPr>
          </w:p>
        </w:tc>
      </w:tr>
    </w:tbl>
    <w:p>
      <w:pPr>
        <w:spacing w:after="0" w:line="392"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59" w:name="page60"/>
    <w:bookmarkEnd w:id="59"/>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Generally, if a Named Executive is terminated within 24 months (30 months for Mr. Geveden) following a change in control either (i) by the Company for any reason other than cause or death or disability; or (ii) by the Named Executive for good reason, the Named Executive is entitled to receive:</w:t>
      </w:r>
    </w:p>
    <w:p>
      <w:pPr>
        <w:spacing w:after="0" w:line="12" w:lineRule="exact"/>
        <w:rPr>
          <w:sz w:val="20"/>
          <w:szCs w:val="20"/>
          <w:color w:val="auto"/>
        </w:rPr>
      </w:pPr>
    </w:p>
    <w:p>
      <w:pPr>
        <w:ind w:left="580" w:hanging="29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accelerated vesting in the executive’s SERP and Restoration Plan account;</w:t>
      </w:r>
    </w:p>
    <w:p>
      <w:pPr>
        <w:spacing w:after="0" w:line="96" w:lineRule="exact"/>
        <w:rPr>
          <w:rFonts w:ascii="Arial" w:cs="Arial" w:eastAsia="Arial" w:hAnsi="Arial"/>
          <w:sz w:val="16"/>
          <w:szCs w:val="16"/>
          <w:color w:val="auto"/>
        </w:rPr>
      </w:pPr>
    </w:p>
    <w:p>
      <w:pPr>
        <w:ind w:left="580" w:hanging="29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accelerated vesting in any outstanding equity awards;</w:t>
      </w:r>
    </w:p>
    <w:p>
      <w:pPr>
        <w:spacing w:after="0" w:line="96" w:lineRule="exact"/>
        <w:rPr>
          <w:rFonts w:ascii="Arial" w:cs="Arial" w:eastAsia="Arial" w:hAnsi="Arial"/>
          <w:sz w:val="16"/>
          <w:szCs w:val="16"/>
          <w:color w:val="auto"/>
        </w:rPr>
      </w:pPr>
    </w:p>
    <w:p>
      <w:pPr>
        <w:ind w:left="580" w:hanging="29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cash severance payment (discussed above);</w:t>
      </w:r>
    </w:p>
    <w:p>
      <w:pPr>
        <w:spacing w:after="0" w:line="83" w:lineRule="exact"/>
        <w:rPr>
          <w:rFonts w:ascii="Arial" w:cs="Arial" w:eastAsia="Arial" w:hAnsi="Arial"/>
          <w:sz w:val="16"/>
          <w:szCs w:val="16"/>
          <w:color w:val="auto"/>
        </w:rPr>
      </w:pPr>
    </w:p>
    <w:p>
      <w:pPr>
        <w:ind w:left="580" w:hanging="29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prorated target EICP payment and payment of the prior year’s EICP payment, if unpaid at termination; and</w:t>
      </w:r>
    </w:p>
    <w:p>
      <w:pPr>
        <w:spacing w:after="0" w:line="96" w:lineRule="exact"/>
        <w:rPr>
          <w:rFonts w:ascii="Arial" w:cs="Arial" w:eastAsia="Arial" w:hAnsi="Arial"/>
          <w:sz w:val="16"/>
          <w:szCs w:val="16"/>
          <w:color w:val="auto"/>
        </w:rPr>
      </w:pPr>
    </w:p>
    <w:p>
      <w:pPr>
        <w:ind w:left="580" w:hanging="290"/>
        <w:spacing w:after="0"/>
        <w:tabs>
          <w:tab w:leader="none" w:pos="580"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cash payment for health benefits coverage.</w:t>
      </w:r>
    </w:p>
    <w:p>
      <w:pPr>
        <w:spacing w:after="0" w:line="96" w:lineRule="exact"/>
        <w:rPr>
          <w:sz w:val="20"/>
          <w:szCs w:val="20"/>
          <w:color w:val="auto"/>
        </w:rPr>
      </w:pPr>
    </w:p>
    <w:p>
      <w:pPr>
        <w:jc w:val="both"/>
        <w:ind w:right="200"/>
        <w:spacing w:after="0" w:line="274" w:lineRule="auto"/>
        <w:rPr>
          <w:sz w:val="20"/>
          <w:szCs w:val="20"/>
          <w:color w:val="auto"/>
        </w:rPr>
      </w:pPr>
      <w:r>
        <w:rPr>
          <w:rFonts w:ascii="Arial" w:cs="Arial" w:eastAsia="Arial" w:hAnsi="Arial"/>
          <w:sz w:val="16"/>
          <w:szCs w:val="16"/>
          <w:color w:val="auto"/>
        </w:rPr>
        <w:t>The change in control agreements do not provide any tax reimbursement on the benefits. Instead, the agreements contain a “modified cutback” provision, which acts to reduce the benefits payable to a Named Executive to the extent necessary so that no excise tax would be imposed on the benefits paid, but only if doing so would result in the Named Executive retaining a larger after-tax amount.</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Under the Company’s change in control agreements, a “change in control” will be deemed to have occurred on the occurrence of any of the following:</w:t>
      </w:r>
    </w:p>
    <w:p>
      <w:pPr>
        <w:spacing w:after="0" w:line="96" w:lineRule="exact"/>
        <w:rPr>
          <w:sz w:val="20"/>
          <w:szCs w:val="20"/>
          <w:color w:val="auto"/>
        </w:rPr>
      </w:pPr>
    </w:p>
    <w:p>
      <w:pPr>
        <w:ind w:left="580" w:right="120" w:hanging="290"/>
        <w:spacing w:after="0" w:line="264" w:lineRule="auto"/>
        <w:tabs>
          <w:tab w:leader="none" w:pos="5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Any person, other than an ERISA-regulated pension plan established by the Company or its affiliates makes an acquisition of outstanding voting stock and is, immediately thereafter, the beneficial owner of 30% or more of the then outstanding voting stock, unless such acquisition is made directly from the Company in a transaction approved by a majority of the incumbent directors; or any group is formed that is the beneficial owner of 30% or more of the outstanding voting stock (other than a group formation for the purpose of making an acquisition directly from the Company and approved (prior to such group formation) by a majority of the incumbent directors);</w:t>
      </w:r>
    </w:p>
    <w:p>
      <w:pPr>
        <w:spacing w:after="0" w:line="47" w:lineRule="exact"/>
        <w:rPr>
          <w:rFonts w:ascii="Arial" w:cs="Arial" w:eastAsia="Arial" w:hAnsi="Arial"/>
          <w:sz w:val="16"/>
          <w:szCs w:val="16"/>
          <w:color w:val="auto"/>
        </w:rPr>
      </w:pPr>
    </w:p>
    <w:p>
      <w:pPr>
        <w:ind w:left="580" w:hanging="290"/>
        <w:spacing w:after="0"/>
        <w:tabs>
          <w:tab w:leader="none" w:pos="5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individuals who are incumbent directors cease for any reason to constitute a majority of the members of the board of directors;</w:t>
      </w:r>
    </w:p>
    <w:p>
      <w:pPr>
        <w:spacing w:after="0" w:line="83" w:lineRule="exact"/>
        <w:rPr>
          <w:rFonts w:ascii="Arial" w:cs="Arial" w:eastAsia="Arial" w:hAnsi="Arial"/>
          <w:sz w:val="16"/>
          <w:szCs w:val="16"/>
          <w:color w:val="auto"/>
        </w:rPr>
      </w:pPr>
    </w:p>
    <w:p>
      <w:pPr>
        <w:ind w:left="580" w:right="60" w:hanging="290"/>
        <w:spacing w:after="0" w:line="257" w:lineRule="auto"/>
        <w:tabs>
          <w:tab w:leader="none" w:pos="5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consummation of a business combination unless, immediately following such business combination, (1) all or substantially all of the individuals and entities that were the beneficial owners of the outstanding voting stock immediately before such business combination beneficially own, directly or indirectly, more than 51% of the then outstanding shares of voting stock of the parent corporation resulting from such business combination in substantially the same relative proportions as their ownership, immediately before such business combination, of the outstanding voting stock, (2) if the business combination involves the issuance or payment by the Company of consideration to another entity or its stockholders, the total fair market value of such consideration plus the principal amount of the consolidated long-term debt of the entity or business being acquired (in each case, determined as of the date of consummation of such business combination by a majority of the incumbent directors) does not exceed 50% of the sum of the fair market value of the outstanding voting stock plus the principal amount of the Company’s consolidated long-term debt (in each case, determined immediately before such consummation by a majority of the incumbent directors), (3) no person (other than any corporation resulting from such business combination) beneficially owns, directly or indirectly, 30% or more of the then outstanding shares of voting stock of the parent corporation resulting from such business combination and (4) a majority of the members of the board of directors of the parent corporation resulting from such business combination were incumbent directors of the Company immediately before consummation of such business combination; or</w:t>
      </w:r>
    </w:p>
    <w:p>
      <w:pPr>
        <w:spacing w:after="0" w:line="57" w:lineRule="exact"/>
        <w:rPr>
          <w:rFonts w:ascii="Arial" w:cs="Arial" w:eastAsia="Arial" w:hAnsi="Arial"/>
          <w:sz w:val="16"/>
          <w:szCs w:val="16"/>
          <w:color w:val="auto"/>
        </w:rPr>
      </w:pPr>
    </w:p>
    <w:p>
      <w:pPr>
        <w:ind w:left="580" w:hanging="290"/>
        <w:spacing w:after="0" w:line="262" w:lineRule="auto"/>
        <w:tabs>
          <w:tab w:leader="none" w:pos="576" w:val="left"/>
        </w:tabs>
        <w:numPr>
          <w:ilvl w:val="0"/>
          <w:numId w:val="84"/>
        </w:numPr>
        <w:rPr>
          <w:rFonts w:ascii="Arial" w:cs="Arial" w:eastAsia="Arial" w:hAnsi="Arial"/>
          <w:sz w:val="16"/>
          <w:szCs w:val="16"/>
          <w:color w:val="auto"/>
        </w:rPr>
      </w:pPr>
      <w:r>
        <w:rPr>
          <w:rFonts w:ascii="Arial" w:cs="Arial" w:eastAsia="Arial" w:hAnsi="Arial"/>
          <w:sz w:val="16"/>
          <w:szCs w:val="16"/>
          <w:color w:val="auto"/>
        </w:rPr>
        <w:t>consummation of a major asset disposition unless, immediately following such major asset disposition, (1) individuals and entities that were beneficial owners of the outstanding voting stock immediately before such major asset disposition beneficially own, directly or indirectly, more than 70% of the then outstanding shares of voting stock (if it continues to exist) and of the entity that acquires the largest portion of such assets (or the entity, if any, that owns a majority of the outstanding voting stock of such acquiring entity) and (2) a majority of the members of the board of directors (if it continues to exist) and of the entity that acquires the largest portion of such assets (or the entity, if any, that owns a majority of the outstanding voting stock of such acquiring entity) were incumbent directors of the Company immediately before consummation of such major asset disposition.</w:t>
      </w:r>
    </w:p>
    <w:p>
      <w:pPr>
        <w:spacing w:after="0" w:line="49" w:lineRule="exact"/>
        <w:rPr>
          <w:sz w:val="20"/>
          <w:szCs w:val="20"/>
          <w:color w:val="auto"/>
        </w:rPr>
      </w:pPr>
    </w:p>
    <w:p>
      <w:pPr>
        <w:ind w:right="20"/>
        <w:spacing w:after="0" w:line="274" w:lineRule="auto"/>
        <w:rPr>
          <w:sz w:val="20"/>
          <w:szCs w:val="20"/>
          <w:color w:val="auto"/>
        </w:rPr>
      </w:pPr>
      <w:r>
        <w:rPr>
          <w:rFonts w:ascii="Arial" w:cs="Arial" w:eastAsia="Arial" w:hAnsi="Arial"/>
          <w:sz w:val="16"/>
          <w:szCs w:val="16"/>
          <w:b w:val="1"/>
          <w:bCs w:val="1"/>
          <w:color w:val="auto"/>
        </w:rPr>
        <w:t xml:space="preserve">EICP. </w:t>
      </w:r>
      <w:r>
        <w:rPr>
          <w:rFonts w:ascii="Arial" w:cs="Arial" w:eastAsia="Arial" w:hAnsi="Arial"/>
          <w:sz w:val="16"/>
          <w:szCs w:val="16"/>
          <w:color w:val="auto"/>
        </w:rPr>
        <w:t>The Company does not make any payments under the EICP to participants who have been involuntarily terminated without cause, except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who have at least five years of service and age 60 or older. For these participants, it has been the Company’s practice to pay the prorated amount of an EICP award that would have</w:t>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48 </w:t>
      </w:r>
      <w:r>
        <w:rPr>
          <w:sz w:val="1"/>
          <w:szCs w:val="1"/>
          <w:color w:val="auto"/>
        </w:rPr>
        <w:drawing>
          <wp:inline distT="0" distB="0" distL="0" distR="0">
            <wp:extent cx="401955" cy="162560"/>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sectPr>
      </w:pPr>
    </w:p>
    <w:bookmarkStart w:id="60" w:name="page61"/>
    <w:bookmarkEnd w:id="60"/>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74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658876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588760" cy="762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300"/>
        <w:spacing w:after="0" w:line="294" w:lineRule="auto"/>
        <w:rPr>
          <w:sz w:val="20"/>
          <w:szCs w:val="20"/>
          <w:color w:val="auto"/>
        </w:rPr>
      </w:pPr>
      <w:r>
        <w:rPr>
          <w:rFonts w:ascii="Arial" w:cs="Arial" w:eastAsia="Arial" w:hAnsi="Arial"/>
          <w:sz w:val="16"/>
          <w:szCs w:val="16"/>
          <w:color w:val="auto"/>
        </w:rPr>
        <w:t>been earned during the year in which the employee is involuntarily terminated without cause, contingent on the participant executing a general release of claims. Mr. Geveden was the only Named Executive eligible for this payment as of December 31, 2022.</w:t>
      </w:r>
    </w:p>
    <w:p>
      <w:pPr>
        <w:spacing w:after="0" w:line="12" w:lineRule="exact"/>
        <w:rPr>
          <w:sz w:val="20"/>
          <w:szCs w:val="20"/>
          <w:color w:val="auto"/>
        </w:rPr>
      </w:pPr>
    </w:p>
    <w:p>
      <w:pPr>
        <w:jc w:val="both"/>
        <w:ind w:right="240"/>
        <w:spacing w:after="0" w:line="267" w:lineRule="auto"/>
        <w:rPr>
          <w:sz w:val="20"/>
          <w:szCs w:val="20"/>
          <w:color w:val="auto"/>
        </w:rPr>
      </w:pPr>
      <w:r>
        <w:rPr>
          <w:rFonts w:ascii="Arial" w:cs="Arial" w:eastAsia="Arial" w:hAnsi="Arial"/>
          <w:sz w:val="16"/>
          <w:szCs w:val="16"/>
          <w:color w:val="auto"/>
        </w:rPr>
        <w:t>In a termination following a change in control, a Named Executive would be entitled to a prorated target EICP payment equal to the product of the Named Executive’s annual base salary and EICP target percentage, with the product prorated based on the number of days the Named Executive was employed during the year in which the termination occurs. Based on a December 31, 2022 termination, each Named Executive would have been entitled to an EICP payment equal to 100% of his 2022 target EICP, as in effect immediately prior to the date of termination.</w:t>
      </w:r>
    </w:p>
    <w:p>
      <w:pPr>
        <w:spacing w:after="0" w:line="46"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Benefit Payments</w:t>
      </w:r>
      <w:r>
        <w:rPr>
          <w:rFonts w:ascii="Arial" w:cs="Arial" w:eastAsia="Arial" w:hAnsi="Arial"/>
          <w:sz w:val="16"/>
          <w:szCs w:val="16"/>
          <w:color w:val="auto"/>
        </w:rPr>
        <w:t>. Upon a termination by the Company for any reason other than cause under the Executive Severance Plan or following a change in</w:t>
      </w:r>
      <w:r>
        <w:rPr>
          <w:rFonts w:ascii="Arial" w:cs="Arial" w:eastAsia="Arial" w:hAnsi="Arial"/>
          <w:sz w:val="16"/>
          <w:szCs w:val="16"/>
          <w:b w:val="1"/>
          <w:bCs w:val="1"/>
          <w:color w:val="auto"/>
        </w:rPr>
        <w:t xml:space="preserve"> </w:t>
      </w:r>
      <w:r>
        <w:rPr>
          <w:rFonts w:ascii="Arial" w:cs="Arial" w:eastAsia="Arial" w:hAnsi="Arial"/>
          <w:sz w:val="16"/>
          <w:szCs w:val="16"/>
          <w:color w:val="auto"/>
        </w:rPr>
        <w:t>control, each Named Executive would be entitled to a lump-sum payment equal to nine months of COBRA premiums for the medical, dental and/or vision benefits in effect for the Named Executive and his qualified beneficiaries as of the date of termination. The amounts reported were determined by multiplying the monthly cost of 2022 medical, dental and/or vision benefits for the Named Executive and his qualified beneficiaries by 102%, and then multiplying the product by nine. The Executive Severance Plan also provides for extended availability of COBRA coverage from 18 to 24 months.</w:t>
      </w:r>
    </w:p>
    <w:p>
      <w:pPr>
        <w:spacing w:after="0" w:line="48" w:lineRule="exact"/>
        <w:rPr>
          <w:sz w:val="20"/>
          <w:szCs w:val="20"/>
          <w:color w:val="auto"/>
        </w:rPr>
      </w:pPr>
    </w:p>
    <w:p>
      <w:pPr>
        <w:ind w:right="400"/>
        <w:spacing w:after="0" w:line="294" w:lineRule="auto"/>
        <w:rPr>
          <w:sz w:val="20"/>
          <w:szCs w:val="20"/>
          <w:color w:val="auto"/>
        </w:rPr>
      </w:pPr>
      <w:r>
        <w:rPr>
          <w:rFonts w:ascii="Arial" w:cs="Arial" w:eastAsia="Arial" w:hAnsi="Arial"/>
          <w:sz w:val="16"/>
          <w:szCs w:val="16"/>
          <w:color w:val="auto"/>
        </w:rPr>
        <w:t>In the event of a termination following a change in control, a Named Executive receives a lump sum payment equal to three times the full annual cost of coverage for medical, dental and vision benefits (as calculated above) provided to the Named Executive and their covered dependents.</w:t>
      </w:r>
    </w:p>
    <w:p>
      <w:pPr>
        <w:spacing w:after="0" w:line="12"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In addition to these payments, each Named Executive may be entitled to various accrued benefits earned through the date of termination, such as earned but unpaid salary and earned but unused vacation and reimbursements.</w:t>
      </w:r>
    </w:p>
    <w:p>
      <w:pPr>
        <w:spacing w:after="0" w:line="24" w:lineRule="exact"/>
        <w:rPr>
          <w:sz w:val="20"/>
          <w:szCs w:val="20"/>
          <w:color w:val="auto"/>
        </w:rPr>
      </w:pPr>
    </w:p>
    <w:p>
      <w:pPr>
        <w:ind w:right="140"/>
        <w:spacing w:after="0" w:line="274" w:lineRule="auto"/>
        <w:rPr>
          <w:sz w:val="20"/>
          <w:szCs w:val="20"/>
          <w:color w:val="auto"/>
        </w:rPr>
      </w:pPr>
      <w:r>
        <w:rPr>
          <w:rFonts w:ascii="Arial" w:cs="Arial" w:eastAsia="Arial" w:hAnsi="Arial"/>
          <w:sz w:val="16"/>
          <w:szCs w:val="16"/>
          <w:b w:val="1"/>
          <w:bCs w:val="1"/>
          <w:color w:val="auto"/>
        </w:rPr>
        <w:t xml:space="preserve">Outplacement Services. </w:t>
      </w:r>
      <w:r>
        <w:rPr>
          <w:rFonts w:ascii="Arial" w:cs="Arial" w:eastAsia="Arial" w:hAnsi="Arial"/>
          <w:sz w:val="16"/>
          <w:szCs w:val="16"/>
          <w:color w:val="auto"/>
        </w:rPr>
        <w:t>Each Named Executive would be entitled to 12 months of employer-paid outplacement services under the Executive Severance</w:t>
      </w:r>
      <w:r>
        <w:rPr>
          <w:rFonts w:ascii="Arial" w:cs="Arial" w:eastAsia="Arial" w:hAnsi="Arial"/>
          <w:sz w:val="16"/>
          <w:szCs w:val="16"/>
          <w:b w:val="1"/>
          <w:bCs w:val="1"/>
          <w:color w:val="auto"/>
        </w:rPr>
        <w:t xml:space="preserve"> </w:t>
      </w:r>
      <w:r>
        <w:rPr>
          <w:rFonts w:ascii="Arial" w:cs="Arial" w:eastAsia="Arial" w:hAnsi="Arial"/>
          <w:sz w:val="16"/>
          <w:szCs w:val="16"/>
          <w:color w:val="auto"/>
        </w:rPr>
        <w:t>Plan following his termination by the Company for reasons other than cause, death, disability or retirement. The amounts reported represent the per person cost the Company would incur to engage a third-party service provider for 12 months of executive outplacement services.</w:t>
      </w:r>
    </w:p>
    <w:p>
      <w:pPr>
        <w:spacing w:after="0" w:line="40" w:lineRule="exact"/>
        <w:rPr>
          <w:sz w:val="20"/>
          <w:szCs w:val="20"/>
          <w:color w:val="auto"/>
        </w:rPr>
      </w:pPr>
    </w:p>
    <w:p>
      <w:pPr>
        <w:ind w:right="60"/>
        <w:spacing w:after="0" w:line="274" w:lineRule="auto"/>
        <w:rPr>
          <w:sz w:val="20"/>
          <w:szCs w:val="20"/>
          <w:color w:val="auto"/>
        </w:rPr>
      </w:pPr>
      <w:r>
        <w:rPr>
          <w:rFonts w:ascii="Arial" w:cs="Arial" w:eastAsia="Arial" w:hAnsi="Arial"/>
          <w:sz w:val="16"/>
          <w:szCs w:val="16"/>
          <w:b w:val="1"/>
          <w:bCs w:val="1"/>
          <w:color w:val="auto"/>
        </w:rPr>
        <w:t xml:space="preserve">Financial Planning. </w:t>
      </w:r>
      <w:r>
        <w:rPr>
          <w:rFonts w:ascii="Arial" w:cs="Arial" w:eastAsia="Arial" w:hAnsi="Arial"/>
          <w:sz w:val="16"/>
          <w:szCs w:val="16"/>
          <w:color w:val="auto"/>
        </w:rPr>
        <w:t>Under the terms of the agreement with the Company’s financial planning service provider, each Named Executive is entitled to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planning benefits for one year following his termination without cause, death or disability, so long as the agreement has not been earlier terminated. The amounts reported in this column represent the fee that the Company would be required to pay for the applicable Named Executive to receive such benefits.</w:t>
      </w:r>
    </w:p>
    <w:p>
      <w:pPr>
        <w:spacing w:after="0" w:line="28" w:lineRule="exact"/>
        <w:rPr>
          <w:sz w:val="20"/>
          <w:szCs w:val="20"/>
          <w:color w:val="auto"/>
        </w:rPr>
      </w:pPr>
    </w:p>
    <w:p>
      <w:pPr>
        <w:ind w:right="60"/>
        <w:spacing w:after="0" w:line="264" w:lineRule="auto"/>
        <w:rPr>
          <w:sz w:val="20"/>
          <w:szCs w:val="20"/>
          <w:color w:val="auto"/>
        </w:rPr>
      </w:pPr>
      <w:r>
        <w:rPr>
          <w:rFonts w:ascii="Arial" w:cs="Arial" w:eastAsia="Arial" w:hAnsi="Arial"/>
          <w:sz w:val="16"/>
          <w:szCs w:val="16"/>
          <w:b w:val="1"/>
          <w:bCs w:val="1"/>
          <w:color w:val="auto"/>
        </w:rPr>
        <w:t xml:space="preserve">SERP. </w:t>
      </w:r>
      <w:r>
        <w:rPr>
          <w:rFonts w:ascii="Arial" w:cs="Arial" w:eastAsia="Arial" w:hAnsi="Arial"/>
          <w:sz w:val="16"/>
          <w:szCs w:val="16"/>
          <w:color w:val="auto"/>
        </w:rPr>
        <w:t>Under the terms of the Company’s SERP, an executive’s Company account becomes fully vested on, among other events, the date of the executive’s</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by the Company for any reason other than cause. Under the terms of the SERP, an executive’s company account becomes fully vested on, among other events, the date of the executive’s retirement. For purposes of the SERP, "retirement" is defined as separation from service with us on or after the first day of the calendar month coincident with or following the executive’s attainment of the age of 65. None of the Named Executives were participants in the SERP as of December 31, 2022.</w:t>
      </w:r>
    </w:p>
    <w:p>
      <w:pPr>
        <w:spacing w:after="0" w:line="48" w:lineRule="exact"/>
        <w:rPr>
          <w:sz w:val="20"/>
          <w:szCs w:val="20"/>
          <w:color w:val="auto"/>
        </w:rPr>
      </w:pPr>
    </w:p>
    <w:p>
      <w:pPr>
        <w:ind w:right="20"/>
        <w:spacing w:after="0" w:line="262" w:lineRule="auto"/>
        <w:rPr>
          <w:sz w:val="20"/>
          <w:szCs w:val="20"/>
          <w:color w:val="auto"/>
        </w:rPr>
      </w:pPr>
      <w:r>
        <w:rPr>
          <w:rFonts w:ascii="Arial" w:cs="Arial" w:eastAsia="Arial" w:hAnsi="Arial"/>
          <w:sz w:val="16"/>
          <w:szCs w:val="16"/>
          <w:b w:val="1"/>
          <w:bCs w:val="1"/>
          <w:color w:val="auto"/>
        </w:rPr>
        <w:t xml:space="preserve">Restoration Plan. </w:t>
      </w:r>
      <w:r>
        <w:rPr>
          <w:rFonts w:ascii="Arial" w:cs="Arial" w:eastAsia="Arial" w:hAnsi="Arial"/>
          <w:sz w:val="16"/>
          <w:szCs w:val="16"/>
          <w:color w:val="auto"/>
        </w:rPr>
        <w:t>Under the Company’s Restoration Plan, an executive’s Company matching account and Company service-based account become fully</w:t>
      </w:r>
      <w:r>
        <w:rPr>
          <w:rFonts w:ascii="Arial" w:cs="Arial" w:eastAsia="Arial" w:hAnsi="Arial"/>
          <w:sz w:val="16"/>
          <w:szCs w:val="16"/>
          <w:b w:val="1"/>
          <w:bCs w:val="1"/>
          <w:color w:val="auto"/>
        </w:rPr>
        <w:t xml:space="preserve"> </w:t>
      </w:r>
      <w:r>
        <w:rPr>
          <w:rFonts w:ascii="Arial" w:cs="Arial" w:eastAsia="Arial" w:hAnsi="Arial"/>
          <w:sz w:val="16"/>
          <w:szCs w:val="16"/>
          <w:color w:val="auto"/>
        </w:rPr>
        <w:t>vested on, among other events, (i) the date of the executive’s termination by the Company for any reason other than cause or (ii) the date a change in control occurs. A “change in control” has a substantially similar meaning under the Company’s Restoration Plan as it does under the Company’s change in control agreements, except that a participant in the Company’s Restoration Plan is excluded from accelerated vesting if the participant is part of a purchasing group that consummates a transaction that qualifies as a change of control under the Restoration Plan. Messrs. Geveden and McCabe were each 100% vested in their respective Company matching accounts and Company service-based accounts as of December 31, 2022.</w:t>
      </w:r>
    </w:p>
    <w:p>
      <w:pPr>
        <w:spacing w:after="0" w:line="49"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b w:val="1"/>
          <w:bCs w:val="1"/>
          <w:color w:val="auto"/>
        </w:rPr>
        <w:t xml:space="preserve">Restricted Stock Units and Performance RSUs. </w:t>
      </w:r>
      <w:r>
        <w:rPr>
          <w:rFonts w:ascii="Arial" w:cs="Arial" w:eastAsia="Arial" w:hAnsi="Arial"/>
          <w:sz w:val="16"/>
          <w:szCs w:val="16"/>
          <w:color w:val="auto"/>
        </w:rPr>
        <w:t>The terms of the outstanding restricted stock unit and performance RSU award agreements provide for</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vesting in certain circumstances as described below. All unvested stock awards become vested in the event a Named Executive’s employment terminates by reason of his death, disability or a change in control (regardless of whether there is a subsequent termination of employment for grants made prior to 2021). In these circumstances, performance RSUs vest at target level. Under the Company’s Incentive Plans, a “change in control” occurs under the same circumstances described above with respect to the Company’s change -in-control agreements. Generally, the Company’s stock awards provide for accelerated vesting of at least a part of an executive’s outstanding shares or units under an involuntary termination without cause if due to a reduction in force. For stock awards made in 2019 and after, (i) restricted stock units are forfeited, unless the participant is retirement eligible, and (ii) performance RSUs are forfeited if the termination is prior to the first anniversary of the grant date and prorated thereafter based on the number of days in the performance period up to the termination date. The award agreements for these awards define retirement for</w:t>
      </w:r>
    </w:p>
    <w:p>
      <w:pPr>
        <w:spacing w:after="0" w:line="28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1" w:name="page62"/>
    <w:bookmarkEnd w:id="61"/>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900"/>
        <w:spacing w:after="0"/>
        <w:rPr>
          <w:sz w:val="20"/>
          <w:szCs w:val="20"/>
          <w:color w:val="auto"/>
        </w:rPr>
      </w:pPr>
      <w:r>
        <w:rPr>
          <w:rFonts w:ascii="Arial" w:cs="Arial" w:eastAsia="Arial" w:hAnsi="Arial"/>
          <w:sz w:val="13"/>
          <w:szCs w:val="13"/>
          <w:color w:val="auto"/>
        </w:rPr>
        <w:t>COMPENSATION OF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1524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5655" cy="1524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right="320"/>
        <w:spacing w:after="0" w:line="267" w:lineRule="auto"/>
        <w:rPr>
          <w:sz w:val="20"/>
          <w:szCs w:val="20"/>
          <w:color w:val="auto"/>
        </w:rPr>
      </w:pPr>
      <w:r>
        <w:rPr>
          <w:rFonts w:ascii="Arial" w:cs="Arial" w:eastAsia="Arial" w:hAnsi="Arial"/>
          <w:sz w:val="16"/>
          <w:szCs w:val="16"/>
          <w:color w:val="auto"/>
        </w:rPr>
        <w:t>Named Executives as a termination of employment not for cause after attaining 60 years of age and 5 years of service. In such event, the number of performance awards that will vest at the end of the three-year vesting term are determined by multiplying (i) the total number of performance shares that would have vested based on actual performance had the applicable Named Executive been employed at the end of the vest term by (ii) the applicable percentage discussed above. Mr. Geveden was eligible for retirement on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CEO PAY RATIO</w:t>
      </w:r>
    </w:p>
    <w:p>
      <w:pPr>
        <w:spacing w:after="0" w:line="105"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We are providing the following information about the relationship of the median of the annual total compensation of our employees, other than our chief executive officer, and the annual total compensation of Mr. Rex D. Geveden, our President and Chief Executive Officer (our “CEO”), as required by the SEC. For 2022, we determined that the annual total compensation of our median employee was $93,437 and the annual total compensation of our CEO, as reported in the Summary Compensation Table of this Proxy Statement, was $5,716,692. Based on this information, the ratio of the annual total compensation of our CEO to the median of the annual compensation of all employees in 2022 was 61 to 1.</w:t>
      </w:r>
    </w:p>
    <w:p>
      <w:pPr>
        <w:spacing w:after="0" w:line="6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pay ratio provided is a reasonable estimate as of December 31, 2022 calculated in a manner consistent with Item 402(u) of Regulation S-K. The data used to calculate the pay ratio are specific to our Company and our employee population. As a result, our pay ratio may not be comparable to the pay ratios of other companies. We had approximately 6,600 employees as of December 31, 2022 located in the U.S. and Canada. To identify the median employee from our employee population, we compared the amount of salary, wages, non-cash earnings, and employer thrift and 401(k) contributions of our employees as reflected in our payroll records. We combined all of the elements of such employee’s compensation for 2022 in accordance with the requirements of Item 402(c)(2)(x) of Regulation S-K, resulting in annual compensation for the median employee of $93,437. We used the annual total compensation of our CEO as reported in the “Total” column of our Summary Compensation Table of this proxy statement.</w:t>
      </w:r>
    </w:p>
    <w:p>
      <w:pPr>
        <w:spacing w:after="0" w:line="18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PAY VERSUS PERFORMANCE</w:t>
      </w:r>
    </w:p>
    <w:p>
      <w:pPr>
        <w:spacing w:after="0" w:line="105"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As required by Item 402(v) of Regulation S-K, we are providing the following information regarding the relationship between executive compensation and our financial performance for each of the last three completed calendar years. In determining the “compensation actually paid” to our Named Executives ("NEOs"), we are required to make various adjustments to amounts that have been previously reported in the Summary Compensation Table in previous years, as the SEC’s valuation methods for this section differ from those required in the Summary Compensation Table. The table below summarizes compensation values both previously reported in our Summary Compensation Table, as well as the adjusted values required in this section for the 2020, 2021 and 2022 calendar years. Note that compensation for our NEOs other than our chief executive officer (“CEO”) is reported as an average.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70" w:type="dxa"/>
            <w:vAlign w:val="bottom"/>
            <w:shd w:val="clear" w:color="auto" w:fill="000000"/>
          </w:tcPr>
          <w:p>
            <w:pPr>
              <w:spacing w:after="0" w:line="20" w:lineRule="exact"/>
              <w:rPr>
                <w:sz w:val="1"/>
                <w:szCs w:val="1"/>
                <w:color w:val="auto"/>
              </w:rPr>
            </w:pPr>
          </w:p>
        </w:tc>
        <w:tc>
          <w:tcPr>
            <w:tcW w:w="90" w:type="dxa"/>
            <w:vAlign w:val="bottom"/>
            <w:shd w:val="clear" w:color="auto" w:fill="000000"/>
          </w:tcPr>
          <w:p>
            <w:pPr>
              <w:spacing w:after="0" w:line="20" w:lineRule="exact"/>
              <w:rPr>
                <w:sz w:val="1"/>
                <w:szCs w:val="1"/>
                <w:color w:val="auto"/>
              </w:rPr>
            </w:pPr>
          </w:p>
        </w:tc>
        <w:tc>
          <w:tcPr>
            <w:tcW w:w="1700" w:type="dxa"/>
            <w:vAlign w:val="bottom"/>
            <w:gridSpan w:val="3"/>
            <w:vMerge w:val="restart"/>
            <w:shd w:val="clear" w:color="auto" w:fill="000000"/>
          </w:tcPr>
          <w:p>
            <w:pPr>
              <w:jc w:val="right"/>
              <w:ind w:right="35"/>
              <w:spacing w:after="0"/>
              <w:rPr>
                <w:sz w:val="20"/>
                <w:szCs w:val="20"/>
                <w:color w:val="auto"/>
              </w:rPr>
            </w:pPr>
            <w:r>
              <w:rPr>
                <w:rFonts w:ascii="Arial" w:cs="Arial" w:eastAsia="Arial" w:hAnsi="Arial"/>
                <w:sz w:val="13"/>
                <w:szCs w:val="13"/>
                <w:b w:val="1"/>
                <w:bCs w:val="1"/>
                <w:color w:val="FFFFFF"/>
                <w:w w:val="99"/>
              </w:rPr>
              <w:t>Value of Initial Fixed $100</w:t>
            </w: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420" w:type="dxa"/>
            <w:vAlign w:val="bottom"/>
            <w:shd w:val="clear" w:color="auto" w:fill="000000"/>
          </w:tcPr>
          <w:p>
            <w:pPr>
              <w:spacing w:after="0"/>
              <w:rPr>
                <w:sz w:val="20"/>
                <w:szCs w:val="20"/>
                <w:color w:val="auto"/>
              </w:rPr>
            </w:pPr>
          </w:p>
        </w:tc>
        <w:tc>
          <w:tcPr>
            <w:tcW w:w="100" w:type="dxa"/>
            <w:vAlign w:val="bottom"/>
            <w:shd w:val="clear" w:color="auto" w:fill="000000"/>
          </w:tcPr>
          <w:p>
            <w:pPr>
              <w:spacing w:after="0"/>
              <w:rPr>
                <w:sz w:val="20"/>
                <w:szCs w:val="20"/>
                <w:color w:val="auto"/>
              </w:rPr>
            </w:pPr>
          </w:p>
        </w:tc>
        <w:tc>
          <w:tcPr>
            <w:tcW w:w="960" w:type="dxa"/>
            <w:vAlign w:val="bottom"/>
            <w:shd w:val="clear" w:color="auto" w:fill="000000"/>
          </w:tcPr>
          <w:p>
            <w:pPr>
              <w:spacing w:after="0"/>
              <w:rPr>
                <w:sz w:val="20"/>
                <w:szCs w:val="20"/>
                <w:color w:val="auto"/>
              </w:rPr>
            </w:pPr>
          </w:p>
        </w:tc>
        <w:tc>
          <w:tcPr>
            <w:tcW w:w="200" w:type="dxa"/>
            <w:vAlign w:val="bottom"/>
            <w:shd w:val="clear" w:color="auto" w:fill="000000"/>
          </w:tcPr>
          <w:p>
            <w:pPr>
              <w:spacing w:after="0"/>
              <w:rPr>
                <w:sz w:val="20"/>
                <w:szCs w:val="20"/>
                <w:color w:val="auto"/>
              </w:rPr>
            </w:pPr>
          </w:p>
        </w:tc>
        <w:tc>
          <w:tcPr>
            <w:tcW w:w="820" w:type="dxa"/>
            <w:vAlign w:val="bottom"/>
            <w:shd w:val="clear" w:color="auto" w:fill="000000"/>
          </w:tcPr>
          <w:p>
            <w:pPr>
              <w:spacing w:after="0"/>
              <w:rPr>
                <w:sz w:val="20"/>
                <w:szCs w:val="20"/>
                <w:color w:val="auto"/>
              </w:rPr>
            </w:pPr>
          </w:p>
        </w:tc>
        <w:tc>
          <w:tcPr>
            <w:tcW w:w="80" w:type="dxa"/>
            <w:vAlign w:val="bottom"/>
            <w:shd w:val="clear" w:color="auto" w:fill="000000"/>
          </w:tcPr>
          <w:p>
            <w:pPr>
              <w:spacing w:after="0"/>
              <w:rPr>
                <w:sz w:val="20"/>
                <w:szCs w:val="20"/>
                <w:color w:val="auto"/>
              </w:rPr>
            </w:pPr>
          </w:p>
        </w:tc>
        <w:tc>
          <w:tcPr>
            <w:tcW w:w="960" w:type="dxa"/>
            <w:vAlign w:val="bottom"/>
            <w:shd w:val="clear" w:color="auto" w:fill="000000"/>
          </w:tcPr>
          <w:p>
            <w:pPr>
              <w:spacing w:after="0"/>
              <w:rPr>
                <w:sz w:val="20"/>
                <w:szCs w:val="20"/>
                <w:color w:val="auto"/>
              </w:rPr>
            </w:pPr>
          </w:p>
        </w:tc>
        <w:tc>
          <w:tcPr>
            <w:tcW w:w="160" w:type="dxa"/>
            <w:vAlign w:val="bottom"/>
            <w:shd w:val="clear" w:color="auto" w:fill="000000"/>
          </w:tcPr>
          <w:p>
            <w:pPr>
              <w:spacing w:after="0"/>
              <w:rPr>
                <w:sz w:val="20"/>
                <w:szCs w:val="20"/>
                <w:color w:val="auto"/>
              </w:rPr>
            </w:pPr>
          </w:p>
        </w:tc>
        <w:tc>
          <w:tcPr>
            <w:tcW w:w="870" w:type="dxa"/>
            <w:vAlign w:val="bottom"/>
            <w:shd w:val="clear" w:color="auto" w:fill="000000"/>
          </w:tcPr>
          <w:p>
            <w:pPr>
              <w:spacing w:after="0"/>
              <w:rPr>
                <w:sz w:val="20"/>
                <w:szCs w:val="20"/>
                <w:color w:val="auto"/>
              </w:rPr>
            </w:pPr>
          </w:p>
        </w:tc>
        <w:tc>
          <w:tcPr>
            <w:tcW w:w="90" w:type="dxa"/>
            <w:vAlign w:val="bottom"/>
            <w:shd w:val="clear" w:color="auto" w:fill="000000"/>
          </w:tcPr>
          <w:p>
            <w:pPr>
              <w:spacing w:after="0"/>
              <w:rPr>
                <w:sz w:val="20"/>
                <w:szCs w:val="20"/>
                <w:color w:val="auto"/>
              </w:rPr>
            </w:pPr>
          </w:p>
        </w:tc>
        <w:tc>
          <w:tcPr>
            <w:tcW w:w="1700" w:type="dxa"/>
            <w:vAlign w:val="bottom"/>
            <w:gridSpan w:val="3"/>
            <w:vMerge w:val="continue"/>
            <w:shd w:val="clear" w:color="auto" w:fill="000000"/>
          </w:tcPr>
          <w:p>
            <w:pPr>
              <w:spacing w:after="0"/>
              <w:rPr>
                <w:sz w:val="20"/>
                <w:szCs w:val="20"/>
                <w:color w:val="auto"/>
              </w:rPr>
            </w:pPr>
          </w:p>
        </w:tc>
        <w:tc>
          <w:tcPr>
            <w:tcW w:w="960" w:type="dxa"/>
            <w:vAlign w:val="bottom"/>
            <w:shd w:val="clear" w:color="auto" w:fill="000000"/>
          </w:tcPr>
          <w:p>
            <w:pPr>
              <w:spacing w:after="0"/>
              <w:rPr>
                <w:sz w:val="20"/>
                <w:szCs w:val="20"/>
                <w:color w:val="auto"/>
              </w:rPr>
            </w:pPr>
          </w:p>
        </w:tc>
        <w:tc>
          <w:tcPr>
            <w:tcW w:w="98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420" w:type="dxa"/>
            <w:vAlign w:val="bottom"/>
            <w:shd w:val="clear" w:color="auto" w:fill="000000"/>
          </w:tcPr>
          <w:p>
            <w:pPr>
              <w:spacing w:after="0"/>
              <w:rPr>
                <w:sz w:val="14"/>
                <w:szCs w:val="14"/>
                <w:color w:val="auto"/>
              </w:rPr>
            </w:pPr>
          </w:p>
        </w:tc>
        <w:tc>
          <w:tcPr>
            <w:tcW w:w="10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200" w:type="dxa"/>
            <w:vAlign w:val="bottom"/>
            <w:shd w:val="clear" w:color="auto" w:fill="000000"/>
          </w:tcPr>
          <w:p>
            <w:pPr>
              <w:spacing w:after="0"/>
              <w:rPr>
                <w:sz w:val="14"/>
                <w:szCs w:val="14"/>
                <w:color w:val="auto"/>
              </w:rPr>
            </w:pPr>
          </w:p>
        </w:tc>
        <w:tc>
          <w:tcPr>
            <w:tcW w:w="820" w:type="dxa"/>
            <w:vAlign w:val="bottom"/>
            <w:shd w:val="clear" w:color="auto" w:fill="000000"/>
          </w:tcPr>
          <w:p>
            <w:pPr>
              <w:spacing w:after="0"/>
              <w:rPr>
                <w:sz w:val="14"/>
                <w:szCs w:val="14"/>
                <w:color w:val="auto"/>
              </w:rPr>
            </w:pPr>
          </w:p>
        </w:tc>
        <w:tc>
          <w:tcPr>
            <w:tcW w:w="80" w:type="dxa"/>
            <w:vAlign w:val="bottom"/>
            <w:shd w:val="clear" w:color="auto" w:fill="000000"/>
          </w:tcPr>
          <w:p>
            <w:pPr>
              <w:spacing w:after="0"/>
              <w:rPr>
                <w:sz w:val="14"/>
                <w:szCs w:val="14"/>
                <w:color w:val="auto"/>
              </w:rPr>
            </w:pPr>
          </w:p>
        </w:tc>
        <w:tc>
          <w:tcPr>
            <w:tcW w:w="960" w:type="dxa"/>
            <w:vAlign w:val="bottom"/>
            <w:shd w:val="clear" w:color="auto" w:fill="000000"/>
          </w:tcPr>
          <w:p>
            <w:pPr>
              <w:spacing w:after="0"/>
              <w:rPr>
                <w:sz w:val="14"/>
                <w:szCs w:val="14"/>
                <w:color w:val="auto"/>
              </w:rPr>
            </w:pPr>
          </w:p>
        </w:tc>
        <w:tc>
          <w:tcPr>
            <w:tcW w:w="160" w:type="dxa"/>
            <w:vAlign w:val="bottom"/>
            <w:shd w:val="clear" w:color="auto" w:fill="000000"/>
          </w:tcPr>
          <w:p>
            <w:pPr>
              <w:spacing w:after="0"/>
              <w:rPr>
                <w:sz w:val="14"/>
                <w:szCs w:val="14"/>
                <w:color w:val="auto"/>
              </w:rPr>
            </w:pPr>
          </w:p>
        </w:tc>
        <w:tc>
          <w:tcPr>
            <w:tcW w:w="870" w:type="dxa"/>
            <w:vAlign w:val="bottom"/>
            <w:shd w:val="clear" w:color="auto" w:fill="000000"/>
          </w:tcPr>
          <w:p>
            <w:pPr>
              <w:spacing w:after="0"/>
              <w:rPr>
                <w:sz w:val="14"/>
                <w:szCs w:val="14"/>
                <w:color w:val="auto"/>
              </w:rPr>
            </w:pPr>
          </w:p>
        </w:tc>
        <w:tc>
          <w:tcPr>
            <w:tcW w:w="90" w:type="dxa"/>
            <w:vAlign w:val="bottom"/>
            <w:shd w:val="clear" w:color="auto" w:fill="000000"/>
          </w:tcPr>
          <w:p>
            <w:pPr>
              <w:spacing w:after="0"/>
              <w:rPr>
                <w:sz w:val="14"/>
                <w:szCs w:val="14"/>
                <w:color w:val="auto"/>
              </w:rPr>
            </w:pPr>
          </w:p>
        </w:tc>
        <w:tc>
          <w:tcPr>
            <w:tcW w:w="1700" w:type="dxa"/>
            <w:vAlign w:val="bottom"/>
            <w:gridSpan w:val="3"/>
            <w:shd w:val="clear" w:color="auto" w:fill="000000"/>
          </w:tcPr>
          <w:p>
            <w:pPr>
              <w:jc w:val="right"/>
              <w:ind w:right="155"/>
              <w:spacing w:after="0"/>
              <w:rPr>
                <w:sz w:val="20"/>
                <w:szCs w:val="20"/>
                <w:color w:val="auto"/>
              </w:rPr>
            </w:pPr>
            <w:r>
              <w:rPr>
                <w:rFonts w:ascii="Arial" w:cs="Arial" w:eastAsia="Arial" w:hAnsi="Arial"/>
                <w:sz w:val="13"/>
                <w:szCs w:val="13"/>
                <w:b w:val="1"/>
                <w:bCs w:val="1"/>
                <w:color w:val="FFFFFF"/>
              </w:rPr>
              <w:t>Investment Based on:</w:t>
            </w:r>
          </w:p>
        </w:tc>
        <w:tc>
          <w:tcPr>
            <w:tcW w:w="960" w:type="dxa"/>
            <w:vAlign w:val="bottom"/>
            <w:shd w:val="clear" w:color="auto" w:fill="000000"/>
          </w:tcPr>
          <w:p>
            <w:pPr>
              <w:spacing w:after="0"/>
              <w:rPr>
                <w:sz w:val="14"/>
                <w:szCs w:val="14"/>
                <w:color w:val="auto"/>
              </w:rPr>
            </w:pPr>
          </w:p>
        </w:tc>
        <w:tc>
          <w:tcPr>
            <w:tcW w:w="980" w:type="dxa"/>
            <w:vAlign w:val="bottom"/>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7"/>
              </w:rPr>
              <w:t>Average</w:t>
            </w:r>
          </w:p>
        </w:tc>
        <w:tc>
          <w:tcPr>
            <w:tcW w:w="160" w:type="dxa"/>
            <w:vAlign w:val="bottom"/>
            <w:shd w:val="clear" w:color="auto" w:fill="000000"/>
          </w:tcPr>
          <w:p>
            <w:pPr>
              <w:spacing w:after="0" w:line="20" w:lineRule="exact"/>
              <w:rPr>
                <w:sz w:val="1"/>
                <w:szCs w:val="1"/>
                <w:color w:val="auto"/>
              </w:rPr>
            </w:pPr>
          </w:p>
        </w:tc>
        <w:tc>
          <w:tcPr>
            <w:tcW w:w="870" w:type="dxa"/>
            <w:vAlign w:val="bottom"/>
            <w:vMerge w:val="restart"/>
            <w:shd w:val="clear" w:color="auto" w:fill="000000"/>
          </w:tcPr>
          <w:p>
            <w:pPr>
              <w:jc w:val="center"/>
              <w:ind w:right="85"/>
              <w:spacing w:after="0"/>
              <w:rPr>
                <w:sz w:val="20"/>
                <w:szCs w:val="20"/>
                <w:color w:val="auto"/>
              </w:rPr>
            </w:pPr>
            <w:r>
              <w:rPr>
                <w:rFonts w:ascii="Arial" w:cs="Arial" w:eastAsia="Arial" w:hAnsi="Arial"/>
                <w:sz w:val="13"/>
                <w:szCs w:val="13"/>
                <w:b w:val="1"/>
                <w:bCs w:val="1"/>
                <w:color w:val="FFFFFF"/>
              </w:rPr>
              <w:t>Average</w:t>
            </w:r>
          </w:p>
        </w:tc>
        <w:tc>
          <w:tcPr>
            <w:tcW w:w="9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20" w:type="dxa"/>
            <w:vAlign w:val="bottom"/>
            <w:shd w:val="clear" w:color="auto" w:fill="000000"/>
          </w:tcPr>
          <w:p>
            <w:pPr>
              <w:spacing w:after="0"/>
              <w:rPr>
                <w:sz w:val="13"/>
                <w:szCs w:val="13"/>
                <w:color w:val="auto"/>
              </w:rPr>
            </w:pPr>
          </w:p>
        </w:tc>
        <w:tc>
          <w:tcPr>
            <w:tcW w:w="10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20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960" w:type="dxa"/>
            <w:vAlign w:val="bottom"/>
            <w:vMerge w:val="continue"/>
            <w:shd w:val="clear" w:color="auto" w:fill="000000"/>
          </w:tcPr>
          <w:p>
            <w:pPr>
              <w:spacing w:after="0"/>
              <w:rPr>
                <w:sz w:val="13"/>
                <w:szCs w:val="13"/>
                <w:color w:val="auto"/>
              </w:rPr>
            </w:pPr>
          </w:p>
        </w:tc>
        <w:tc>
          <w:tcPr>
            <w:tcW w:w="160" w:type="dxa"/>
            <w:vAlign w:val="bottom"/>
            <w:shd w:val="clear" w:color="auto" w:fill="000000"/>
          </w:tcPr>
          <w:p>
            <w:pPr>
              <w:spacing w:after="0"/>
              <w:rPr>
                <w:sz w:val="13"/>
                <w:szCs w:val="13"/>
                <w:color w:val="auto"/>
              </w:rPr>
            </w:pPr>
          </w:p>
        </w:tc>
        <w:tc>
          <w:tcPr>
            <w:tcW w:w="870" w:type="dxa"/>
            <w:vAlign w:val="bottom"/>
            <w:vMerge w:val="continue"/>
            <w:shd w:val="clear" w:color="auto" w:fill="000000"/>
          </w:tcPr>
          <w:p>
            <w:pPr>
              <w:spacing w:after="0"/>
              <w:rPr>
                <w:sz w:val="13"/>
                <w:szCs w:val="13"/>
                <w:color w:val="auto"/>
              </w:rPr>
            </w:pPr>
          </w:p>
        </w:tc>
        <w:tc>
          <w:tcPr>
            <w:tcW w:w="90" w:type="dxa"/>
            <w:vAlign w:val="bottom"/>
            <w:shd w:val="clear" w:color="auto" w:fill="000000"/>
          </w:tcPr>
          <w:p>
            <w:pPr>
              <w:spacing w:after="0"/>
              <w:rPr>
                <w:sz w:val="13"/>
                <w:szCs w:val="13"/>
                <w:color w:val="auto"/>
              </w:rPr>
            </w:pPr>
          </w:p>
        </w:tc>
        <w:tc>
          <w:tcPr>
            <w:tcW w:w="80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820" w:type="dxa"/>
            <w:vAlign w:val="bottom"/>
            <w:shd w:val="clear" w:color="auto" w:fill="000000"/>
          </w:tcPr>
          <w:p>
            <w:pPr>
              <w:spacing w:after="0"/>
              <w:rPr>
                <w:sz w:val="13"/>
                <w:szCs w:val="13"/>
                <w:color w:val="auto"/>
              </w:rPr>
            </w:pPr>
          </w:p>
        </w:tc>
        <w:tc>
          <w:tcPr>
            <w:tcW w:w="960" w:type="dxa"/>
            <w:vAlign w:val="bottom"/>
            <w:shd w:val="clear" w:color="auto" w:fill="000000"/>
          </w:tcPr>
          <w:p>
            <w:pPr>
              <w:spacing w:after="0"/>
              <w:rPr>
                <w:sz w:val="13"/>
                <w:szCs w:val="13"/>
                <w:color w:val="auto"/>
              </w:rPr>
            </w:pPr>
          </w:p>
        </w:tc>
        <w:tc>
          <w:tcPr>
            <w:tcW w:w="98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42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960" w:type="dxa"/>
            <w:vAlign w:val="bottom"/>
            <w:vMerge w:val="restart"/>
            <w:shd w:val="clear" w:color="auto" w:fill="000000"/>
          </w:tcPr>
          <w:p>
            <w:pPr>
              <w:jc w:val="center"/>
              <w:ind w:right="40"/>
              <w:spacing w:after="0"/>
              <w:rPr>
                <w:sz w:val="20"/>
                <w:szCs w:val="20"/>
                <w:color w:val="auto"/>
              </w:rPr>
            </w:pPr>
            <w:r>
              <w:rPr>
                <w:rFonts w:ascii="Arial" w:cs="Arial" w:eastAsia="Arial" w:hAnsi="Arial"/>
                <w:sz w:val="13"/>
                <w:szCs w:val="13"/>
                <w:b w:val="1"/>
                <w:bCs w:val="1"/>
                <w:color w:val="FFFFFF"/>
                <w:w w:val="97"/>
              </w:rPr>
              <w:t>Summary</w:t>
            </w:r>
          </w:p>
        </w:tc>
        <w:tc>
          <w:tcPr>
            <w:tcW w:w="200" w:type="dxa"/>
            <w:vAlign w:val="bottom"/>
            <w:shd w:val="clear" w:color="auto" w:fill="000000"/>
          </w:tcPr>
          <w:p>
            <w:pPr>
              <w:spacing w:after="0"/>
              <w:rPr>
                <w:sz w:val="11"/>
                <w:szCs w:val="11"/>
                <w:color w:val="auto"/>
              </w:rPr>
            </w:pPr>
          </w:p>
        </w:tc>
        <w:tc>
          <w:tcPr>
            <w:tcW w:w="82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jc w:val="center"/>
              <w:ind w:right="15"/>
              <w:spacing w:after="0" w:line="129" w:lineRule="exact"/>
              <w:rPr>
                <w:sz w:val="20"/>
                <w:szCs w:val="20"/>
                <w:color w:val="auto"/>
              </w:rPr>
            </w:pPr>
            <w:r>
              <w:rPr>
                <w:rFonts w:ascii="Arial" w:cs="Arial" w:eastAsia="Arial" w:hAnsi="Arial"/>
                <w:sz w:val="13"/>
                <w:szCs w:val="13"/>
                <w:b w:val="1"/>
                <w:bCs w:val="1"/>
                <w:color w:val="FFFFFF"/>
              </w:rPr>
              <w:t>Summary</w:t>
            </w:r>
          </w:p>
        </w:tc>
        <w:tc>
          <w:tcPr>
            <w:tcW w:w="160" w:type="dxa"/>
            <w:vAlign w:val="bottom"/>
            <w:shd w:val="clear" w:color="auto" w:fill="000000"/>
          </w:tcPr>
          <w:p>
            <w:pPr>
              <w:spacing w:after="0"/>
              <w:rPr>
                <w:sz w:val="11"/>
                <w:szCs w:val="11"/>
                <w:color w:val="auto"/>
              </w:rPr>
            </w:pPr>
          </w:p>
        </w:tc>
        <w:tc>
          <w:tcPr>
            <w:tcW w:w="870" w:type="dxa"/>
            <w:vAlign w:val="bottom"/>
            <w:vMerge w:val="continue"/>
            <w:shd w:val="clear" w:color="auto" w:fill="000000"/>
          </w:tcPr>
          <w:p>
            <w:pPr>
              <w:spacing w:after="0"/>
              <w:rPr>
                <w:sz w:val="11"/>
                <w:szCs w:val="11"/>
                <w:color w:val="auto"/>
              </w:rPr>
            </w:pPr>
          </w:p>
        </w:tc>
        <w:tc>
          <w:tcPr>
            <w:tcW w:w="90" w:type="dxa"/>
            <w:vAlign w:val="bottom"/>
            <w:shd w:val="clear" w:color="auto" w:fill="000000"/>
          </w:tcPr>
          <w:p>
            <w:pPr>
              <w:spacing w:after="0"/>
              <w:rPr>
                <w:sz w:val="11"/>
                <w:szCs w:val="11"/>
                <w:color w:val="auto"/>
              </w:rPr>
            </w:pPr>
          </w:p>
        </w:tc>
        <w:tc>
          <w:tcPr>
            <w:tcW w:w="800" w:type="dxa"/>
            <w:vAlign w:val="bottom"/>
            <w:shd w:val="clear" w:color="auto" w:fill="000000"/>
          </w:tcPr>
          <w:p>
            <w:pPr>
              <w:spacing w:after="0"/>
              <w:rPr>
                <w:sz w:val="11"/>
                <w:szCs w:val="11"/>
                <w:color w:val="auto"/>
              </w:rPr>
            </w:pPr>
          </w:p>
        </w:tc>
        <w:tc>
          <w:tcPr>
            <w:tcW w:w="80" w:type="dxa"/>
            <w:vAlign w:val="bottom"/>
            <w:shd w:val="clear" w:color="auto" w:fill="000000"/>
          </w:tcPr>
          <w:p>
            <w:pPr>
              <w:spacing w:after="0"/>
              <w:rPr>
                <w:sz w:val="11"/>
                <w:szCs w:val="11"/>
                <w:color w:val="auto"/>
              </w:rPr>
            </w:pPr>
          </w:p>
        </w:tc>
        <w:tc>
          <w:tcPr>
            <w:tcW w:w="820" w:type="dxa"/>
            <w:vAlign w:val="bottom"/>
            <w:vMerge w:val="restart"/>
            <w:shd w:val="clear" w:color="auto" w:fill="000000"/>
          </w:tcPr>
          <w:p>
            <w:pPr>
              <w:jc w:val="right"/>
              <w:ind w:right="35"/>
              <w:spacing w:after="0"/>
              <w:rPr>
                <w:sz w:val="20"/>
                <w:szCs w:val="20"/>
                <w:color w:val="auto"/>
              </w:rPr>
            </w:pPr>
            <w:r>
              <w:rPr>
                <w:rFonts w:ascii="Arial" w:cs="Arial" w:eastAsia="Arial" w:hAnsi="Arial"/>
                <w:sz w:val="13"/>
                <w:szCs w:val="13"/>
                <w:b w:val="1"/>
                <w:bCs w:val="1"/>
                <w:color w:val="FFFFFF"/>
                <w:w w:val="98"/>
              </w:rPr>
              <w:t>Peer Group</w:t>
            </w:r>
          </w:p>
        </w:tc>
        <w:tc>
          <w:tcPr>
            <w:tcW w:w="9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20" w:type="dxa"/>
            <w:vAlign w:val="bottom"/>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960" w:type="dxa"/>
            <w:vAlign w:val="bottom"/>
            <w:vMerge w:val="continue"/>
            <w:shd w:val="clear" w:color="auto" w:fill="000000"/>
          </w:tcPr>
          <w:p>
            <w:pPr>
              <w:spacing w:after="0"/>
              <w:rPr>
                <w:sz w:val="11"/>
                <w:szCs w:val="11"/>
                <w:color w:val="auto"/>
              </w:rPr>
            </w:pPr>
          </w:p>
        </w:tc>
        <w:tc>
          <w:tcPr>
            <w:tcW w:w="1020" w:type="dxa"/>
            <w:vAlign w:val="bottom"/>
            <w:gridSpan w:val="2"/>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Compensation</w:t>
            </w:r>
          </w:p>
        </w:tc>
        <w:tc>
          <w:tcPr>
            <w:tcW w:w="1040" w:type="dxa"/>
            <w:vAlign w:val="bottom"/>
            <w:gridSpan w:val="2"/>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9"/>
              </w:rPr>
              <w:t>Compensation</w:t>
            </w:r>
          </w:p>
        </w:tc>
        <w:tc>
          <w:tcPr>
            <w:tcW w:w="1030" w:type="dxa"/>
            <w:vAlign w:val="bottom"/>
            <w:gridSpan w:val="2"/>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9"/>
              </w:rPr>
              <w:t>Compensation</w:t>
            </w:r>
          </w:p>
        </w:tc>
        <w:tc>
          <w:tcPr>
            <w:tcW w:w="90" w:type="dxa"/>
            <w:vAlign w:val="bottom"/>
            <w:shd w:val="clear" w:color="auto" w:fill="000000"/>
          </w:tcPr>
          <w:p>
            <w:pPr>
              <w:spacing w:after="0"/>
              <w:rPr>
                <w:sz w:val="11"/>
                <w:szCs w:val="11"/>
                <w:color w:val="auto"/>
              </w:rPr>
            </w:pPr>
          </w:p>
        </w:tc>
        <w:tc>
          <w:tcPr>
            <w:tcW w:w="800" w:type="dxa"/>
            <w:vAlign w:val="bottom"/>
            <w:vMerge w:val="restart"/>
            <w:shd w:val="clear" w:color="auto" w:fill="000000"/>
          </w:tcPr>
          <w:p>
            <w:pPr>
              <w:jc w:val="center"/>
              <w:ind w:right="35"/>
              <w:spacing w:after="0"/>
              <w:rPr>
                <w:sz w:val="20"/>
                <w:szCs w:val="20"/>
                <w:color w:val="auto"/>
              </w:rPr>
            </w:pPr>
            <w:r>
              <w:rPr>
                <w:rFonts w:ascii="Arial" w:cs="Arial" w:eastAsia="Arial" w:hAnsi="Arial"/>
                <w:sz w:val="13"/>
                <w:szCs w:val="13"/>
                <w:b w:val="1"/>
                <w:bCs w:val="1"/>
                <w:color w:val="FFFFFF"/>
                <w:w w:val="96"/>
              </w:rPr>
              <w:t>Total</w:t>
            </w:r>
          </w:p>
        </w:tc>
        <w:tc>
          <w:tcPr>
            <w:tcW w:w="80" w:type="dxa"/>
            <w:vAlign w:val="bottom"/>
            <w:shd w:val="clear" w:color="auto" w:fill="000000"/>
          </w:tcPr>
          <w:p>
            <w:pPr>
              <w:spacing w:after="0"/>
              <w:rPr>
                <w:sz w:val="11"/>
                <w:szCs w:val="11"/>
                <w:color w:val="auto"/>
              </w:rPr>
            </w:pPr>
          </w:p>
        </w:tc>
        <w:tc>
          <w:tcPr>
            <w:tcW w:w="820" w:type="dxa"/>
            <w:vAlign w:val="bottom"/>
            <w:vMerge w:val="continue"/>
            <w:shd w:val="clear" w:color="auto" w:fill="000000"/>
          </w:tcPr>
          <w:p>
            <w:pPr>
              <w:spacing w:after="0"/>
              <w:rPr>
                <w:sz w:val="11"/>
                <w:szCs w:val="11"/>
                <w:color w:val="auto"/>
              </w:rPr>
            </w:pPr>
          </w:p>
        </w:tc>
        <w:tc>
          <w:tcPr>
            <w:tcW w:w="960" w:type="dxa"/>
            <w:vAlign w:val="bottom"/>
            <w:shd w:val="clear" w:color="auto" w:fill="000000"/>
          </w:tcPr>
          <w:p>
            <w:pPr>
              <w:spacing w:after="0"/>
              <w:rPr>
                <w:sz w:val="11"/>
                <w:szCs w:val="11"/>
                <w:color w:val="auto"/>
              </w:rPr>
            </w:pPr>
          </w:p>
        </w:tc>
        <w:tc>
          <w:tcPr>
            <w:tcW w:w="98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420" w:type="dxa"/>
            <w:vAlign w:val="bottom"/>
            <w:shd w:val="clear" w:color="auto" w:fill="000000"/>
          </w:tcPr>
          <w:p>
            <w:pPr>
              <w:spacing w:after="0"/>
              <w:rPr>
                <w:sz w:val="10"/>
                <w:szCs w:val="10"/>
                <w:color w:val="auto"/>
              </w:rPr>
            </w:pPr>
          </w:p>
        </w:tc>
        <w:tc>
          <w:tcPr>
            <w:tcW w:w="1060" w:type="dxa"/>
            <w:vAlign w:val="bottom"/>
            <w:gridSpan w:val="2"/>
            <w:shd w:val="clear" w:color="auto" w:fill="000000"/>
          </w:tcPr>
          <w:p>
            <w:pPr>
              <w:jc w:val="center"/>
              <w:spacing w:after="0" w:line="122" w:lineRule="exact"/>
              <w:rPr>
                <w:sz w:val="20"/>
                <w:szCs w:val="20"/>
                <w:color w:val="auto"/>
              </w:rPr>
            </w:pPr>
            <w:r>
              <w:rPr>
                <w:rFonts w:ascii="Arial" w:cs="Arial" w:eastAsia="Arial" w:hAnsi="Arial"/>
                <w:sz w:val="13"/>
                <w:szCs w:val="13"/>
                <w:b w:val="1"/>
                <w:bCs w:val="1"/>
                <w:color w:val="FFFFFF"/>
                <w:w w:val="99"/>
              </w:rPr>
              <w:t>Compensation</w:t>
            </w:r>
          </w:p>
        </w:tc>
        <w:tc>
          <w:tcPr>
            <w:tcW w:w="1020" w:type="dxa"/>
            <w:vAlign w:val="bottom"/>
            <w:gridSpan w:val="2"/>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960" w:type="dxa"/>
            <w:vAlign w:val="bottom"/>
            <w:shd w:val="clear" w:color="auto" w:fill="000000"/>
          </w:tcPr>
          <w:p>
            <w:pPr>
              <w:jc w:val="center"/>
              <w:ind w:right="15"/>
              <w:spacing w:after="0" w:line="122" w:lineRule="exact"/>
              <w:rPr>
                <w:sz w:val="20"/>
                <w:szCs w:val="20"/>
                <w:color w:val="auto"/>
              </w:rPr>
            </w:pPr>
            <w:r>
              <w:rPr>
                <w:rFonts w:ascii="Arial" w:cs="Arial" w:eastAsia="Arial" w:hAnsi="Arial"/>
                <w:sz w:val="13"/>
                <w:szCs w:val="13"/>
                <w:b w:val="1"/>
                <w:bCs w:val="1"/>
                <w:color w:val="FFFFFF"/>
                <w:w w:val="98"/>
              </w:rPr>
              <w:t>Table Total for</w:t>
            </w:r>
          </w:p>
        </w:tc>
        <w:tc>
          <w:tcPr>
            <w:tcW w:w="1030" w:type="dxa"/>
            <w:vAlign w:val="bottom"/>
            <w:gridSpan w:val="2"/>
            <w:shd w:val="clear" w:color="auto" w:fill="000000"/>
          </w:tcPr>
          <w:p>
            <w:pPr>
              <w:jc w:val="center"/>
              <w:spacing w:after="0" w:line="122" w:lineRule="exact"/>
              <w:rPr>
                <w:sz w:val="20"/>
                <w:szCs w:val="20"/>
                <w:color w:val="auto"/>
              </w:rPr>
            </w:pPr>
            <w:r>
              <w:rPr>
                <w:rFonts w:ascii="Arial" w:cs="Arial" w:eastAsia="Arial" w:hAnsi="Arial"/>
                <w:sz w:val="13"/>
                <w:szCs w:val="13"/>
                <w:b w:val="1"/>
                <w:bCs w:val="1"/>
                <w:color w:val="FFFFFF"/>
                <w:w w:val="98"/>
              </w:rPr>
              <w:t>Actually Paid to</w:t>
            </w:r>
          </w:p>
        </w:tc>
        <w:tc>
          <w:tcPr>
            <w:tcW w:w="90" w:type="dxa"/>
            <w:vAlign w:val="bottom"/>
            <w:shd w:val="clear" w:color="auto" w:fill="000000"/>
          </w:tcPr>
          <w:p>
            <w:pPr>
              <w:spacing w:after="0"/>
              <w:rPr>
                <w:sz w:val="10"/>
                <w:szCs w:val="10"/>
                <w:color w:val="auto"/>
              </w:rPr>
            </w:pPr>
          </w:p>
        </w:tc>
        <w:tc>
          <w:tcPr>
            <w:tcW w:w="800" w:type="dxa"/>
            <w:vAlign w:val="bottom"/>
            <w:vMerge w:val="continue"/>
            <w:shd w:val="clear" w:color="auto" w:fill="000000"/>
          </w:tcPr>
          <w:p>
            <w:pPr>
              <w:spacing w:after="0"/>
              <w:rPr>
                <w:sz w:val="10"/>
                <w:szCs w:val="10"/>
                <w:color w:val="auto"/>
              </w:rPr>
            </w:pPr>
          </w:p>
        </w:tc>
        <w:tc>
          <w:tcPr>
            <w:tcW w:w="80" w:type="dxa"/>
            <w:vAlign w:val="bottom"/>
            <w:shd w:val="clear" w:color="auto" w:fill="000000"/>
          </w:tcPr>
          <w:p>
            <w:pPr>
              <w:spacing w:after="0"/>
              <w:rPr>
                <w:sz w:val="10"/>
                <w:szCs w:val="10"/>
                <w:color w:val="auto"/>
              </w:rPr>
            </w:pPr>
          </w:p>
        </w:tc>
        <w:tc>
          <w:tcPr>
            <w:tcW w:w="820" w:type="dxa"/>
            <w:vAlign w:val="bottom"/>
            <w:shd w:val="clear" w:color="auto" w:fill="000000"/>
          </w:tcPr>
          <w:p>
            <w:pPr>
              <w:jc w:val="center"/>
              <w:ind w:right="15"/>
              <w:spacing w:after="0" w:line="122" w:lineRule="exact"/>
              <w:rPr>
                <w:sz w:val="20"/>
                <w:szCs w:val="20"/>
                <w:color w:val="auto"/>
              </w:rPr>
            </w:pPr>
            <w:r>
              <w:rPr>
                <w:rFonts w:ascii="Arial" w:cs="Arial" w:eastAsia="Arial" w:hAnsi="Arial"/>
                <w:sz w:val="13"/>
                <w:szCs w:val="13"/>
                <w:b w:val="1"/>
                <w:bCs w:val="1"/>
                <w:color w:val="FFFFFF"/>
                <w:w w:val="96"/>
              </w:rPr>
              <w:t>Total</w:t>
            </w:r>
          </w:p>
        </w:tc>
        <w:tc>
          <w:tcPr>
            <w:tcW w:w="960" w:type="dxa"/>
            <w:vAlign w:val="bottom"/>
            <w:shd w:val="clear" w:color="auto" w:fill="000000"/>
          </w:tcPr>
          <w:p>
            <w:pPr>
              <w:spacing w:after="0"/>
              <w:rPr>
                <w:sz w:val="10"/>
                <w:szCs w:val="10"/>
                <w:color w:val="auto"/>
              </w:rPr>
            </w:pPr>
          </w:p>
        </w:tc>
        <w:tc>
          <w:tcPr>
            <w:tcW w:w="980" w:type="dxa"/>
            <w:vAlign w:val="bottom"/>
            <w:vMerge w:val="restart"/>
            <w:shd w:val="clear" w:color="auto" w:fill="000000"/>
          </w:tcPr>
          <w:p>
            <w:pPr>
              <w:jc w:val="right"/>
              <w:ind w:right="135"/>
              <w:spacing w:after="0"/>
              <w:rPr>
                <w:sz w:val="20"/>
                <w:szCs w:val="20"/>
                <w:color w:val="auto"/>
              </w:rPr>
            </w:pPr>
            <w:r>
              <w:rPr>
                <w:rFonts w:ascii="Arial" w:cs="Arial" w:eastAsia="Arial" w:hAnsi="Arial"/>
                <w:sz w:val="13"/>
                <w:szCs w:val="13"/>
                <w:b w:val="1"/>
                <w:bCs w:val="1"/>
                <w:color w:val="FFFFFF"/>
              </w:rPr>
              <w:t>Adjusted</w:t>
            </w:r>
          </w:p>
        </w:tc>
        <w:tc>
          <w:tcPr>
            <w:tcW w:w="0" w:type="dxa"/>
            <w:vAlign w:val="bottom"/>
          </w:tcPr>
          <w:p>
            <w:pPr>
              <w:spacing w:after="0"/>
              <w:rPr>
                <w:sz w:val="1"/>
                <w:szCs w:val="1"/>
                <w:color w:val="auto"/>
              </w:rPr>
            </w:pPr>
          </w:p>
        </w:tc>
      </w:tr>
      <w:tr>
        <w:trPr>
          <w:trHeight w:val="134"/>
        </w:trPr>
        <w:tc>
          <w:tcPr>
            <w:tcW w:w="420" w:type="dxa"/>
            <w:vAlign w:val="bottom"/>
            <w:vMerge w:val="restart"/>
            <w:shd w:val="clear" w:color="auto" w:fill="000000"/>
          </w:tcPr>
          <w:p>
            <w:pPr>
              <w:jc w:val="right"/>
              <w:spacing w:after="0"/>
              <w:rPr>
                <w:sz w:val="20"/>
                <w:szCs w:val="20"/>
                <w:color w:val="auto"/>
              </w:rPr>
            </w:pPr>
            <w:r>
              <w:rPr>
                <w:rFonts w:ascii="Arial" w:cs="Arial" w:eastAsia="Arial" w:hAnsi="Arial"/>
                <w:sz w:val="13"/>
                <w:szCs w:val="13"/>
                <w:b w:val="1"/>
                <w:bCs w:val="1"/>
                <w:color w:val="FFFFFF"/>
              </w:rPr>
              <w:t>Year</w:t>
            </w:r>
          </w:p>
        </w:tc>
        <w:tc>
          <w:tcPr>
            <w:tcW w:w="100" w:type="dxa"/>
            <w:vAlign w:val="bottom"/>
            <w:shd w:val="clear" w:color="auto" w:fill="000000"/>
          </w:tcPr>
          <w:p>
            <w:pPr>
              <w:spacing w:after="0"/>
              <w:rPr>
                <w:sz w:val="11"/>
                <w:szCs w:val="11"/>
                <w:color w:val="auto"/>
              </w:rPr>
            </w:pPr>
          </w:p>
        </w:tc>
        <w:tc>
          <w:tcPr>
            <w:tcW w:w="960" w:type="dxa"/>
            <w:vAlign w:val="bottom"/>
            <w:shd w:val="clear" w:color="auto" w:fill="000000"/>
          </w:tcPr>
          <w:p>
            <w:pPr>
              <w:jc w:val="right"/>
              <w:ind w:right="20"/>
              <w:spacing w:after="0" w:line="134" w:lineRule="exact"/>
              <w:rPr>
                <w:sz w:val="20"/>
                <w:szCs w:val="20"/>
                <w:color w:val="auto"/>
              </w:rPr>
            </w:pPr>
            <w:r>
              <w:rPr>
                <w:rFonts w:ascii="Arial" w:cs="Arial" w:eastAsia="Arial" w:hAnsi="Arial"/>
                <w:sz w:val="13"/>
                <w:szCs w:val="13"/>
                <w:b w:val="1"/>
                <w:bCs w:val="1"/>
                <w:color w:val="FFFFFF"/>
                <w:w w:val="95"/>
              </w:rPr>
              <w:t>Table Total for</w:t>
            </w:r>
          </w:p>
        </w:tc>
        <w:tc>
          <w:tcPr>
            <w:tcW w:w="1020" w:type="dxa"/>
            <w:vAlign w:val="bottom"/>
            <w:gridSpan w:val="2"/>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rPr>
              <w:t>Actually Paid to</w:t>
            </w:r>
          </w:p>
        </w:tc>
        <w:tc>
          <w:tcPr>
            <w:tcW w:w="80" w:type="dxa"/>
            <w:vAlign w:val="bottom"/>
            <w:shd w:val="clear" w:color="auto" w:fill="000000"/>
          </w:tcPr>
          <w:p>
            <w:pPr>
              <w:spacing w:after="0"/>
              <w:rPr>
                <w:sz w:val="11"/>
                <w:szCs w:val="11"/>
                <w:color w:val="auto"/>
              </w:rPr>
            </w:pPr>
          </w:p>
        </w:tc>
        <w:tc>
          <w:tcPr>
            <w:tcW w:w="960"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rPr>
              <w:t>Non-CEO</w:t>
            </w:r>
          </w:p>
        </w:tc>
        <w:tc>
          <w:tcPr>
            <w:tcW w:w="160" w:type="dxa"/>
            <w:vAlign w:val="bottom"/>
            <w:shd w:val="clear" w:color="auto" w:fill="000000"/>
          </w:tcPr>
          <w:p>
            <w:pPr>
              <w:spacing w:after="0"/>
              <w:rPr>
                <w:sz w:val="11"/>
                <w:szCs w:val="11"/>
                <w:color w:val="auto"/>
              </w:rPr>
            </w:pPr>
          </w:p>
        </w:tc>
        <w:tc>
          <w:tcPr>
            <w:tcW w:w="870" w:type="dxa"/>
            <w:vAlign w:val="bottom"/>
            <w:shd w:val="clear" w:color="auto" w:fill="000000"/>
          </w:tcPr>
          <w:p>
            <w:pPr>
              <w:jc w:val="center"/>
              <w:ind w:right="85"/>
              <w:spacing w:after="0" w:line="134" w:lineRule="exact"/>
              <w:rPr>
                <w:sz w:val="20"/>
                <w:szCs w:val="20"/>
                <w:color w:val="auto"/>
              </w:rPr>
            </w:pPr>
            <w:r>
              <w:rPr>
                <w:rFonts w:ascii="Arial" w:cs="Arial" w:eastAsia="Arial" w:hAnsi="Arial"/>
                <w:sz w:val="13"/>
                <w:szCs w:val="13"/>
                <w:b w:val="1"/>
                <w:bCs w:val="1"/>
                <w:color w:val="FFFFFF"/>
                <w:w w:val="96"/>
              </w:rPr>
              <w:t>Non-CEO</w:t>
            </w:r>
          </w:p>
        </w:tc>
        <w:tc>
          <w:tcPr>
            <w:tcW w:w="890" w:type="dxa"/>
            <w:vAlign w:val="bottom"/>
            <w:gridSpan w:val="2"/>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rPr>
              <w:t>Shareholder</w:t>
            </w:r>
          </w:p>
        </w:tc>
        <w:tc>
          <w:tcPr>
            <w:tcW w:w="900" w:type="dxa"/>
            <w:vAlign w:val="bottom"/>
            <w:gridSpan w:val="2"/>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7"/>
              </w:rPr>
              <w:t>Shareholder</w:t>
            </w:r>
          </w:p>
        </w:tc>
        <w:tc>
          <w:tcPr>
            <w:tcW w:w="960" w:type="dxa"/>
            <w:vAlign w:val="bottom"/>
            <w:vMerge w:val="restart"/>
            <w:shd w:val="clear" w:color="auto" w:fill="000000"/>
          </w:tcPr>
          <w:p>
            <w:pPr>
              <w:jc w:val="right"/>
              <w:ind w:right="55"/>
              <w:spacing w:after="0"/>
              <w:rPr>
                <w:sz w:val="20"/>
                <w:szCs w:val="20"/>
                <w:color w:val="auto"/>
              </w:rPr>
            </w:pPr>
            <w:r>
              <w:rPr>
                <w:rFonts w:ascii="Arial" w:cs="Arial" w:eastAsia="Arial" w:hAnsi="Arial"/>
                <w:sz w:val="13"/>
                <w:szCs w:val="13"/>
                <w:b w:val="1"/>
                <w:bCs w:val="1"/>
                <w:color w:val="FFFFFF"/>
              </w:rPr>
              <w:t>Net Income</w:t>
            </w:r>
          </w:p>
        </w:tc>
        <w:tc>
          <w:tcPr>
            <w:tcW w:w="98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420" w:type="dxa"/>
            <w:vAlign w:val="bottom"/>
            <w:tcBorders>
              <w:bottom w:val="single" w:sz="8" w:color="auto"/>
            </w:tcBorders>
            <w:vMerge w:val="continue"/>
            <w:shd w:val="clear" w:color="auto" w:fill="000000"/>
          </w:tcPr>
          <w:p>
            <w:pPr>
              <w:spacing w:after="0"/>
              <w:rPr>
                <w:sz w:val="14"/>
                <w:szCs w:val="14"/>
                <w:color w:val="auto"/>
              </w:rPr>
            </w:pPr>
          </w:p>
        </w:tc>
        <w:tc>
          <w:tcPr>
            <w:tcW w:w="100" w:type="dxa"/>
            <w:vAlign w:val="bottom"/>
            <w:tcBorders>
              <w:bottom w:val="single" w:sz="8" w:color="auto"/>
            </w:tcBorders>
            <w:shd w:val="clear" w:color="auto" w:fill="000000"/>
          </w:tcPr>
          <w:p>
            <w:pPr>
              <w:spacing w:after="0"/>
              <w:rPr>
                <w:sz w:val="14"/>
                <w:szCs w:val="14"/>
                <w:color w:val="auto"/>
              </w:rPr>
            </w:pPr>
          </w:p>
        </w:tc>
        <w:tc>
          <w:tcPr>
            <w:tcW w:w="960" w:type="dxa"/>
            <w:vAlign w:val="bottom"/>
            <w:tcBorders>
              <w:bottom w:val="single" w:sz="8" w:color="auto"/>
            </w:tcBorders>
            <w:shd w:val="clear" w:color="auto" w:fill="000000"/>
          </w:tcPr>
          <w:p>
            <w:pPr>
              <w:jc w:val="center"/>
              <w:ind w:right="40"/>
              <w:spacing w:after="0" w:line="171" w:lineRule="exact"/>
              <w:rPr>
                <w:sz w:val="20"/>
                <w:szCs w:val="20"/>
                <w:color w:val="auto"/>
              </w:rPr>
            </w:pPr>
            <w:r>
              <w:rPr>
                <w:rFonts w:ascii="Arial" w:cs="Arial" w:eastAsia="Arial" w:hAnsi="Arial"/>
                <w:sz w:val="19"/>
                <w:szCs w:val="19"/>
                <w:b w:val="1"/>
                <w:bCs w:val="1"/>
                <w:color w:val="FFFFFF"/>
                <w:vertAlign w:val="subscript"/>
              </w:rPr>
              <w:t>CEO</w:t>
            </w:r>
            <w:r>
              <w:rPr>
                <w:rFonts w:ascii="Arial" w:cs="Arial" w:eastAsia="Arial" w:hAnsi="Arial"/>
                <w:sz w:val="7"/>
                <w:szCs w:val="7"/>
                <w:b w:val="1"/>
                <w:bCs w:val="1"/>
                <w:color w:val="FFFFFF"/>
              </w:rPr>
              <w:t>(1)</w:t>
            </w:r>
          </w:p>
        </w:tc>
        <w:tc>
          <w:tcPr>
            <w:tcW w:w="20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shd w:val="clear" w:color="auto" w:fill="000000"/>
          </w:tcPr>
          <w:p>
            <w:pPr>
              <w:jc w:val="center"/>
              <w:ind w:right="142"/>
              <w:spacing w:after="0" w:line="171" w:lineRule="exact"/>
              <w:rPr>
                <w:sz w:val="20"/>
                <w:szCs w:val="20"/>
                <w:color w:val="auto"/>
              </w:rPr>
            </w:pPr>
            <w:r>
              <w:rPr>
                <w:rFonts w:ascii="Arial" w:cs="Arial" w:eastAsia="Arial" w:hAnsi="Arial"/>
                <w:sz w:val="19"/>
                <w:szCs w:val="19"/>
                <w:b w:val="1"/>
                <w:bCs w:val="1"/>
                <w:color w:val="FFFFFF"/>
                <w:vertAlign w:val="subscript"/>
              </w:rPr>
              <w:t>CEO</w:t>
            </w:r>
            <w:r>
              <w:rPr>
                <w:rFonts w:ascii="Arial" w:cs="Arial" w:eastAsia="Arial" w:hAnsi="Arial"/>
                <w:sz w:val="7"/>
                <w:szCs w:val="7"/>
                <w:b w:val="1"/>
                <w:bCs w:val="1"/>
                <w:color w:val="FFFFFF"/>
              </w:rPr>
              <w:t>(2)</w:t>
            </w:r>
          </w:p>
        </w:tc>
        <w:tc>
          <w:tcPr>
            <w:tcW w:w="80" w:type="dxa"/>
            <w:vAlign w:val="bottom"/>
            <w:tcBorders>
              <w:bottom w:val="single" w:sz="8" w:color="auto"/>
            </w:tcBorders>
            <w:shd w:val="clear" w:color="auto" w:fill="000000"/>
          </w:tcPr>
          <w:p>
            <w:pPr>
              <w:spacing w:after="0"/>
              <w:rPr>
                <w:sz w:val="14"/>
                <w:szCs w:val="14"/>
                <w:color w:val="auto"/>
              </w:rPr>
            </w:pPr>
          </w:p>
        </w:tc>
        <w:tc>
          <w:tcPr>
            <w:tcW w:w="960" w:type="dxa"/>
            <w:vAlign w:val="bottom"/>
            <w:tcBorders>
              <w:bottom w:val="single" w:sz="8" w:color="auto"/>
            </w:tcBorders>
            <w:shd w:val="clear" w:color="auto" w:fill="000000"/>
          </w:tcPr>
          <w:p>
            <w:pPr>
              <w:jc w:val="center"/>
              <w:spacing w:after="0" w:line="171" w:lineRule="exact"/>
              <w:rPr>
                <w:sz w:val="20"/>
                <w:szCs w:val="20"/>
                <w:color w:val="auto"/>
              </w:rPr>
            </w:pPr>
            <w:r>
              <w:rPr>
                <w:rFonts w:ascii="Arial" w:cs="Arial" w:eastAsia="Arial" w:hAnsi="Arial"/>
                <w:sz w:val="13"/>
                <w:szCs w:val="13"/>
                <w:b w:val="1"/>
                <w:bCs w:val="1"/>
                <w:color w:val="FFFFFF"/>
                <w:w w:val="94"/>
              </w:rPr>
              <w:t>NEOs</w:t>
            </w:r>
            <w:r>
              <w:rPr>
                <w:rFonts w:ascii="Arial" w:cs="Arial" w:eastAsia="Arial" w:hAnsi="Arial"/>
                <w:sz w:val="16"/>
                <w:szCs w:val="16"/>
                <w:b w:val="1"/>
                <w:bCs w:val="1"/>
                <w:color w:val="FFFFFF"/>
                <w:w w:val="94"/>
                <w:vertAlign w:val="superscript"/>
              </w:rPr>
              <w:t>(3)</w:t>
            </w:r>
          </w:p>
        </w:tc>
        <w:tc>
          <w:tcPr>
            <w:tcW w:w="160" w:type="dxa"/>
            <w:vAlign w:val="bottom"/>
            <w:tcBorders>
              <w:bottom w:val="single" w:sz="8" w:color="auto"/>
            </w:tcBorders>
            <w:shd w:val="clear" w:color="auto" w:fill="000000"/>
          </w:tcPr>
          <w:p>
            <w:pPr>
              <w:spacing w:after="0"/>
              <w:rPr>
                <w:sz w:val="14"/>
                <w:szCs w:val="14"/>
                <w:color w:val="auto"/>
              </w:rPr>
            </w:pPr>
          </w:p>
        </w:tc>
        <w:tc>
          <w:tcPr>
            <w:tcW w:w="870" w:type="dxa"/>
            <w:vAlign w:val="bottom"/>
            <w:tcBorders>
              <w:bottom w:val="single" w:sz="8" w:color="auto"/>
            </w:tcBorders>
            <w:shd w:val="clear" w:color="auto" w:fill="000000"/>
          </w:tcPr>
          <w:p>
            <w:pPr>
              <w:jc w:val="center"/>
              <w:ind w:right="85"/>
              <w:spacing w:after="0" w:line="171" w:lineRule="exact"/>
              <w:rPr>
                <w:sz w:val="20"/>
                <w:szCs w:val="20"/>
                <w:color w:val="auto"/>
              </w:rPr>
            </w:pPr>
            <w:r>
              <w:rPr>
                <w:rFonts w:ascii="Arial" w:cs="Arial" w:eastAsia="Arial" w:hAnsi="Arial"/>
                <w:sz w:val="13"/>
                <w:szCs w:val="13"/>
                <w:b w:val="1"/>
                <w:bCs w:val="1"/>
                <w:color w:val="FFFFFF"/>
                <w:w w:val="90"/>
              </w:rPr>
              <w:t>NEOs</w:t>
            </w:r>
            <w:r>
              <w:rPr>
                <w:rFonts w:ascii="Arial" w:cs="Arial" w:eastAsia="Arial" w:hAnsi="Arial"/>
                <w:sz w:val="16"/>
                <w:szCs w:val="16"/>
                <w:b w:val="1"/>
                <w:bCs w:val="1"/>
                <w:color w:val="FFFFFF"/>
                <w:w w:val="90"/>
                <w:vertAlign w:val="superscript"/>
              </w:rPr>
              <w:t>(4)</w:t>
            </w:r>
          </w:p>
        </w:tc>
        <w:tc>
          <w:tcPr>
            <w:tcW w:w="90" w:type="dxa"/>
            <w:vAlign w:val="bottom"/>
            <w:tcBorders>
              <w:bottom w:val="single" w:sz="8" w:color="auto"/>
            </w:tcBorders>
            <w:shd w:val="clear" w:color="auto" w:fill="000000"/>
          </w:tcPr>
          <w:p>
            <w:pPr>
              <w:spacing w:after="0"/>
              <w:rPr>
                <w:sz w:val="14"/>
                <w:szCs w:val="14"/>
                <w:color w:val="auto"/>
              </w:rPr>
            </w:pPr>
          </w:p>
        </w:tc>
        <w:tc>
          <w:tcPr>
            <w:tcW w:w="800" w:type="dxa"/>
            <w:vAlign w:val="bottom"/>
            <w:tcBorders>
              <w:bottom w:val="single" w:sz="8" w:color="auto"/>
            </w:tcBorders>
            <w:shd w:val="clear" w:color="auto" w:fill="000000"/>
          </w:tcPr>
          <w:p>
            <w:pPr>
              <w:jc w:val="center"/>
              <w:ind w:right="15"/>
              <w:spacing w:after="0" w:line="171" w:lineRule="exact"/>
              <w:rPr>
                <w:sz w:val="20"/>
                <w:szCs w:val="20"/>
                <w:color w:val="auto"/>
              </w:rPr>
            </w:pPr>
            <w:r>
              <w:rPr>
                <w:rFonts w:ascii="Arial" w:cs="Arial" w:eastAsia="Arial" w:hAnsi="Arial"/>
                <w:sz w:val="13"/>
                <w:szCs w:val="13"/>
                <w:b w:val="1"/>
                <w:bCs w:val="1"/>
                <w:color w:val="FFFFFF"/>
                <w:w w:val="94"/>
              </w:rPr>
              <w:t>Return</w:t>
            </w:r>
            <w:r>
              <w:rPr>
                <w:rFonts w:ascii="Arial" w:cs="Arial" w:eastAsia="Arial" w:hAnsi="Arial"/>
                <w:sz w:val="16"/>
                <w:szCs w:val="16"/>
                <w:b w:val="1"/>
                <w:bCs w:val="1"/>
                <w:color w:val="FFFFFF"/>
                <w:w w:val="94"/>
                <w:vertAlign w:val="superscript"/>
              </w:rPr>
              <w:t>(5)</w:t>
            </w:r>
          </w:p>
        </w:tc>
        <w:tc>
          <w:tcPr>
            <w:tcW w:w="80" w:type="dxa"/>
            <w:vAlign w:val="bottom"/>
            <w:tcBorders>
              <w:bottom w:val="single" w:sz="8" w:color="auto"/>
            </w:tcBorders>
            <w:shd w:val="clear" w:color="auto" w:fill="000000"/>
          </w:tcPr>
          <w:p>
            <w:pPr>
              <w:spacing w:after="0"/>
              <w:rPr>
                <w:sz w:val="14"/>
                <w:szCs w:val="14"/>
                <w:color w:val="auto"/>
              </w:rPr>
            </w:pPr>
          </w:p>
        </w:tc>
        <w:tc>
          <w:tcPr>
            <w:tcW w:w="820" w:type="dxa"/>
            <w:vAlign w:val="bottom"/>
            <w:tcBorders>
              <w:bottom w:val="single" w:sz="8" w:color="auto"/>
            </w:tcBorders>
            <w:shd w:val="clear" w:color="auto" w:fill="000000"/>
          </w:tcPr>
          <w:p>
            <w:pPr>
              <w:jc w:val="center"/>
              <w:ind w:right="15"/>
              <w:spacing w:after="0"/>
              <w:rPr>
                <w:sz w:val="20"/>
                <w:szCs w:val="20"/>
                <w:color w:val="auto"/>
              </w:rPr>
            </w:pPr>
            <w:r>
              <w:rPr>
                <w:rFonts w:ascii="Arial" w:cs="Arial" w:eastAsia="Arial" w:hAnsi="Arial"/>
                <w:sz w:val="13"/>
                <w:szCs w:val="13"/>
                <w:b w:val="1"/>
                <w:bCs w:val="1"/>
                <w:color w:val="FFFFFF"/>
              </w:rPr>
              <w:t>Return</w:t>
            </w:r>
            <w:r>
              <w:rPr>
                <w:rFonts w:ascii="Arial" w:cs="Arial" w:eastAsia="Arial" w:hAnsi="Arial"/>
                <w:sz w:val="8"/>
                <w:szCs w:val="8"/>
                <w:b w:val="1"/>
                <w:bCs w:val="1"/>
                <w:color w:val="FFFFFF"/>
              </w:rPr>
              <w:t>(6)</w:t>
            </w:r>
          </w:p>
        </w:tc>
        <w:tc>
          <w:tcPr>
            <w:tcW w:w="960" w:type="dxa"/>
            <w:vAlign w:val="bottom"/>
            <w:tcBorders>
              <w:bottom w:val="single" w:sz="8" w:color="auto"/>
            </w:tcBorders>
            <w:vMerge w:val="continue"/>
            <w:shd w:val="clear" w:color="auto" w:fill="000000"/>
          </w:tcPr>
          <w:p>
            <w:pPr>
              <w:spacing w:after="0"/>
              <w:rPr>
                <w:sz w:val="14"/>
                <w:szCs w:val="14"/>
                <w:color w:val="auto"/>
              </w:rPr>
            </w:pPr>
          </w:p>
        </w:tc>
        <w:tc>
          <w:tcPr>
            <w:tcW w:w="980" w:type="dxa"/>
            <w:vAlign w:val="bottom"/>
            <w:tcBorders>
              <w:bottom w:val="single" w:sz="8" w:color="auto"/>
            </w:tcBorders>
            <w:shd w:val="clear" w:color="auto" w:fill="000000"/>
          </w:tcPr>
          <w:p>
            <w:pPr>
              <w:jc w:val="right"/>
              <w:ind w:right="135"/>
              <w:spacing w:after="0" w:line="171" w:lineRule="exact"/>
              <w:rPr>
                <w:sz w:val="20"/>
                <w:szCs w:val="20"/>
                <w:color w:val="auto"/>
              </w:rPr>
            </w:pPr>
            <w:r>
              <w:rPr>
                <w:rFonts w:ascii="Arial" w:cs="Arial" w:eastAsia="Arial" w:hAnsi="Arial"/>
                <w:sz w:val="13"/>
                <w:szCs w:val="13"/>
                <w:b w:val="1"/>
                <w:bCs w:val="1"/>
                <w:color w:val="FFFFFF"/>
              </w:rPr>
              <w:t>EBITDA</w:t>
            </w:r>
            <w:r>
              <w:rPr>
                <w:rFonts w:ascii="Arial" w:cs="Arial" w:eastAsia="Arial" w:hAnsi="Arial"/>
                <w:sz w:val="16"/>
                <w:szCs w:val="16"/>
                <w:b w:val="1"/>
                <w:bCs w:val="1"/>
                <w:color w:val="FFFFFF"/>
                <w:vertAlign w:val="superscript"/>
              </w:rPr>
              <w:t>(7)</w:t>
            </w:r>
          </w:p>
        </w:tc>
        <w:tc>
          <w:tcPr>
            <w:tcW w:w="0" w:type="dxa"/>
            <w:vAlign w:val="bottom"/>
          </w:tcPr>
          <w:p>
            <w:pPr>
              <w:spacing w:after="0"/>
              <w:rPr>
                <w:sz w:val="1"/>
                <w:szCs w:val="1"/>
                <w:color w:val="auto"/>
              </w:rPr>
            </w:pPr>
          </w:p>
        </w:tc>
      </w:tr>
      <w:tr>
        <w:trPr>
          <w:trHeight w:val="193"/>
        </w:trPr>
        <w:tc>
          <w:tcPr>
            <w:tcW w:w="420" w:type="dxa"/>
            <w:vAlign w:val="bottom"/>
          </w:tcPr>
          <w:p>
            <w:pPr>
              <w:jc w:val="right"/>
              <w:spacing w:after="0"/>
              <w:rPr>
                <w:sz w:val="20"/>
                <w:szCs w:val="20"/>
                <w:color w:val="auto"/>
              </w:rPr>
            </w:pPr>
            <w:r>
              <w:rPr>
                <w:rFonts w:ascii="Arial" w:cs="Arial" w:eastAsia="Arial" w:hAnsi="Arial"/>
                <w:sz w:val="13"/>
                <w:szCs w:val="13"/>
                <w:color w:val="auto"/>
              </w:rPr>
              <w:t>2022</w:t>
            </w: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40"/>
              <w:spacing w:after="0"/>
              <w:rPr>
                <w:sz w:val="20"/>
                <w:szCs w:val="20"/>
                <w:color w:val="auto"/>
              </w:rPr>
            </w:pPr>
            <w:r>
              <w:rPr>
                <w:rFonts w:ascii="Arial" w:cs="Arial" w:eastAsia="Arial" w:hAnsi="Arial"/>
                <w:sz w:val="13"/>
                <w:szCs w:val="13"/>
                <w:color w:val="auto"/>
              </w:rPr>
              <w:t>5,716,692</w:t>
            </w:r>
          </w:p>
        </w:tc>
        <w:tc>
          <w:tcPr>
            <w:tcW w:w="200" w:type="dxa"/>
            <w:vAlign w:val="bottom"/>
          </w:tcPr>
          <w:p>
            <w:pPr>
              <w:jc w:val="right"/>
              <w:ind w:right="55"/>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42"/>
              <w:spacing w:after="0"/>
              <w:rPr>
                <w:sz w:val="20"/>
                <w:szCs w:val="20"/>
                <w:color w:val="auto"/>
              </w:rPr>
            </w:pPr>
            <w:r>
              <w:rPr>
                <w:rFonts w:ascii="Arial" w:cs="Arial" w:eastAsia="Arial" w:hAnsi="Arial"/>
                <w:sz w:val="13"/>
                <w:szCs w:val="13"/>
                <w:color w:val="auto"/>
              </w:rPr>
              <w:t>8,897,926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ind w:right="15"/>
              <w:spacing w:after="0"/>
              <w:rPr>
                <w:sz w:val="20"/>
                <w:szCs w:val="20"/>
                <w:color w:val="auto"/>
              </w:rPr>
            </w:pPr>
            <w:r>
              <w:rPr>
                <w:rFonts w:ascii="Arial" w:cs="Arial" w:eastAsia="Arial" w:hAnsi="Arial"/>
                <w:sz w:val="13"/>
                <w:szCs w:val="13"/>
                <w:color w:val="auto"/>
              </w:rPr>
              <w:t>1,492,560</w:t>
            </w:r>
          </w:p>
        </w:tc>
        <w:tc>
          <w:tcPr>
            <w:tcW w:w="160" w:type="dxa"/>
            <w:vAlign w:val="bottom"/>
          </w:tcPr>
          <w:p>
            <w:pPr>
              <w:jc w:val="right"/>
              <w:ind w:right="15"/>
              <w:spacing w:after="0"/>
              <w:rPr>
                <w:sz w:val="20"/>
                <w:szCs w:val="20"/>
                <w:color w:val="auto"/>
              </w:rPr>
            </w:pPr>
            <w:r>
              <w:rPr>
                <w:rFonts w:ascii="Arial" w:cs="Arial" w:eastAsia="Arial" w:hAnsi="Arial"/>
                <w:sz w:val="13"/>
                <w:szCs w:val="13"/>
                <w:color w:val="auto"/>
                <w:w w:val="82"/>
              </w:rPr>
              <w:t>$</w:t>
            </w:r>
          </w:p>
        </w:tc>
        <w:tc>
          <w:tcPr>
            <w:tcW w:w="870" w:type="dxa"/>
            <w:vAlign w:val="bottom"/>
          </w:tcPr>
          <w:p>
            <w:pPr>
              <w:jc w:val="right"/>
              <w:ind w:right="25"/>
              <w:spacing w:after="0"/>
              <w:rPr>
                <w:sz w:val="20"/>
                <w:szCs w:val="20"/>
                <w:color w:val="auto"/>
              </w:rPr>
            </w:pPr>
            <w:r>
              <w:rPr>
                <w:rFonts w:ascii="Arial" w:cs="Arial" w:eastAsia="Arial" w:hAnsi="Arial"/>
                <w:sz w:val="13"/>
                <w:szCs w:val="13"/>
                <w:color w:val="auto"/>
              </w:rPr>
              <w:t>1,346,116</w:t>
            </w:r>
          </w:p>
        </w:tc>
        <w:tc>
          <w:tcPr>
            <w:tcW w:w="9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97.85</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104.16</w:t>
            </w:r>
          </w:p>
        </w:tc>
        <w:tc>
          <w:tcPr>
            <w:tcW w:w="960" w:type="dxa"/>
            <w:vAlign w:val="bottom"/>
          </w:tcPr>
          <w:p>
            <w:pPr>
              <w:jc w:val="right"/>
              <w:spacing w:after="0"/>
              <w:rPr>
                <w:sz w:val="20"/>
                <w:szCs w:val="20"/>
                <w:color w:val="auto"/>
              </w:rPr>
            </w:pPr>
            <w:r>
              <w:rPr>
                <w:rFonts w:ascii="Arial" w:cs="Arial" w:eastAsia="Arial" w:hAnsi="Arial"/>
                <w:sz w:val="13"/>
                <w:szCs w:val="13"/>
                <w:color w:val="auto"/>
              </w:rPr>
              <w:t>$  238,620,000</w:t>
            </w:r>
          </w:p>
        </w:tc>
        <w:tc>
          <w:tcPr>
            <w:tcW w:w="980" w:type="dxa"/>
            <w:vAlign w:val="bottom"/>
          </w:tcPr>
          <w:p>
            <w:pPr>
              <w:jc w:val="right"/>
              <w:ind w:right="15"/>
              <w:spacing w:after="0"/>
              <w:rPr>
                <w:sz w:val="20"/>
                <w:szCs w:val="20"/>
                <w:color w:val="auto"/>
              </w:rPr>
            </w:pPr>
            <w:r>
              <w:rPr>
                <w:rFonts w:ascii="Arial" w:cs="Arial" w:eastAsia="Arial" w:hAnsi="Arial"/>
                <w:sz w:val="13"/>
                <w:szCs w:val="13"/>
                <w:color w:val="auto"/>
              </w:rPr>
              <w:t>$ 439,412,000</w:t>
            </w:r>
          </w:p>
        </w:tc>
        <w:tc>
          <w:tcPr>
            <w:tcW w:w="0" w:type="dxa"/>
            <w:vAlign w:val="bottom"/>
          </w:tcPr>
          <w:p>
            <w:pPr>
              <w:spacing w:after="0"/>
              <w:rPr>
                <w:sz w:val="1"/>
                <w:szCs w:val="1"/>
                <w:color w:val="auto"/>
              </w:rPr>
            </w:pPr>
          </w:p>
        </w:tc>
      </w:tr>
      <w:tr>
        <w:trPr>
          <w:trHeight w:val="31"/>
        </w:trPr>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70" w:type="dxa"/>
            <w:vAlign w:val="bottom"/>
          </w:tcPr>
          <w:p>
            <w:pPr>
              <w:spacing w:after="0"/>
              <w:rPr>
                <w:sz w:val="2"/>
                <w:szCs w:val="2"/>
                <w:color w:val="auto"/>
              </w:rPr>
            </w:pPr>
          </w:p>
        </w:tc>
        <w:tc>
          <w:tcPr>
            <w:tcW w:w="9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9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4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2021</w:t>
            </w:r>
          </w:p>
        </w:tc>
        <w:tc>
          <w:tcPr>
            <w:tcW w:w="10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jc w:val="right"/>
              <w:ind w:right="40"/>
              <w:spacing w:after="0"/>
              <w:rPr>
                <w:sz w:val="20"/>
                <w:szCs w:val="20"/>
                <w:color w:val="auto"/>
              </w:rPr>
            </w:pPr>
            <w:r>
              <w:rPr>
                <w:rFonts w:ascii="Arial" w:cs="Arial" w:eastAsia="Arial" w:hAnsi="Arial"/>
                <w:sz w:val="13"/>
                <w:szCs w:val="13"/>
                <w:color w:val="auto"/>
              </w:rPr>
              <w:t>5,124,046</w:t>
            </w:r>
          </w:p>
        </w:tc>
        <w:tc>
          <w:tcPr>
            <w:tcW w:w="20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ind w:right="42"/>
              <w:spacing w:after="0"/>
              <w:rPr>
                <w:sz w:val="20"/>
                <w:szCs w:val="20"/>
                <w:color w:val="auto"/>
              </w:rPr>
            </w:pPr>
            <w:r>
              <w:rPr>
                <w:rFonts w:ascii="Arial" w:cs="Arial" w:eastAsia="Arial" w:hAnsi="Arial"/>
                <w:sz w:val="13"/>
                <w:szCs w:val="13"/>
                <w:color w:val="auto"/>
              </w:rPr>
              <w:t>3,459,395</w:t>
            </w:r>
          </w:p>
        </w:tc>
        <w:tc>
          <w:tcPr>
            <w:tcW w:w="80" w:type="dxa"/>
            <w:vAlign w:val="bottom"/>
            <w:tcBorders>
              <w:bottom w:val="single" w:sz="8" w:color="DBDBDB"/>
            </w:tcBorders>
            <w:shd w:val="clear" w:color="auto" w:fill="DBDBDB"/>
          </w:tcPr>
          <w:p>
            <w:pPr>
              <w:spacing w:after="0"/>
              <w:rPr>
                <w:sz w:val="19"/>
                <w:szCs w:val="19"/>
                <w:color w:val="auto"/>
              </w:rPr>
            </w:pPr>
          </w:p>
        </w:tc>
        <w:tc>
          <w:tcPr>
            <w:tcW w:w="960" w:type="dxa"/>
            <w:vAlign w:val="bottom"/>
            <w:tcBorders>
              <w:bottom w:val="single" w:sz="8" w:color="DBDBDB"/>
            </w:tcBorders>
            <w:shd w:val="clear" w:color="auto" w:fill="DBDBDB"/>
          </w:tcPr>
          <w:p>
            <w:pPr>
              <w:jc w:val="right"/>
              <w:ind w:right="15"/>
              <w:spacing w:after="0"/>
              <w:rPr>
                <w:sz w:val="20"/>
                <w:szCs w:val="20"/>
                <w:color w:val="auto"/>
              </w:rPr>
            </w:pPr>
            <w:r>
              <w:rPr>
                <w:rFonts w:ascii="Arial" w:cs="Arial" w:eastAsia="Arial" w:hAnsi="Arial"/>
                <w:sz w:val="13"/>
                <w:szCs w:val="13"/>
                <w:color w:val="auto"/>
              </w:rPr>
              <w:t>1,465,707</w:t>
            </w:r>
          </w:p>
        </w:tc>
        <w:tc>
          <w:tcPr>
            <w:tcW w:w="160" w:type="dxa"/>
            <w:vAlign w:val="bottom"/>
            <w:tcBorders>
              <w:bottom w:val="single" w:sz="8" w:color="DBDBDB"/>
            </w:tcBorders>
            <w:shd w:val="clear" w:color="auto" w:fill="DBDBDB"/>
          </w:tcPr>
          <w:p>
            <w:pPr>
              <w:spacing w:after="0"/>
              <w:rPr>
                <w:sz w:val="19"/>
                <w:szCs w:val="19"/>
                <w:color w:val="auto"/>
              </w:rPr>
            </w:pPr>
          </w:p>
        </w:tc>
        <w:tc>
          <w:tcPr>
            <w:tcW w:w="87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13"/>
                <w:szCs w:val="13"/>
                <w:color w:val="auto"/>
              </w:rPr>
              <w:t>1,199,585</w:t>
            </w:r>
          </w:p>
        </w:tc>
        <w:tc>
          <w:tcPr>
            <w:tcW w:w="90" w:type="dxa"/>
            <w:vAlign w:val="bottom"/>
            <w:tcBorders>
              <w:bottom w:val="single" w:sz="8" w:color="DBDBDB"/>
            </w:tcBorders>
            <w:shd w:val="clear" w:color="auto" w:fill="DBDBDB"/>
          </w:tcPr>
          <w:p>
            <w:pPr>
              <w:spacing w:after="0"/>
              <w:rPr>
                <w:sz w:val="19"/>
                <w:szCs w:val="19"/>
                <w:color w:val="auto"/>
              </w:rPr>
            </w:pPr>
          </w:p>
        </w:tc>
        <w:tc>
          <w:tcPr>
            <w:tcW w:w="800" w:type="dxa"/>
            <w:vAlign w:val="bottom"/>
            <w:tcBorders>
              <w:bottom w:val="single" w:sz="8" w:color="DBDBDB"/>
            </w:tcBorders>
            <w:shd w:val="clear" w:color="auto" w:fill="DBDBDB"/>
          </w:tcPr>
          <w:p>
            <w:pPr>
              <w:jc w:val="right"/>
              <w:ind w:right="35"/>
              <w:spacing w:after="0"/>
              <w:rPr>
                <w:sz w:val="20"/>
                <w:szCs w:val="20"/>
                <w:color w:val="auto"/>
              </w:rPr>
            </w:pPr>
            <w:r>
              <w:rPr>
                <w:rFonts w:ascii="Arial" w:cs="Arial" w:eastAsia="Arial" w:hAnsi="Arial"/>
                <w:sz w:val="13"/>
                <w:szCs w:val="13"/>
                <w:color w:val="auto"/>
              </w:rPr>
              <w:t>79.36</w:t>
            </w:r>
          </w:p>
        </w:tc>
        <w:tc>
          <w:tcPr>
            <w:tcW w:w="80" w:type="dxa"/>
            <w:vAlign w:val="bottom"/>
            <w:tcBorders>
              <w:bottom w:val="single" w:sz="8" w:color="DBDBDB"/>
            </w:tcBorders>
            <w:shd w:val="clear" w:color="auto" w:fill="DBDBDB"/>
          </w:tcPr>
          <w:p>
            <w:pPr>
              <w:spacing w:after="0"/>
              <w:rPr>
                <w:sz w:val="19"/>
                <w:szCs w:val="19"/>
                <w:color w:val="auto"/>
              </w:rPr>
            </w:pPr>
          </w:p>
        </w:tc>
        <w:tc>
          <w:tcPr>
            <w:tcW w:w="820" w:type="dxa"/>
            <w:vAlign w:val="bottom"/>
            <w:tcBorders>
              <w:bottom w:val="single" w:sz="8" w:color="DBDBDB"/>
            </w:tcBorders>
            <w:shd w:val="clear" w:color="auto" w:fill="DBDBDB"/>
          </w:tcPr>
          <w:p>
            <w:pPr>
              <w:jc w:val="right"/>
              <w:ind w:right="15"/>
              <w:spacing w:after="0"/>
              <w:rPr>
                <w:sz w:val="20"/>
                <w:szCs w:val="20"/>
                <w:color w:val="auto"/>
              </w:rPr>
            </w:pPr>
            <w:r>
              <w:rPr>
                <w:rFonts w:ascii="Arial" w:cs="Arial" w:eastAsia="Arial" w:hAnsi="Arial"/>
                <w:sz w:val="13"/>
                <w:szCs w:val="13"/>
                <w:color w:val="auto"/>
              </w:rPr>
              <w:t>109.35</w:t>
            </w:r>
          </w:p>
        </w:tc>
        <w:tc>
          <w:tcPr>
            <w:tcW w:w="9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306,288,000</w:t>
            </w:r>
          </w:p>
        </w:tc>
        <w:tc>
          <w:tcPr>
            <w:tcW w:w="980" w:type="dxa"/>
            <w:vAlign w:val="bottom"/>
            <w:tcBorders>
              <w:bottom w:val="single" w:sz="8" w:color="DBDBDB"/>
            </w:tcBorders>
            <w:shd w:val="clear" w:color="auto" w:fill="DBDBDB"/>
          </w:tcPr>
          <w:p>
            <w:pPr>
              <w:jc w:val="right"/>
              <w:ind w:right="15"/>
              <w:spacing w:after="0"/>
              <w:rPr>
                <w:sz w:val="20"/>
                <w:szCs w:val="20"/>
                <w:color w:val="auto"/>
              </w:rPr>
            </w:pPr>
            <w:r>
              <w:rPr>
                <w:rFonts w:ascii="Arial" w:cs="Arial" w:eastAsia="Arial" w:hAnsi="Arial"/>
                <w:sz w:val="13"/>
                <w:szCs w:val="13"/>
                <w:color w:val="auto"/>
              </w:rPr>
              <w:t>418,077,000</w:t>
            </w:r>
          </w:p>
        </w:tc>
        <w:tc>
          <w:tcPr>
            <w:tcW w:w="0" w:type="dxa"/>
            <w:vAlign w:val="bottom"/>
          </w:tcPr>
          <w:p>
            <w:pPr>
              <w:spacing w:after="0"/>
              <w:rPr>
                <w:sz w:val="1"/>
                <w:szCs w:val="1"/>
                <w:color w:val="auto"/>
              </w:rPr>
            </w:pPr>
          </w:p>
        </w:tc>
      </w:tr>
      <w:tr>
        <w:trPr>
          <w:trHeight w:val="200"/>
        </w:trPr>
        <w:tc>
          <w:tcPr>
            <w:tcW w:w="420" w:type="dxa"/>
            <w:vAlign w:val="bottom"/>
          </w:tcPr>
          <w:p>
            <w:pPr>
              <w:jc w:val="right"/>
              <w:spacing w:after="0"/>
              <w:rPr>
                <w:sz w:val="20"/>
                <w:szCs w:val="20"/>
                <w:color w:val="auto"/>
              </w:rPr>
            </w:pPr>
            <w:r>
              <w:rPr>
                <w:rFonts w:ascii="Arial" w:cs="Arial" w:eastAsia="Arial" w:hAnsi="Arial"/>
                <w:sz w:val="13"/>
                <w:szCs w:val="13"/>
                <w:color w:val="auto"/>
              </w:rPr>
              <w:t>2020</w:t>
            </w:r>
          </w:p>
        </w:tc>
        <w:tc>
          <w:tcPr>
            <w:tcW w:w="100" w:type="dxa"/>
            <w:vAlign w:val="bottom"/>
          </w:tcPr>
          <w:p>
            <w:pPr>
              <w:spacing w:after="0"/>
              <w:rPr>
                <w:sz w:val="17"/>
                <w:szCs w:val="17"/>
                <w:color w:val="auto"/>
              </w:rPr>
            </w:pPr>
          </w:p>
        </w:tc>
        <w:tc>
          <w:tcPr>
            <w:tcW w:w="960" w:type="dxa"/>
            <w:vAlign w:val="bottom"/>
          </w:tcPr>
          <w:p>
            <w:pPr>
              <w:jc w:val="right"/>
              <w:ind w:right="40"/>
              <w:spacing w:after="0"/>
              <w:rPr>
                <w:sz w:val="20"/>
                <w:szCs w:val="20"/>
                <w:color w:val="auto"/>
              </w:rPr>
            </w:pPr>
            <w:r>
              <w:rPr>
                <w:rFonts w:ascii="Arial" w:cs="Arial" w:eastAsia="Arial" w:hAnsi="Arial"/>
                <w:sz w:val="13"/>
                <w:szCs w:val="13"/>
                <w:color w:val="auto"/>
              </w:rPr>
              <w:t>5,456,840</w:t>
            </w:r>
          </w:p>
        </w:tc>
        <w:tc>
          <w:tcPr>
            <w:tcW w:w="200" w:type="dxa"/>
            <w:vAlign w:val="bottom"/>
          </w:tcPr>
          <w:p>
            <w:pPr>
              <w:spacing w:after="0"/>
              <w:rPr>
                <w:sz w:val="17"/>
                <w:szCs w:val="17"/>
                <w:color w:val="auto"/>
              </w:rPr>
            </w:pPr>
          </w:p>
        </w:tc>
        <w:tc>
          <w:tcPr>
            <w:tcW w:w="820" w:type="dxa"/>
            <w:vAlign w:val="bottom"/>
          </w:tcPr>
          <w:p>
            <w:pPr>
              <w:jc w:val="right"/>
              <w:ind w:right="42"/>
              <w:spacing w:after="0"/>
              <w:rPr>
                <w:sz w:val="20"/>
                <w:szCs w:val="20"/>
                <w:color w:val="auto"/>
              </w:rPr>
            </w:pPr>
            <w:r>
              <w:rPr>
                <w:rFonts w:ascii="Arial" w:cs="Arial" w:eastAsia="Arial" w:hAnsi="Arial"/>
                <w:sz w:val="13"/>
                <w:szCs w:val="13"/>
                <w:color w:val="auto"/>
              </w:rPr>
              <w:t>5,850,163</w:t>
            </w:r>
          </w:p>
        </w:tc>
        <w:tc>
          <w:tcPr>
            <w:tcW w:w="8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Arial" w:cs="Arial" w:eastAsia="Arial" w:hAnsi="Arial"/>
                <w:sz w:val="13"/>
                <w:szCs w:val="13"/>
                <w:color w:val="auto"/>
              </w:rPr>
              <w:t>1,577,451</w:t>
            </w:r>
          </w:p>
        </w:tc>
        <w:tc>
          <w:tcPr>
            <w:tcW w:w="160" w:type="dxa"/>
            <w:vAlign w:val="bottom"/>
          </w:tcPr>
          <w:p>
            <w:pPr>
              <w:spacing w:after="0"/>
              <w:rPr>
                <w:sz w:val="17"/>
                <w:szCs w:val="17"/>
                <w:color w:val="auto"/>
              </w:rPr>
            </w:pPr>
          </w:p>
        </w:tc>
        <w:tc>
          <w:tcPr>
            <w:tcW w:w="870" w:type="dxa"/>
            <w:vAlign w:val="bottom"/>
          </w:tcPr>
          <w:p>
            <w:pPr>
              <w:jc w:val="right"/>
              <w:ind w:right="25"/>
              <w:spacing w:after="0"/>
              <w:rPr>
                <w:sz w:val="20"/>
                <w:szCs w:val="20"/>
                <w:color w:val="auto"/>
              </w:rPr>
            </w:pPr>
            <w:r>
              <w:rPr>
                <w:rFonts w:ascii="Arial" w:cs="Arial" w:eastAsia="Arial" w:hAnsi="Arial"/>
                <w:sz w:val="13"/>
                <w:szCs w:val="13"/>
                <w:color w:val="auto"/>
              </w:rPr>
              <w:t>1,626,441</w:t>
            </w:r>
          </w:p>
        </w:tc>
        <w:tc>
          <w:tcPr>
            <w:tcW w:w="90" w:type="dxa"/>
            <w:vAlign w:val="bottom"/>
          </w:tcPr>
          <w:p>
            <w:pPr>
              <w:spacing w:after="0"/>
              <w:rPr>
                <w:sz w:val="17"/>
                <w:szCs w:val="17"/>
                <w:color w:val="auto"/>
              </w:rPr>
            </w:pPr>
          </w:p>
        </w:tc>
        <w:tc>
          <w:tcPr>
            <w:tcW w:w="800" w:type="dxa"/>
            <w:vAlign w:val="bottom"/>
          </w:tcPr>
          <w:p>
            <w:pPr>
              <w:jc w:val="right"/>
              <w:ind w:right="35"/>
              <w:spacing w:after="0"/>
              <w:rPr>
                <w:sz w:val="20"/>
                <w:szCs w:val="20"/>
                <w:color w:val="auto"/>
              </w:rPr>
            </w:pPr>
            <w:r>
              <w:rPr>
                <w:rFonts w:ascii="Arial" w:cs="Arial" w:eastAsia="Arial" w:hAnsi="Arial"/>
                <w:sz w:val="13"/>
                <w:szCs w:val="13"/>
                <w:color w:val="auto"/>
              </w:rPr>
              <w:t>98.46</w:t>
            </w:r>
          </w:p>
        </w:tc>
        <w:tc>
          <w:tcPr>
            <w:tcW w:w="80" w:type="dxa"/>
            <w:vAlign w:val="bottom"/>
          </w:tcPr>
          <w:p>
            <w:pPr>
              <w:spacing w:after="0"/>
              <w:rPr>
                <w:sz w:val="17"/>
                <w:szCs w:val="17"/>
                <w:color w:val="auto"/>
              </w:rPr>
            </w:pPr>
          </w:p>
        </w:tc>
        <w:tc>
          <w:tcPr>
            <w:tcW w:w="820" w:type="dxa"/>
            <w:vAlign w:val="bottom"/>
          </w:tcPr>
          <w:p>
            <w:pPr>
              <w:jc w:val="right"/>
              <w:ind w:right="15"/>
              <w:spacing w:after="0"/>
              <w:rPr>
                <w:sz w:val="20"/>
                <w:szCs w:val="20"/>
                <w:color w:val="auto"/>
              </w:rPr>
            </w:pPr>
            <w:r>
              <w:rPr>
                <w:rFonts w:ascii="Arial" w:cs="Arial" w:eastAsia="Arial" w:hAnsi="Arial"/>
                <w:sz w:val="13"/>
                <w:szCs w:val="13"/>
                <w:color w:val="auto"/>
              </w:rPr>
              <w:t>106.45</w:t>
            </w:r>
          </w:p>
        </w:tc>
        <w:tc>
          <w:tcPr>
            <w:tcW w:w="960" w:type="dxa"/>
            <w:vAlign w:val="bottom"/>
          </w:tcPr>
          <w:p>
            <w:pPr>
              <w:jc w:val="right"/>
              <w:spacing w:after="0"/>
              <w:rPr>
                <w:sz w:val="20"/>
                <w:szCs w:val="20"/>
                <w:color w:val="auto"/>
              </w:rPr>
            </w:pPr>
            <w:r>
              <w:rPr>
                <w:rFonts w:ascii="Arial" w:cs="Arial" w:eastAsia="Arial" w:hAnsi="Arial"/>
                <w:sz w:val="13"/>
                <w:szCs w:val="13"/>
                <w:color w:val="auto"/>
              </w:rPr>
              <w:t>278,670,000</w:t>
            </w:r>
          </w:p>
        </w:tc>
        <w:tc>
          <w:tcPr>
            <w:tcW w:w="980" w:type="dxa"/>
            <w:vAlign w:val="bottom"/>
          </w:tcPr>
          <w:p>
            <w:pPr>
              <w:jc w:val="right"/>
              <w:ind w:right="15"/>
              <w:spacing w:after="0"/>
              <w:rPr>
                <w:sz w:val="20"/>
                <w:szCs w:val="20"/>
                <w:color w:val="auto"/>
              </w:rPr>
            </w:pPr>
            <w:r>
              <w:rPr>
                <w:rFonts w:ascii="Arial" w:cs="Arial" w:eastAsia="Arial" w:hAnsi="Arial"/>
                <w:sz w:val="13"/>
                <w:szCs w:val="13"/>
                <w:color w:val="auto"/>
              </w:rPr>
              <w:t>427,002,000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2898140</wp:posOffset>
            </wp:positionH>
            <wp:positionV relativeFrom="paragraph">
              <wp:posOffset>-984885</wp:posOffset>
            </wp:positionV>
            <wp:extent cx="114427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44270" cy="7620"/>
                    </a:xfrm>
                    <a:prstGeom prst="rect">
                      <a:avLst/>
                    </a:prstGeom>
                    <a:noFill/>
                  </pic:spPr>
                </pic:pic>
              </a:graphicData>
            </a:graphic>
          </wp:anchor>
        </w:drawing>
      </w:r>
    </w:p>
    <w:p>
      <w:pPr>
        <w:spacing w:after="0" w:line="235" w:lineRule="exact"/>
        <w:rPr>
          <w:sz w:val="20"/>
          <w:szCs w:val="20"/>
          <w:color w:val="auto"/>
        </w:rPr>
      </w:pPr>
    </w:p>
    <w:p>
      <w:pPr>
        <w:ind w:left="200" w:hanging="186"/>
        <w:spacing w:after="0"/>
        <w:tabs>
          <w:tab w:leader="none" w:pos="2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CEO for each year is Rex D. Geveden</w:t>
      </w:r>
    </w:p>
    <w:p>
      <w:pPr>
        <w:spacing w:after="0" w:line="33" w:lineRule="exact"/>
        <w:rPr>
          <w:rFonts w:ascii="Arial" w:cs="Arial" w:eastAsia="Arial" w:hAnsi="Arial"/>
          <w:sz w:val="13"/>
          <w:szCs w:val="13"/>
          <w:color w:val="auto"/>
        </w:rPr>
      </w:pPr>
    </w:p>
    <w:p>
      <w:pPr>
        <w:ind w:left="200" w:hanging="186"/>
        <w:spacing w:after="0"/>
        <w:tabs>
          <w:tab w:leader="none" w:pos="2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reconciliation of CEO compensation from the Summary Compensation Table ("SCT") to the Pay Versus Performance ("PVP") table can be found below.</w:t>
      </w:r>
    </w:p>
    <w:p>
      <w:pPr>
        <w:spacing w:after="0" w:line="33" w:lineRule="exact"/>
        <w:rPr>
          <w:rFonts w:ascii="Arial" w:cs="Arial" w:eastAsia="Arial" w:hAnsi="Arial"/>
          <w:sz w:val="13"/>
          <w:szCs w:val="13"/>
          <w:color w:val="auto"/>
        </w:rPr>
      </w:pPr>
    </w:p>
    <w:p>
      <w:pPr>
        <w:ind w:left="200" w:hanging="186"/>
        <w:spacing w:after="0"/>
        <w:tabs>
          <w:tab w:leader="none" w:pos="2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Non-CEO NEOs for each year are as follows:</w:t>
      </w:r>
    </w:p>
    <w:p>
      <w:pPr>
        <w:spacing w:after="0" w:line="33" w:lineRule="exact"/>
        <w:rPr>
          <w:rFonts w:ascii="Arial" w:cs="Arial" w:eastAsia="Arial" w:hAnsi="Arial"/>
          <w:sz w:val="13"/>
          <w:szCs w:val="13"/>
          <w:color w:val="auto"/>
        </w:rPr>
      </w:pPr>
    </w:p>
    <w:p>
      <w:pPr>
        <w:ind w:left="600" w:hanging="294"/>
        <w:spacing w:after="0"/>
        <w:tabs>
          <w:tab w:leader="none" w:pos="6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For 2022, Robb A. LeMasters, Kevin M. McCoy, Thomas E. McCabe, and Robert L. Duffy</w:t>
      </w:r>
    </w:p>
    <w:p>
      <w:pPr>
        <w:spacing w:after="0" w:line="33" w:lineRule="exact"/>
        <w:rPr>
          <w:rFonts w:ascii="Arial" w:cs="Arial" w:eastAsia="Arial" w:hAnsi="Arial"/>
          <w:sz w:val="13"/>
          <w:szCs w:val="13"/>
          <w:color w:val="auto"/>
        </w:rPr>
      </w:pPr>
    </w:p>
    <w:p>
      <w:pPr>
        <w:ind w:left="600" w:hanging="294"/>
        <w:spacing w:after="0"/>
        <w:tabs>
          <w:tab w:leader="none" w:pos="6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For 2021, David S. Black, Robb A. LeMasters, Thomas E. McCabe, Joel W. Duling, Richard W. Loving, and Robert F. Smith</w:t>
      </w:r>
    </w:p>
    <w:p>
      <w:pPr>
        <w:spacing w:after="0" w:line="33" w:lineRule="exact"/>
        <w:rPr>
          <w:rFonts w:ascii="Arial" w:cs="Arial" w:eastAsia="Arial" w:hAnsi="Arial"/>
          <w:sz w:val="13"/>
          <w:szCs w:val="13"/>
          <w:color w:val="auto"/>
        </w:rPr>
      </w:pPr>
    </w:p>
    <w:p>
      <w:pPr>
        <w:ind w:left="600" w:hanging="294"/>
        <w:spacing w:after="0"/>
        <w:tabs>
          <w:tab w:leader="none" w:pos="600" w:val="left"/>
        </w:tabs>
        <w:numPr>
          <w:ilvl w:val="1"/>
          <w:numId w:val="85"/>
        </w:numPr>
        <w:rPr>
          <w:rFonts w:ascii="Arial" w:cs="Arial" w:eastAsia="Arial" w:hAnsi="Arial"/>
          <w:sz w:val="13"/>
          <w:szCs w:val="13"/>
          <w:color w:val="auto"/>
        </w:rPr>
      </w:pPr>
      <w:r>
        <w:rPr>
          <w:rFonts w:ascii="Arial" w:cs="Arial" w:eastAsia="Arial" w:hAnsi="Arial"/>
          <w:sz w:val="13"/>
          <w:szCs w:val="13"/>
          <w:color w:val="auto"/>
        </w:rPr>
        <w:t>For 2020, David S. Black, Thomas E. McCabe, Joel W. Duling, and Richard W. Loving</w:t>
      </w:r>
    </w:p>
    <w:p>
      <w:pPr>
        <w:spacing w:after="0" w:line="33" w:lineRule="exact"/>
        <w:rPr>
          <w:rFonts w:ascii="Arial" w:cs="Arial" w:eastAsia="Arial" w:hAnsi="Arial"/>
          <w:sz w:val="13"/>
          <w:szCs w:val="13"/>
          <w:color w:val="auto"/>
        </w:rPr>
      </w:pPr>
    </w:p>
    <w:p>
      <w:pPr>
        <w:ind w:left="200" w:hanging="186"/>
        <w:spacing w:after="0"/>
        <w:tabs>
          <w:tab w:leader="none" w:pos="200" w:val="left"/>
        </w:tabs>
        <w:numPr>
          <w:ilvl w:val="0"/>
          <w:numId w:val="85"/>
        </w:numPr>
        <w:rPr>
          <w:rFonts w:ascii="Arial" w:cs="Arial" w:eastAsia="Arial" w:hAnsi="Arial"/>
          <w:sz w:val="13"/>
          <w:szCs w:val="13"/>
          <w:color w:val="auto"/>
        </w:rPr>
      </w:pPr>
      <w:r>
        <w:rPr>
          <w:rFonts w:ascii="Arial" w:cs="Arial" w:eastAsia="Arial" w:hAnsi="Arial"/>
          <w:sz w:val="13"/>
          <w:szCs w:val="13"/>
          <w:color w:val="auto"/>
        </w:rPr>
        <w:t>A reconciliation of the average non-CEO NEO compensation to the SCT Table to the PVP Table can be found below.</w:t>
      </w:r>
    </w:p>
    <w:p>
      <w:pPr>
        <w:spacing w:after="0" w:line="33" w:lineRule="exact"/>
        <w:rPr>
          <w:rFonts w:ascii="Arial" w:cs="Arial" w:eastAsia="Arial" w:hAnsi="Arial"/>
          <w:sz w:val="13"/>
          <w:szCs w:val="13"/>
          <w:color w:val="auto"/>
        </w:rPr>
      </w:pPr>
    </w:p>
    <w:p>
      <w:pPr>
        <w:ind w:left="20" w:right="300" w:hanging="6"/>
        <w:spacing w:after="0" w:line="250" w:lineRule="auto"/>
        <w:tabs>
          <w:tab w:leader="none" w:pos="215" w:val="left"/>
        </w:tabs>
        <w:numPr>
          <w:ilvl w:val="0"/>
          <w:numId w:val="85"/>
        </w:numPr>
        <w:rPr>
          <w:rFonts w:ascii="Arial" w:cs="Arial" w:eastAsia="Arial" w:hAnsi="Arial"/>
          <w:sz w:val="13"/>
          <w:szCs w:val="13"/>
          <w:color w:val="auto"/>
        </w:rPr>
      </w:pPr>
      <w:r>
        <w:rPr>
          <w:rFonts w:ascii="Arial" w:cs="Arial" w:eastAsia="Arial" w:hAnsi="Arial"/>
          <w:sz w:val="13"/>
          <w:szCs w:val="13"/>
          <w:color w:val="auto"/>
        </w:rPr>
        <w:t>The TSR values disclosed represent the measurement period value of an investment of $100 in our units as of December 31, 2019, and then valued again on each of December 31, 2020, December 31, 2021 and December 31, 2022.</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50 </w:t>
      </w:r>
      <w:r>
        <w:rPr>
          <w:sz w:val="1"/>
          <w:szCs w:val="1"/>
          <w:color w:val="auto"/>
        </w:rPr>
        <w:drawing>
          <wp:inline distT="0" distB="0" distL="0" distR="0">
            <wp:extent cx="401955" cy="16256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62" w:name="page63"/>
    <w:bookmarkEnd w:id="62"/>
    <w:p>
      <w:pPr>
        <w:ind w:left="101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400"/>
        <w:spacing w:after="0"/>
        <w:rPr>
          <w:sz w:val="20"/>
          <w:szCs w:val="20"/>
          <w:color w:val="auto"/>
        </w:rPr>
      </w:pPr>
      <w:r>
        <w:rPr>
          <w:rFonts w:ascii="Arial" w:cs="Arial" w:eastAsia="Arial" w:hAnsi="Arial"/>
          <w:sz w:val="13"/>
          <w:szCs w:val="13"/>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20" w:right="160" w:hanging="6"/>
        <w:spacing w:after="0" w:line="228" w:lineRule="auto"/>
        <w:tabs>
          <w:tab w:leader="none" w:pos="215"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TSR values disclosed represent the measurement period value of an investment of $100 in our peer group's units as of December 31, 2019, and then valued again on each of December 31, 2020, December 31, 2021 and December 31, 2022. For purposes of the PVP Table, our peer group is the S&amp;P 500 A&amp;D Select Index, which conforms to our disclosures as required by Item 201(e) of Regulation S-K.</w:t>
      </w:r>
    </w:p>
    <w:p>
      <w:pPr>
        <w:spacing w:after="0" w:line="12" w:lineRule="exact"/>
        <w:rPr>
          <w:rFonts w:ascii="Arial" w:cs="Arial" w:eastAsia="Arial" w:hAnsi="Arial"/>
          <w:sz w:val="13"/>
          <w:szCs w:val="13"/>
          <w:color w:val="auto"/>
        </w:rPr>
      </w:pPr>
    </w:p>
    <w:p>
      <w:pPr>
        <w:ind w:left="20" w:right="160" w:hanging="6"/>
        <w:spacing w:after="0" w:line="250" w:lineRule="auto"/>
        <w:tabs>
          <w:tab w:leader="none" w:pos="215" w:val="left"/>
        </w:tabs>
        <w:numPr>
          <w:ilvl w:val="0"/>
          <w:numId w:val="86"/>
        </w:numPr>
        <w:rPr>
          <w:rFonts w:ascii="Arial" w:cs="Arial" w:eastAsia="Arial" w:hAnsi="Arial"/>
          <w:sz w:val="13"/>
          <w:szCs w:val="13"/>
          <w:color w:val="auto"/>
        </w:rPr>
      </w:pPr>
      <w:r>
        <w:rPr>
          <w:rFonts w:ascii="Arial" w:cs="Arial" w:eastAsia="Arial" w:hAnsi="Arial"/>
          <w:sz w:val="13"/>
          <w:szCs w:val="13"/>
          <w:color w:val="auto"/>
        </w:rPr>
        <w:t>The Company believes that adjusted EBITDA most closely aligns pay and performance. This measure demonstrates the profitability of the organization on a like-for-like, year-over-year basis, removing non-recurring, irregular and one-time items that may distort the Company's actual performance during any given period of time.</w:t>
      </w:r>
    </w:p>
    <w:p>
      <w:pPr>
        <w:spacing w:after="0" w:line="1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Reconciliation of CEO SCT to PVP Compensation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shd w:val="clear" w:color="auto" w:fill="000000"/>
          </w:tcPr>
          <w:p>
            <w:pPr>
              <w:ind w:left="800"/>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560" w:type="dxa"/>
            <w:vAlign w:val="bottom"/>
            <w:shd w:val="clear" w:color="auto" w:fill="000000"/>
          </w:tcPr>
          <w:p>
            <w:pPr>
              <w:spacing w:after="0"/>
              <w:rPr>
                <w:sz w:val="16"/>
                <w:szCs w:val="16"/>
                <w:color w:val="auto"/>
              </w:rPr>
            </w:pPr>
          </w:p>
        </w:tc>
        <w:tc>
          <w:tcPr>
            <w:tcW w:w="1680" w:type="dxa"/>
            <w:vAlign w:val="bottom"/>
            <w:shd w:val="clear" w:color="auto" w:fill="000000"/>
          </w:tcPr>
          <w:p>
            <w:pPr>
              <w:jc w:val="right"/>
              <w:ind w:right="135"/>
              <w:spacing w:after="0"/>
              <w:rPr>
                <w:sz w:val="20"/>
                <w:szCs w:val="20"/>
                <w:color w:val="auto"/>
              </w:rPr>
            </w:pPr>
            <w:r>
              <w:rPr>
                <w:rFonts w:ascii="Times New Roman" w:cs="Times New Roman" w:eastAsia="Times New Roman" w:hAnsi="Times New Roman"/>
                <w:sz w:val="13"/>
                <w:szCs w:val="13"/>
                <w:b w:val="1"/>
                <w:bCs w:val="1"/>
                <w:color w:val="FFFFFF"/>
              </w:rPr>
              <w:t>SCT Total Compensation</w:t>
            </w:r>
          </w:p>
        </w:tc>
        <w:tc>
          <w:tcPr>
            <w:tcW w:w="140" w:type="dxa"/>
            <w:vAlign w:val="bottom"/>
            <w:shd w:val="clear" w:color="auto" w:fill="000000"/>
          </w:tcPr>
          <w:p>
            <w:pPr>
              <w:spacing w:after="0"/>
              <w:rPr>
                <w:sz w:val="16"/>
                <w:szCs w:val="16"/>
                <w:color w:val="auto"/>
              </w:rPr>
            </w:pPr>
          </w:p>
        </w:tc>
        <w:tc>
          <w:tcPr>
            <w:tcW w:w="1760" w:type="dxa"/>
            <w:vAlign w:val="bottom"/>
            <w:shd w:val="clear" w:color="auto" w:fill="000000"/>
          </w:tcPr>
          <w:p>
            <w:pPr>
              <w:jc w:val="right"/>
              <w:ind w:right="55"/>
              <w:spacing w:after="0"/>
              <w:rPr>
                <w:sz w:val="20"/>
                <w:szCs w:val="20"/>
                <w:color w:val="auto"/>
              </w:rPr>
            </w:pPr>
            <w:r>
              <w:rPr>
                <w:rFonts w:ascii="Times New Roman" w:cs="Times New Roman" w:eastAsia="Times New Roman" w:hAnsi="Times New Roman"/>
                <w:sz w:val="13"/>
                <w:szCs w:val="13"/>
                <w:b w:val="1"/>
                <w:bCs w:val="1"/>
                <w:color w:val="FFFFFF"/>
                <w:w w:val="97"/>
              </w:rPr>
              <w:t>Deductions from SCT Total</w:t>
            </w:r>
            <w:r>
              <w:rPr>
                <w:rFonts w:ascii="Times New Roman" w:cs="Times New Roman" w:eastAsia="Times New Roman" w:hAnsi="Times New Roman"/>
                <w:sz w:val="16"/>
                <w:szCs w:val="16"/>
                <w:b w:val="1"/>
                <w:bCs w:val="1"/>
                <w:color w:val="FFFFFF"/>
                <w:w w:val="97"/>
                <w:vertAlign w:val="superscript"/>
              </w:rPr>
              <w:t>(1)</w:t>
            </w:r>
          </w:p>
        </w:tc>
        <w:tc>
          <w:tcPr>
            <w:tcW w:w="180" w:type="dxa"/>
            <w:vAlign w:val="bottom"/>
            <w:shd w:val="clear" w:color="auto" w:fill="000000"/>
          </w:tcPr>
          <w:p>
            <w:pPr>
              <w:spacing w:after="0"/>
              <w:rPr>
                <w:sz w:val="16"/>
                <w:szCs w:val="16"/>
                <w:color w:val="auto"/>
              </w:rPr>
            </w:pPr>
          </w:p>
        </w:tc>
        <w:tc>
          <w:tcPr>
            <w:tcW w:w="1680" w:type="dxa"/>
            <w:vAlign w:val="bottom"/>
            <w:shd w:val="clear" w:color="auto" w:fill="000000"/>
          </w:tcPr>
          <w:p>
            <w:pPr>
              <w:jc w:val="right"/>
              <w:ind w:right="155"/>
              <w:spacing w:after="0"/>
              <w:rPr>
                <w:sz w:val="20"/>
                <w:szCs w:val="20"/>
                <w:color w:val="auto"/>
              </w:rPr>
            </w:pPr>
            <w:r>
              <w:rPr>
                <w:rFonts w:ascii="Times New Roman" w:cs="Times New Roman" w:eastAsia="Times New Roman" w:hAnsi="Times New Roman"/>
                <w:sz w:val="13"/>
                <w:szCs w:val="13"/>
                <w:b w:val="1"/>
                <w:bCs w:val="1"/>
                <w:color w:val="FFFFFF"/>
              </w:rPr>
              <w:t>Additions to SCT Total</w:t>
            </w:r>
            <w:r>
              <w:rPr>
                <w:rFonts w:ascii="Times New Roman" w:cs="Times New Roman" w:eastAsia="Times New Roman" w:hAnsi="Times New Roman"/>
                <w:sz w:val="16"/>
                <w:szCs w:val="16"/>
                <w:b w:val="1"/>
                <w:bCs w:val="1"/>
                <w:color w:val="FFFFFF"/>
                <w:vertAlign w:val="superscript"/>
              </w:rPr>
              <w:t>(2)</w:t>
            </w:r>
          </w:p>
        </w:tc>
        <w:tc>
          <w:tcPr>
            <w:tcW w:w="188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Compensation Actually Paid to</w:t>
            </w:r>
          </w:p>
        </w:tc>
        <w:tc>
          <w:tcPr>
            <w:tcW w:w="140" w:type="dxa"/>
            <w:vAlign w:val="bottom"/>
            <w:shd w:val="clear" w:color="auto" w:fill="000000"/>
          </w:tcPr>
          <w:p>
            <w:pPr>
              <w:spacing w:after="0"/>
              <w:rPr>
                <w:sz w:val="16"/>
                <w:szCs w:val="16"/>
                <w:color w:val="auto"/>
              </w:rPr>
            </w:pPr>
          </w:p>
        </w:tc>
        <w:tc>
          <w:tcPr>
            <w:tcW w:w="1760" w:type="dxa"/>
            <w:vAlign w:val="bottom"/>
            <w:shd w:val="clear" w:color="auto" w:fill="000000"/>
          </w:tcPr>
          <w:p>
            <w:pPr>
              <w:jc w:val="right"/>
              <w:ind w:right="115"/>
              <w:spacing w:after="0"/>
              <w:rPr>
                <w:sz w:val="20"/>
                <w:szCs w:val="20"/>
                <w:color w:val="auto"/>
              </w:rPr>
            </w:pPr>
            <w:r>
              <w:rPr>
                <w:rFonts w:ascii="Times New Roman" w:cs="Times New Roman" w:eastAsia="Times New Roman" w:hAnsi="Times New Roman"/>
                <w:sz w:val="13"/>
                <w:szCs w:val="13"/>
                <w:b w:val="1"/>
                <w:bCs w:val="1"/>
                <w:color w:val="FFFFFF"/>
                <w:w w:val="99"/>
              </w:rPr>
              <w:t>Fiscal Year End Stock Price</w:t>
            </w:r>
          </w:p>
        </w:tc>
      </w:tr>
      <w:tr>
        <w:trPr>
          <w:trHeight w:val="122"/>
        </w:trPr>
        <w:tc>
          <w:tcPr>
            <w:tcW w:w="14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16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76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1680" w:type="dxa"/>
            <w:vAlign w:val="bottom"/>
            <w:shd w:val="clear" w:color="auto" w:fill="000000"/>
          </w:tcPr>
          <w:p>
            <w:pPr>
              <w:spacing w:after="0"/>
              <w:rPr>
                <w:sz w:val="10"/>
                <w:szCs w:val="10"/>
                <w:color w:val="auto"/>
              </w:rPr>
            </w:pPr>
          </w:p>
        </w:tc>
        <w:tc>
          <w:tcPr>
            <w:tcW w:w="460" w:type="dxa"/>
            <w:vAlign w:val="bottom"/>
            <w:shd w:val="clear" w:color="auto" w:fill="000000"/>
          </w:tcPr>
          <w:p>
            <w:pPr>
              <w:spacing w:after="0"/>
              <w:rPr>
                <w:sz w:val="10"/>
                <w:szCs w:val="10"/>
                <w:color w:val="auto"/>
              </w:rPr>
            </w:pPr>
          </w:p>
        </w:tc>
        <w:tc>
          <w:tcPr>
            <w:tcW w:w="1420" w:type="dxa"/>
            <w:vAlign w:val="bottom"/>
            <w:shd w:val="clear" w:color="auto" w:fill="000000"/>
          </w:tcPr>
          <w:p>
            <w:pPr>
              <w:jc w:val="right"/>
              <w:ind w:right="715"/>
              <w:spacing w:after="0" w:line="122" w:lineRule="exact"/>
              <w:rPr>
                <w:sz w:val="20"/>
                <w:szCs w:val="20"/>
                <w:color w:val="auto"/>
              </w:rPr>
            </w:pPr>
            <w:r>
              <w:rPr>
                <w:rFonts w:ascii="Times New Roman" w:cs="Times New Roman" w:eastAsia="Times New Roman" w:hAnsi="Times New Roman"/>
                <w:sz w:val="13"/>
                <w:szCs w:val="13"/>
                <w:b w:val="1"/>
                <w:bCs w:val="1"/>
                <w:color w:val="FFFFFF"/>
              </w:rPr>
              <w:t>CEO</w:t>
            </w:r>
          </w:p>
        </w:tc>
        <w:tc>
          <w:tcPr>
            <w:tcW w:w="140" w:type="dxa"/>
            <w:vAlign w:val="bottom"/>
            <w:shd w:val="clear" w:color="auto" w:fill="000000"/>
          </w:tcPr>
          <w:p>
            <w:pPr>
              <w:spacing w:after="0"/>
              <w:rPr>
                <w:sz w:val="10"/>
                <w:szCs w:val="10"/>
                <w:color w:val="auto"/>
              </w:rPr>
            </w:pPr>
          </w:p>
        </w:tc>
        <w:tc>
          <w:tcPr>
            <w:tcW w:w="1760" w:type="dxa"/>
            <w:vAlign w:val="bottom"/>
            <w:shd w:val="clear" w:color="auto" w:fill="000000"/>
          </w:tcPr>
          <w:p>
            <w:pPr>
              <w:spacing w:after="0"/>
              <w:rPr>
                <w:sz w:val="10"/>
                <w:szCs w:val="10"/>
                <w:color w:val="auto"/>
              </w:rPr>
            </w:pPr>
          </w:p>
        </w:tc>
      </w:tr>
      <w:tr>
        <w:trPr>
          <w:trHeight w:val="179"/>
        </w:trPr>
        <w:tc>
          <w:tcPr>
            <w:tcW w:w="1480" w:type="dxa"/>
            <w:vAlign w:val="bottom"/>
          </w:tcPr>
          <w:p>
            <w:pPr>
              <w:ind w:left="800"/>
              <w:spacing w:after="0"/>
              <w:rPr>
                <w:sz w:val="20"/>
                <w:szCs w:val="20"/>
                <w:color w:val="auto"/>
              </w:rPr>
            </w:pPr>
            <w:r>
              <w:rPr>
                <w:rFonts w:ascii="Arial" w:cs="Arial" w:eastAsia="Arial" w:hAnsi="Arial"/>
                <w:sz w:val="13"/>
                <w:szCs w:val="13"/>
                <w:color w:val="auto"/>
              </w:rPr>
              <w:t>2022</w:t>
            </w: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5,716,692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(3,576,173)</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6,757,407</w:t>
            </w:r>
          </w:p>
        </w:tc>
        <w:tc>
          <w:tcPr>
            <w:tcW w:w="460" w:type="dxa"/>
            <w:vAlign w:val="bottom"/>
          </w:tcPr>
          <w:p>
            <w:pPr>
              <w:jc w:val="right"/>
              <w:ind w:right="295"/>
              <w:spacing w:after="0"/>
              <w:rPr>
                <w:sz w:val="20"/>
                <w:szCs w:val="20"/>
                <w:color w:val="auto"/>
              </w:rPr>
            </w:pPr>
            <w:r>
              <w:rPr>
                <w:rFonts w:ascii="Arial" w:cs="Arial" w:eastAsia="Arial" w:hAnsi="Arial"/>
                <w:sz w:val="13"/>
                <w:szCs w:val="13"/>
                <w:color w:val="auto"/>
              </w:rPr>
              <w:t>$</w:t>
            </w:r>
          </w:p>
        </w:tc>
        <w:tc>
          <w:tcPr>
            <w:tcW w:w="1420" w:type="dxa"/>
            <w:vAlign w:val="bottom"/>
          </w:tcPr>
          <w:p>
            <w:pPr>
              <w:jc w:val="right"/>
              <w:spacing w:after="0"/>
              <w:rPr>
                <w:sz w:val="20"/>
                <w:szCs w:val="20"/>
                <w:color w:val="auto"/>
              </w:rPr>
            </w:pPr>
            <w:r>
              <w:rPr>
                <w:rFonts w:ascii="Arial" w:cs="Arial" w:eastAsia="Arial" w:hAnsi="Arial"/>
                <w:sz w:val="13"/>
                <w:szCs w:val="13"/>
                <w:color w:val="auto"/>
              </w:rPr>
              <w:t>8,897,926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58.05</w:t>
            </w:r>
          </w:p>
        </w:tc>
      </w:tr>
      <w:tr>
        <w:trPr>
          <w:trHeight w:val="186"/>
        </w:trPr>
        <w:tc>
          <w:tcPr>
            <w:tcW w:w="1480" w:type="dxa"/>
            <w:vAlign w:val="bottom"/>
            <w:shd w:val="clear" w:color="auto" w:fill="DBDBDB"/>
          </w:tcPr>
          <w:p>
            <w:pPr>
              <w:ind w:left="800"/>
              <w:spacing w:after="0"/>
              <w:rPr>
                <w:sz w:val="20"/>
                <w:szCs w:val="20"/>
                <w:color w:val="auto"/>
              </w:rPr>
            </w:pPr>
            <w:r>
              <w:rPr>
                <w:rFonts w:ascii="Arial" w:cs="Arial" w:eastAsia="Arial" w:hAnsi="Arial"/>
                <w:sz w:val="13"/>
                <w:szCs w:val="13"/>
                <w:color w:val="auto"/>
              </w:rPr>
              <w:t>2021</w:t>
            </w:r>
          </w:p>
        </w:tc>
        <w:tc>
          <w:tcPr>
            <w:tcW w:w="56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5,124,046</w:t>
            </w:r>
          </w:p>
        </w:tc>
        <w:tc>
          <w:tcPr>
            <w:tcW w:w="140" w:type="dxa"/>
            <w:vAlign w:val="bottom"/>
            <w:shd w:val="clear" w:color="auto" w:fill="DBDBDB"/>
          </w:tcPr>
          <w:p>
            <w:pPr>
              <w:spacing w:after="0"/>
              <w:rPr>
                <w:sz w:val="16"/>
                <w:szCs w:val="16"/>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(3,499,932)</w:t>
            </w:r>
          </w:p>
        </w:tc>
        <w:tc>
          <w:tcPr>
            <w:tcW w:w="18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1,835,281</w:t>
            </w:r>
          </w:p>
        </w:tc>
        <w:tc>
          <w:tcPr>
            <w:tcW w:w="460" w:type="dxa"/>
            <w:vAlign w:val="bottom"/>
            <w:shd w:val="clear" w:color="auto" w:fill="DBDBDB"/>
          </w:tcPr>
          <w:p>
            <w:pPr>
              <w:spacing w:after="0"/>
              <w:rPr>
                <w:sz w:val="16"/>
                <w:szCs w:val="16"/>
                <w:color w:val="auto"/>
              </w:rPr>
            </w:pPr>
          </w:p>
        </w:tc>
        <w:tc>
          <w:tcPr>
            <w:tcW w:w="14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3,459,395</w:t>
            </w:r>
          </w:p>
        </w:tc>
        <w:tc>
          <w:tcPr>
            <w:tcW w:w="140" w:type="dxa"/>
            <w:vAlign w:val="bottom"/>
            <w:shd w:val="clear" w:color="auto" w:fill="DBDBDB"/>
          </w:tcPr>
          <w:p>
            <w:pPr>
              <w:spacing w:after="0"/>
              <w:rPr>
                <w:sz w:val="16"/>
                <w:szCs w:val="16"/>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47.88</w:t>
            </w:r>
          </w:p>
        </w:tc>
      </w:tr>
      <w:tr>
        <w:trPr>
          <w:trHeight w:val="176"/>
        </w:trPr>
        <w:tc>
          <w:tcPr>
            <w:tcW w:w="1480" w:type="dxa"/>
            <w:vAlign w:val="bottom"/>
          </w:tcPr>
          <w:p>
            <w:pPr>
              <w:ind w:left="800"/>
              <w:spacing w:after="0"/>
              <w:rPr>
                <w:sz w:val="20"/>
                <w:szCs w:val="20"/>
                <w:color w:val="auto"/>
              </w:rPr>
            </w:pPr>
            <w:r>
              <w:rPr>
                <w:rFonts w:ascii="Arial" w:cs="Arial" w:eastAsia="Arial" w:hAnsi="Arial"/>
                <w:sz w:val="13"/>
                <w:szCs w:val="13"/>
                <w:color w:val="auto"/>
              </w:rPr>
              <w:t>2020</w:t>
            </w:r>
          </w:p>
        </w:tc>
        <w:tc>
          <w:tcPr>
            <w:tcW w:w="5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5,456,840</w:t>
            </w:r>
          </w:p>
        </w:tc>
        <w:tc>
          <w:tcPr>
            <w:tcW w:w="1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(3,099,983)</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3,493,306</w:t>
            </w:r>
          </w:p>
        </w:tc>
        <w:tc>
          <w:tcPr>
            <w:tcW w:w="46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3"/>
                <w:szCs w:val="13"/>
                <w:color w:val="auto"/>
              </w:rPr>
              <w:t>5,850,163</w:t>
            </w:r>
          </w:p>
        </w:tc>
        <w:tc>
          <w:tcPr>
            <w:tcW w:w="1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60.28</w:t>
            </w:r>
          </w:p>
        </w:tc>
      </w:tr>
    </w:tbl>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Reconciliation of Average Non-CEO NEOs SCT to PVP Compensation</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80" w:type="dxa"/>
            <w:vAlign w:val="bottom"/>
            <w:shd w:val="clear" w:color="auto" w:fill="000000"/>
          </w:tcPr>
          <w:p>
            <w:pPr>
              <w:ind w:left="800"/>
              <w:spacing w:after="0"/>
              <w:rPr>
                <w:sz w:val="20"/>
                <w:szCs w:val="20"/>
                <w:color w:val="auto"/>
              </w:rPr>
            </w:pPr>
            <w:r>
              <w:rPr>
                <w:rFonts w:ascii="Times New Roman" w:cs="Times New Roman" w:eastAsia="Times New Roman" w:hAnsi="Times New Roman"/>
                <w:sz w:val="13"/>
                <w:szCs w:val="13"/>
                <w:b w:val="1"/>
                <w:bCs w:val="1"/>
                <w:color w:val="FFFFFF"/>
              </w:rPr>
              <w:t>Year</w:t>
            </w:r>
          </w:p>
        </w:tc>
        <w:tc>
          <w:tcPr>
            <w:tcW w:w="560" w:type="dxa"/>
            <w:vAlign w:val="bottom"/>
            <w:shd w:val="clear" w:color="auto" w:fill="000000"/>
          </w:tcPr>
          <w:p>
            <w:pPr>
              <w:spacing w:after="0"/>
              <w:rPr>
                <w:sz w:val="16"/>
                <w:szCs w:val="16"/>
                <w:color w:val="auto"/>
              </w:rPr>
            </w:pPr>
          </w:p>
        </w:tc>
        <w:tc>
          <w:tcPr>
            <w:tcW w:w="1680" w:type="dxa"/>
            <w:vAlign w:val="bottom"/>
            <w:shd w:val="clear" w:color="auto" w:fill="000000"/>
          </w:tcPr>
          <w:p>
            <w:pPr>
              <w:jc w:val="right"/>
              <w:ind w:right="135"/>
              <w:spacing w:after="0"/>
              <w:rPr>
                <w:sz w:val="20"/>
                <w:szCs w:val="20"/>
                <w:color w:val="auto"/>
              </w:rPr>
            </w:pPr>
            <w:r>
              <w:rPr>
                <w:rFonts w:ascii="Times New Roman" w:cs="Times New Roman" w:eastAsia="Times New Roman" w:hAnsi="Times New Roman"/>
                <w:sz w:val="13"/>
                <w:szCs w:val="13"/>
                <w:b w:val="1"/>
                <w:bCs w:val="1"/>
                <w:color w:val="FFFFFF"/>
              </w:rPr>
              <w:t>SCT Total Compensation</w:t>
            </w:r>
          </w:p>
        </w:tc>
        <w:tc>
          <w:tcPr>
            <w:tcW w:w="140" w:type="dxa"/>
            <w:vAlign w:val="bottom"/>
            <w:shd w:val="clear" w:color="auto" w:fill="000000"/>
          </w:tcPr>
          <w:p>
            <w:pPr>
              <w:spacing w:after="0"/>
              <w:rPr>
                <w:sz w:val="16"/>
                <w:szCs w:val="16"/>
                <w:color w:val="auto"/>
              </w:rPr>
            </w:pPr>
          </w:p>
        </w:tc>
        <w:tc>
          <w:tcPr>
            <w:tcW w:w="1760" w:type="dxa"/>
            <w:vAlign w:val="bottom"/>
            <w:shd w:val="clear" w:color="auto" w:fill="000000"/>
          </w:tcPr>
          <w:p>
            <w:pPr>
              <w:jc w:val="right"/>
              <w:ind w:right="55"/>
              <w:spacing w:after="0"/>
              <w:rPr>
                <w:sz w:val="20"/>
                <w:szCs w:val="20"/>
                <w:color w:val="auto"/>
              </w:rPr>
            </w:pPr>
            <w:r>
              <w:rPr>
                <w:rFonts w:ascii="Times New Roman" w:cs="Times New Roman" w:eastAsia="Times New Roman" w:hAnsi="Times New Roman"/>
                <w:sz w:val="13"/>
                <w:szCs w:val="13"/>
                <w:b w:val="1"/>
                <w:bCs w:val="1"/>
                <w:color w:val="FFFFFF"/>
                <w:w w:val="97"/>
              </w:rPr>
              <w:t>Deductions from SCT Total</w:t>
            </w:r>
            <w:r>
              <w:rPr>
                <w:rFonts w:ascii="Times New Roman" w:cs="Times New Roman" w:eastAsia="Times New Roman" w:hAnsi="Times New Roman"/>
                <w:sz w:val="16"/>
                <w:szCs w:val="16"/>
                <w:b w:val="1"/>
                <w:bCs w:val="1"/>
                <w:color w:val="FFFFFF"/>
                <w:w w:val="97"/>
                <w:vertAlign w:val="superscript"/>
              </w:rPr>
              <w:t>(1)</w:t>
            </w:r>
          </w:p>
        </w:tc>
        <w:tc>
          <w:tcPr>
            <w:tcW w:w="180" w:type="dxa"/>
            <w:vAlign w:val="bottom"/>
            <w:shd w:val="clear" w:color="auto" w:fill="000000"/>
          </w:tcPr>
          <w:p>
            <w:pPr>
              <w:spacing w:after="0"/>
              <w:rPr>
                <w:sz w:val="16"/>
                <w:szCs w:val="16"/>
                <w:color w:val="auto"/>
              </w:rPr>
            </w:pPr>
          </w:p>
        </w:tc>
        <w:tc>
          <w:tcPr>
            <w:tcW w:w="1680" w:type="dxa"/>
            <w:vAlign w:val="bottom"/>
            <w:shd w:val="clear" w:color="auto" w:fill="000000"/>
          </w:tcPr>
          <w:p>
            <w:pPr>
              <w:jc w:val="right"/>
              <w:ind w:right="155"/>
              <w:spacing w:after="0"/>
              <w:rPr>
                <w:sz w:val="20"/>
                <w:szCs w:val="20"/>
                <w:color w:val="auto"/>
              </w:rPr>
            </w:pPr>
            <w:r>
              <w:rPr>
                <w:rFonts w:ascii="Times New Roman" w:cs="Times New Roman" w:eastAsia="Times New Roman" w:hAnsi="Times New Roman"/>
                <w:sz w:val="13"/>
                <w:szCs w:val="13"/>
                <w:b w:val="1"/>
                <w:bCs w:val="1"/>
                <w:color w:val="FFFFFF"/>
              </w:rPr>
              <w:t>Additions to SCT Total</w:t>
            </w:r>
            <w:r>
              <w:rPr>
                <w:rFonts w:ascii="Times New Roman" w:cs="Times New Roman" w:eastAsia="Times New Roman" w:hAnsi="Times New Roman"/>
                <w:sz w:val="16"/>
                <w:szCs w:val="16"/>
                <w:b w:val="1"/>
                <w:bCs w:val="1"/>
                <w:color w:val="FFFFFF"/>
                <w:vertAlign w:val="superscript"/>
              </w:rPr>
              <w:t>(2)</w:t>
            </w:r>
          </w:p>
        </w:tc>
        <w:tc>
          <w:tcPr>
            <w:tcW w:w="1880" w:type="dxa"/>
            <w:vAlign w:val="bottom"/>
            <w:gridSpan w:val="2"/>
            <w:shd w:val="clear" w:color="auto" w:fill="000000"/>
          </w:tcPr>
          <w:p>
            <w:pPr>
              <w:jc w:val="right"/>
              <w:spacing w:after="0"/>
              <w:rPr>
                <w:sz w:val="20"/>
                <w:szCs w:val="20"/>
                <w:color w:val="auto"/>
              </w:rPr>
            </w:pPr>
            <w:r>
              <w:rPr>
                <w:rFonts w:ascii="Times New Roman" w:cs="Times New Roman" w:eastAsia="Times New Roman" w:hAnsi="Times New Roman"/>
                <w:sz w:val="13"/>
                <w:szCs w:val="13"/>
                <w:b w:val="1"/>
                <w:bCs w:val="1"/>
                <w:color w:val="FFFFFF"/>
              </w:rPr>
              <w:t>Compensation Actually Paid to</w:t>
            </w:r>
          </w:p>
        </w:tc>
        <w:tc>
          <w:tcPr>
            <w:tcW w:w="140" w:type="dxa"/>
            <w:vAlign w:val="bottom"/>
            <w:shd w:val="clear" w:color="auto" w:fill="000000"/>
          </w:tcPr>
          <w:p>
            <w:pPr>
              <w:spacing w:after="0"/>
              <w:rPr>
                <w:sz w:val="16"/>
                <w:szCs w:val="16"/>
                <w:color w:val="auto"/>
              </w:rPr>
            </w:pPr>
          </w:p>
        </w:tc>
        <w:tc>
          <w:tcPr>
            <w:tcW w:w="1760" w:type="dxa"/>
            <w:vAlign w:val="bottom"/>
            <w:shd w:val="clear" w:color="auto" w:fill="000000"/>
          </w:tcPr>
          <w:p>
            <w:pPr>
              <w:jc w:val="right"/>
              <w:ind w:right="115"/>
              <w:spacing w:after="0"/>
              <w:rPr>
                <w:sz w:val="20"/>
                <w:szCs w:val="20"/>
                <w:color w:val="auto"/>
              </w:rPr>
            </w:pPr>
            <w:r>
              <w:rPr>
                <w:rFonts w:ascii="Times New Roman" w:cs="Times New Roman" w:eastAsia="Times New Roman" w:hAnsi="Times New Roman"/>
                <w:sz w:val="13"/>
                <w:szCs w:val="13"/>
                <w:b w:val="1"/>
                <w:bCs w:val="1"/>
                <w:color w:val="FFFFFF"/>
                <w:w w:val="99"/>
              </w:rPr>
              <w:t>Fiscal Year End Stock Price</w:t>
            </w:r>
          </w:p>
        </w:tc>
      </w:tr>
      <w:tr>
        <w:trPr>
          <w:trHeight w:val="122"/>
        </w:trPr>
        <w:tc>
          <w:tcPr>
            <w:tcW w:w="1480" w:type="dxa"/>
            <w:vAlign w:val="bottom"/>
            <w:shd w:val="clear" w:color="auto" w:fill="000000"/>
          </w:tcPr>
          <w:p>
            <w:pPr>
              <w:spacing w:after="0"/>
              <w:rPr>
                <w:sz w:val="10"/>
                <w:szCs w:val="10"/>
                <w:color w:val="auto"/>
              </w:rPr>
            </w:pPr>
          </w:p>
        </w:tc>
        <w:tc>
          <w:tcPr>
            <w:tcW w:w="560" w:type="dxa"/>
            <w:vAlign w:val="bottom"/>
            <w:shd w:val="clear" w:color="auto" w:fill="000000"/>
          </w:tcPr>
          <w:p>
            <w:pPr>
              <w:spacing w:after="0"/>
              <w:rPr>
                <w:sz w:val="10"/>
                <w:szCs w:val="10"/>
                <w:color w:val="auto"/>
              </w:rPr>
            </w:pPr>
          </w:p>
        </w:tc>
        <w:tc>
          <w:tcPr>
            <w:tcW w:w="16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760" w:type="dxa"/>
            <w:vAlign w:val="bottom"/>
            <w:shd w:val="clear" w:color="auto" w:fill="000000"/>
          </w:tcPr>
          <w:p>
            <w:pPr>
              <w:spacing w:after="0"/>
              <w:rPr>
                <w:sz w:val="10"/>
                <w:szCs w:val="10"/>
                <w:color w:val="auto"/>
              </w:rPr>
            </w:pPr>
          </w:p>
        </w:tc>
        <w:tc>
          <w:tcPr>
            <w:tcW w:w="180" w:type="dxa"/>
            <w:vAlign w:val="bottom"/>
            <w:shd w:val="clear" w:color="auto" w:fill="000000"/>
          </w:tcPr>
          <w:p>
            <w:pPr>
              <w:spacing w:after="0"/>
              <w:rPr>
                <w:sz w:val="10"/>
                <w:szCs w:val="10"/>
                <w:color w:val="auto"/>
              </w:rPr>
            </w:pPr>
          </w:p>
        </w:tc>
        <w:tc>
          <w:tcPr>
            <w:tcW w:w="1680" w:type="dxa"/>
            <w:vAlign w:val="bottom"/>
            <w:shd w:val="clear" w:color="auto" w:fill="000000"/>
          </w:tcPr>
          <w:p>
            <w:pPr>
              <w:spacing w:after="0"/>
              <w:rPr>
                <w:sz w:val="10"/>
                <w:szCs w:val="10"/>
                <w:color w:val="auto"/>
              </w:rPr>
            </w:pPr>
          </w:p>
        </w:tc>
        <w:tc>
          <w:tcPr>
            <w:tcW w:w="300" w:type="dxa"/>
            <w:vAlign w:val="bottom"/>
            <w:shd w:val="clear" w:color="auto" w:fill="000000"/>
          </w:tcPr>
          <w:p>
            <w:pPr>
              <w:spacing w:after="0"/>
              <w:rPr>
                <w:sz w:val="10"/>
                <w:szCs w:val="10"/>
                <w:color w:val="auto"/>
              </w:rPr>
            </w:pPr>
          </w:p>
        </w:tc>
        <w:tc>
          <w:tcPr>
            <w:tcW w:w="1580" w:type="dxa"/>
            <w:vAlign w:val="bottom"/>
            <w:shd w:val="clear" w:color="auto" w:fill="000000"/>
          </w:tcPr>
          <w:p>
            <w:pPr>
              <w:jc w:val="right"/>
              <w:ind w:right="395"/>
              <w:spacing w:after="0" w:line="122" w:lineRule="exact"/>
              <w:rPr>
                <w:sz w:val="20"/>
                <w:szCs w:val="20"/>
                <w:color w:val="auto"/>
              </w:rPr>
            </w:pPr>
            <w:r>
              <w:rPr>
                <w:rFonts w:ascii="Times New Roman" w:cs="Times New Roman" w:eastAsia="Times New Roman" w:hAnsi="Times New Roman"/>
                <w:sz w:val="13"/>
                <w:szCs w:val="13"/>
                <w:b w:val="1"/>
                <w:bCs w:val="1"/>
                <w:color w:val="FFFFFF"/>
              </w:rPr>
              <w:t>Non-CEO NEOs</w:t>
            </w:r>
          </w:p>
        </w:tc>
        <w:tc>
          <w:tcPr>
            <w:tcW w:w="140" w:type="dxa"/>
            <w:vAlign w:val="bottom"/>
            <w:shd w:val="clear" w:color="auto" w:fill="000000"/>
          </w:tcPr>
          <w:p>
            <w:pPr>
              <w:spacing w:after="0"/>
              <w:rPr>
                <w:sz w:val="10"/>
                <w:szCs w:val="10"/>
                <w:color w:val="auto"/>
              </w:rPr>
            </w:pPr>
          </w:p>
        </w:tc>
        <w:tc>
          <w:tcPr>
            <w:tcW w:w="1760" w:type="dxa"/>
            <w:vAlign w:val="bottom"/>
            <w:shd w:val="clear" w:color="auto" w:fill="000000"/>
          </w:tcPr>
          <w:p>
            <w:pPr>
              <w:spacing w:after="0"/>
              <w:rPr>
                <w:sz w:val="10"/>
                <w:szCs w:val="10"/>
                <w:color w:val="auto"/>
              </w:rPr>
            </w:pPr>
          </w:p>
        </w:tc>
      </w:tr>
      <w:tr>
        <w:trPr>
          <w:trHeight w:val="179"/>
        </w:trPr>
        <w:tc>
          <w:tcPr>
            <w:tcW w:w="1480" w:type="dxa"/>
            <w:vAlign w:val="bottom"/>
          </w:tcPr>
          <w:p>
            <w:pPr>
              <w:ind w:left="800"/>
              <w:spacing w:after="0"/>
              <w:rPr>
                <w:sz w:val="20"/>
                <w:szCs w:val="20"/>
                <w:color w:val="auto"/>
              </w:rPr>
            </w:pPr>
            <w:r>
              <w:rPr>
                <w:rFonts w:ascii="Arial" w:cs="Arial" w:eastAsia="Arial" w:hAnsi="Arial"/>
                <w:sz w:val="13"/>
                <w:szCs w:val="13"/>
                <w:color w:val="auto"/>
              </w:rPr>
              <w:t>2022</w:t>
            </w:r>
          </w:p>
        </w:tc>
        <w:tc>
          <w:tcPr>
            <w:tcW w:w="5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1,492,560</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(729,085)</w:t>
            </w:r>
          </w:p>
        </w:tc>
        <w:tc>
          <w:tcPr>
            <w:tcW w:w="18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1680" w:type="dxa"/>
            <w:vAlign w:val="bottom"/>
          </w:tcPr>
          <w:p>
            <w:pPr>
              <w:jc w:val="right"/>
              <w:spacing w:after="0"/>
              <w:rPr>
                <w:sz w:val="20"/>
                <w:szCs w:val="20"/>
                <w:color w:val="auto"/>
              </w:rPr>
            </w:pPr>
            <w:r>
              <w:rPr>
                <w:rFonts w:ascii="Arial" w:cs="Arial" w:eastAsia="Arial" w:hAnsi="Arial"/>
                <w:sz w:val="13"/>
                <w:szCs w:val="13"/>
                <w:color w:val="auto"/>
              </w:rPr>
              <w:t>582,641</w:t>
            </w:r>
          </w:p>
        </w:tc>
        <w:tc>
          <w:tcPr>
            <w:tcW w:w="300" w:type="dxa"/>
            <w:vAlign w:val="bottom"/>
          </w:tcPr>
          <w:p>
            <w:pPr>
              <w:jc w:val="right"/>
              <w:ind w:right="135"/>
              <w:spacing w:after="0"/>
              <w:rPr>
                <w:sz w:val="20"/>
                <w:szCs w:val="20"/>
                <w:color w:val="auto"/>
              </w:rPr>
            </w:pPr>
            <w:r>
              <w:rPr>
                <w:rFonts w:ascii="Arial" w:cs="Arial" w:eastAsia="Arial" w:hAnsi="Arial"/>
                <w:sz w:val="13"/>
                <w:szCs w:val="13"/>
                <w:color w:val="auto"/>
              </w:rPr>
              <w:t>$</w:t>
            </w:r>
          </w:p>
        </w:tc>
        <w:tc>
          <w:tcPr>
            <w:tcW w:w="1580" w:type="dxa"/>
            <w:vAlign w:val="bottom"/>
          </w:tcPr>
          <w:p>
            <w:pPr>
              <w:jc w:val="right"/>
              <w:spacing w:after="0"/>
              <w:rPr>
                <w:sz w:val="20"/>
                <w:szCs w:val="20"/>
                <w:color w:val="auto"/>
              </w:rPr>
            </w:pPr>
            <w:r>
              <w:rPr>
                <w:rFonts w:ascii="Arial" w:cs="Arial" w:eastAsia="Arial" w:hAnsi="Arial"/>
                <w:sz w:val="13"/>
                <w:szCs w:val="13"/>
                <w:color w:val="auto"/>
              </w:rPr>
              <w:t>1,346,116</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760" w:type="dxa"/>
            <w:vAlign w:val="bottom"/>
          </w:tcPr>
          <w:p>
            <w:pPr>
              <w:jc w:val="right"/>
              <w:spacing w:after="0"/>
              <w:rPr>
                <w:sz w:val="20"/>
                <w:szCs w:val="20"/>
                <w:color w:val="auto"/>
              </w:rPr>
            </w:pPr>
            <w:r>
              <w:rPr>
                <w:rFonts w:ascii="Arial" w:cs="Arial" w:eastAsia="Arial" w:hAnsi="Arial"/>
                <w:sz w:val="13"/>
                <w:szCs w:val="13"/>
                <w:color w:val="auto"/>
              </w:rPr>
              <w:t>58.05</w:t>
            </w:r>
          </w:p>
        </w:tc>
      </w:tr>
      <w:tr>
        <w:trPr>
          <w:trHeight w:val="186"/>
        </w:trPr>
        <w:tc>
          <w:tcPr>
            <w:tcW w:w="1480" w:type="dxa"/>
            <w:vAlign w:val="bottom"/>
            <w:shd w:val="clear" w:color="auto" w:fill="DBDBDB"/>
          </w:tcPr>
          <w:p>
            <w:pPr>
              <w:ind w:left="800"/>
              <w:spacing w:after="0"/>
              <w:rPr>
                <w:sz w:val="20"/>
                <w:szCs w:val="20"/>
                <w:color w:val="auto"/>
              </w:rPr>
            </w:pPr>
            <w:r>
              <w:rPr>
                <w:rFonts w:ascii="Arial" w:cs="Arial" w:eastAsia="Arial" w:hAnsi="Arial"/>
                <w:sz w:val="13"/>
                <w:szCs w:val="13"/>
                <w:color w:val="auto"/>
              </w:rPr>
              <w:t>2021</w:t>
            </w:r>
          </w:p>
        </w:tc>
        <w:tc>
          <w:tcPr>
            <w:tcW w:w="56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1,465,707</w:t>
            </w:r>
          </w:p>
        </w:tc>
        <w:tc>
          <w:tcPr>
            <w:tcW w:w="140" w:type="dxa"/>
            <w:vAlign w:val="bottom"/>
            <w:shd w:val="clear" w:color="auto" w:fill="DBDBDB"/>
          </w:tcPr>
          <w:p>
            <w:pPr>
              <w:spacing w:after="0"/>
              <w:rPr>
                <w:sz w:val="16"/>
                <w:szCs w:val="16"/>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(661,603)</w:t>
            </w:r>
          </w:p>
        </w:tc>
        <w:tc>
          <w:tcPr>
            <w:tcW w:w="180" w:type="dxa"/>
            <w:vAlign w:val="bottom"/>
            <w:shd w:val="clear" w:color="auto" w:fill="DBDBDB"/>
          </w:tcPr>
          <w:p>
            <w:pPr>
              <w:spacing w:after="0"/>
              <w:rPr>
                <w:sz w:val="16"/>
                <w:szCs w:val="16"/>
                <w:color w:val="auto"/>
              </w:rPr>
            </w:pPr>
          </w:p>
        </w:tc>
        <w:tc>
          <w:tcPr>
            <w:tcW w:w="16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395,481</w:t>
            </w:r>
          </w:p>
        </w:tc>
        <w:tc>
          <w:tcPr>
            <w:tcW w:w="300" w:type="dxa"/>
            <w:vAlign w:val="bottom"/>
            <w:shd w:val="clear" w:color="auto" w:fill="DBDBDB"/>
          </w:tcPr>
          <w:p>
            <w:pPr>
              <w:spacing w:after="0"/>
              <w:rPr>
                <w:sz w:val="16"/>
                <w:szCs w:val="16"/>
                <w:color w:val="auto"/>
              </w:rPr>
            </w:pPr>
          </w:p>
        </w:tc>
        <w:tc>
          <w:tcPr>
            <w:tcW w:w="1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1,199,585</w:t>
            </w:r>
          </w:p>
        </w:tc>
        <w:tc>
          <w:tcPr>
            <w:tcW w:w="140" w:type="dxa"/>
            <w:vAlign w:val="bottom"/>
            <w:shd w:val="clear" w:color="auto" w:fill="DBDBDB"/>
          </w:tcPr>
          <w:p>
            <w:pPr>
              <w:spacing w:after="0"/>
              <w:rPr>
                <w:sz w:val="16"/>
                <w:szCs w:val="16"/>
                <w:color w:val="auto"/>
              </w:rPr>
            </w:pPr>
          </w:p>
        </w:tc>
        <w:tc>
          <w:tcPr>
            <w:tcW w:w="17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47.88</w:t>
            </w:r>
          </w:p>
        </w:tc>
      </w:tr>
      <w:tr>
        <w:trPr>
          <w:trHeight w:val="176"/>
        </w:trPr>
        <w:tc>
          <w:tcPr>
            <w:tcW w:w="1480" w:type="dxa"/>
            <w:vAlign w:val="bottom"/>
          </w:tcPr>
          <w:p>
            <w:pPr>
              <w:ind w:left="800"/>
              <w:spacing w:after="0"/>
              <w:rPr>
                <w:sz w:val="20"/>
                <w:szCs w:val="20"/>
                <w:color w:val="auto"/>
              </w:rPr>
            </w:pPr>
            <w:r>
              <w:rPr>
                <w:rFonts w:ascii="Arial" w:cs="Arial" w:eastAsia="Arial" w:hAnsi="Arial"/>
                <w:sz w:val="13"/>
                <w:szCs w:val="13"/>
                <w:color w:val="auto"/>
              </w:rPr>
              <w:t>2020</w:t>
            </w:r>
          </w:p>
        </w:tc>
        <w:tc>
          <w:tcPr>
            <w:tcW w:w="56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1,577,451</w:t>
            </w:r>
          </w:p>
        </w:tc>
        <w:tc>
          <w:tcPr>
            <w:tcW w:w="1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(574,981)</w:t>
            </w:r>
          </w:p>
        </w:tc>
        <w:tc>
          <w:tcPr>
            <w:tcW w:w="1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3"/>
                <w:szCs w:val="13"/>
                <w:color w:val="auto"/>
              </w:rPr>
              <w:t>623,970</w:t>
            </w:r>
          </w:p>
        </w:tc>
        <w:tc>
          <w:tcPr>
            <w:tcW w:w="30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3"/>
                <w:szCs w:val="13"/>
                <w:color w:val="auto"/>
              </w:rPr>
              <w:t>1,626,441</w:t>
            </w:r>
          </w:p>
        </w:tc>
        <w:tc>
          <w:tcPr>
            <w:tcW w:w="14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Arial" w:cs="Arial" w:eastAsia="Arial" w:hAnsi="Arial"/>
                <w:sz w:val="13"/>
                <w:szCs w:val="13"/>
                <w:color w:val="auto"/>
              </w:rPr>
              <w:t>60.28</w:t>
            </w:r>
          </w:p>
        </w:tc>
      </w:tr>
    </w:tbl>
    <w:p>
      <w:pPr>
        <w:spacing w:after="0" w:line="157" w:lineRule="exact"/>
        <w:rPr>
          <w:sz w:val="20"/>
          <w:szCs w:val="20"/>
          <w:color w:val="auto"/>
        </w:rPr>
      </w:pPr>
    </w:p>
    <w:p>
      <w:pPr>
        <w:ind w:left="20" w:right="340" w:hanging="6"/>
        <w:spacing w:after="0" w:line="235" w:lineRule="auto"/>
        <w:tabs>
          <w:tab w:leader="none" w:pos="215"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This column reflects the aggregate grant date fair value of equity-based awards granted each year as reported in the Stock Awards column of the SCT for the applicable year, calculated in accordance with FASB ASC Topic 718.</w:t>
      </w:r>
    </w:p>
    <w:p>
      <w:pPr>
        <w:spacing w:after="0" w:line="11" w:lineRule="exact"/>
        <w:rPr>
          <w:rFonts w:ascii="Arial" w:cs="Arial" w:eastAsia="Arial" w:hAnsi="Arial"/>
          <w:sz w:val="13"/>
          <w:szCs w:val="13"/>
          <w:color w:val="auto"/>
        </w:rPr>
      </w:pPr>
    </w:p>
    <w:p>
      <w:pPr>
        <w:ind w:left="200" w:hanging="186"/>
        <w:spacing w:after="0"/>
        <w:tabs>
          <w:tab w:leader="none" w:pos="200" w:val="left"/>
        </w:tabs>
        <w:numPr>
          <w:ilvl w:val="0"/>
          <w:numId w:val="87"/>
        </w:numPr>
        <w:rPr>
          <w:rFonts w:ascii="Arial" w:cs="Arial" w:eastAsia="Arial" w:hAnsi="Arial"/>
          <w:sz w:val="13"/>
          <w:szCs w:val="13"/>
          <w:color w:val="auto"/>
        </w:rPr>
      </w:pPr>
      <w:r>
        <w:rPr>
          <w:rFonts w:ascii="Arial" w:cs="Arial" w:eastAsia="Arial" w:hAnsi="Arial"/>
          <w:sz w:val="13"/>
          <w:szCs w:val="13"/>
          <w:color w:val="auto"/>
        </w:rPr>
        <w:t>This column reflects the value of equity-based awards calculated in accordance with Item 402(v) of Regulation S-K as required pursuant to SEC rules.</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CEO CAP Reconciliation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1580" w:type="dxa"/>
            <w:vAlign w:val="bottom"/>
            <w:shd w:val="clear" w:color="auto" w:fill="000000"/>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32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w w:val="97"/>
              </w:rPr>
              <w:t>Year-End Value of</w:t>
            </w: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Change in Value as of Year</w:t>
            </w:r>
          </w:p>
        </w:tc>
        <w:tc>
          <w:tcPr>
            <w:tcW w:w="140" w:type="dxa"/>
            <w:vAlign w:val="bottom"/>
            <w:shd w:val="clear" w:color="auto" w:fill="000000"/>
          </w:tcPr>
          <w:p>
            <w:pPr>
              <w:spacing w:after="0"/>
              <w:rPr>
                <w:sz w:val="4"/>
                <w:szCs w:val="4"/>
                <w:color w:val="auto"/>
              </w:rPr>
            </w:pPr>
          </w:p>
        </w:tc>
        <w:tc>
          <w:tcPr>
            <w:tcW w:w="1460" w:type="dxa"/>
            <w:vAlign w:val="bottom"/>
            <w:vMerge w:val="restart"/>
            <w:shd w:val="clear" w:color="auto" w:fill="000000"/>
          </w:tcPr>
          <w:p>
            <w:pPr>
              <w:jc w:val="center"/>
              <w:ind w:right="55"/>
              <w:spacing w:after="0"/>
              <w:rPr>
                <w:sz w:val="20"/>
                <w:szCs w:val="20"/>
                <w:color w:val="auto"/>
              </w:rPr>
            </w:pPr>
            <w:r>
              <w:rPr>
                <w:rFonts w:ascii="Times New Roman" w:cs="Times New Roman" w:eastAsia="Times New Roman" w:hAnsi="Times New Roman"/>
                <w:sz w:val="13"/>
                <w:szCs w:val="13"/>
                <w:b w:val="1"/>
                <w:bCs w:val="1"/>
                <w:color w:val="FFFFFF"/>
                <w:w w:val="99"/>
              </w:rPr>
              <w:t>Changes in Value as of</w:t>
            </w: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Value as of the Vesting Date</w:t>
            </w:r>
          </w:p>
        </w:tc>
        <w:tc>
          <w:tcPr>
            <w:tcW w:w="100" w:type="dxa"/>
            <w:vAlign w:val="bottom"/>
            <w:shd w:val="clear" w:color="auto" w:fill="000000"/>
          </w:tcPr>
          <w:p>
            <w:pPr>
              <w:spacing w:after="0"/>
              <w:rPr>
                <w:sz w:val="4"/>
                <w:szCs w:val="4"/>
                <w:color w:val="auto"/>
              </w:rPr>
            </w:pPr>
          </w:p>
        </w:tc>
        <w:tc>
          <w:tcPr>
            <w:tcW w:w="150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w w:val="98"/>
              </w:rPr>
              <w:t>Value as of Year End for</w:t>
            </w:r>
          </w:p>
        </w:tc>
        <w:tc>
          <w:tcPr>
            <w:tcW w:w="140" w:type="dxa"/>
            <w:vAlign w:val="bottom"/>
            <w:shd w:val="clear" w:color="auto" w:fill="000000"/>
          </w:tcPr>
          <w:p>
            <w:pPr>
              <w:spacing w:after="0"/>
              <w:rPr>
                <w:sz w:val="4"/>
                <w:szCs w:val="4"/>
                <w:color w:val="auto"/>
              </w:rPr>
            </w:pPr>
          </w:p>
        </w:tc>
        <w:tc>
          <w:tcPr>
            <w:tcW w:w="16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158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1320" w:type="dxa"/>
            <w:vAlign w:val="bottom"/>
            <w:vMerge w:val="continue"/>
            <w:shd w:val="clear" w:color="auto" w:fill="000000"/>
          </w:tcPr>
          <w:p>
            <w:pPr>
              <w:spacing w:after="0"/>
              <w:rPr>
                <w:sz w:val="8"/>
                <w:szCs w:val="8"/>
                <w:color w:val="auto"/>
              </w:rPr>
            </w:pPr>
          </w:p>
        </w:tc>
        <w:tc>
          <w:tcPr>
            <w:tcW w:w="1600" w:type="dxa"/>
            <w:vAlign w:val="bottom"/>
            <w:gridSpan w:val="2"/>
            <w:vMerge w:val="continue"/>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1460" w:type="dxa"/>
            <w:vAlign w:val="bottom"/>
            <w:vMerge w:val="continue"/>
            <w:shd w:val="clear" w:color="auto" w:fill="000000"/>
          </w:tcPr>
          <w:p>
            <w:pPr>
              <w:spacing w:after="0"/>
              <w:rPr>
                <w:sz w:val="8"/>
                <w:szCs w:val="8"/>
                <w:color w:val="auto"/>
              </w:rPr>
            </w:pPr>
          </w:p>
        </w:tc>
        <w:tc>
          <w:tcPr>
            <w:tcW w:w="1600" w:type="dxa"/>
            <w:vAlign w:val="bottom"/>
            <w:gridSpan w:val="2"/>
            <w:vMerge w:val="continue"/>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1500" w:type="dxa"/>
            <w:vAlign w:val="bottom"/>
            <w:vMerge w:val="continue"/>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16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58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Year</w:t>
            </w:r>
          </w:p>
        </w:tc>
        <w:tc>
          <w:tcPr>
            <w:tcW w:w="120" w:type="dxa"/>
            <w:vAlign w:val="bottom"/>
            <w:shd w:val="clear" w:color="auto" w:fill="000000"/>
          </w:tcPr>
          <w:p>
            <w:pPr>
              <w:spacing w:after="0"/>
              <w:rPr>
                <w:sz w:val="5"/>
                <w:szCs w:val="5"/>
                <w:color w:val="auto"/>
              </w:rPr>
            </w:pPr>
          </w:p>
        </w:tc>
        <w:tc>
          <w:tcPr>
            <w:tcW w:w="1320" w:type="dxa"/>
            <w:vAlign w:val="bottom"/>
            <w:vMerge w:val="restart"/>
            <w:shd w:val="clear" w:color="auto" w:fill="000000"/>
          </w:tcPr>
          <w:p>
            <w:pPr>
              <w:jc w:val="center"/>
              <w:ind w:right="15"/>
              <w:spacing w:after="0"/>
              <w:rPr>
                <w:sz w:val="20"/>
                <w:szCs w:val="20"/>
                <w:color w:val="auto"/>
              </w:rPr>
            </w:pPr>
            <w:r>
              <w:rPr>
                <w:rFonts w:ascii="Times New Roman" w:cs="Times New Roman" w:eastAsia="Times New Roman" w:hAnsi="Times New Roman"/>
                <w:sz w:val="13"/>
                <w:szCs w:val="13"/>
                <w:b w:val="1"/>
                <w:bCs w:val="1"/>
                <w:color w:val="FFFFFF"/>
                <w:w w:val="97"/>
              </w:rPr>
              <w:t>Current Year Awards</w:t>
            </w:r>
          </w:p>
        </w:tc>
        <w:tc>
          <w:tcPr>
            <w:tcW w:w="1600" w:type="dxa"/>
            <w:vAlign w:val="bottom"/>
            <w:gridSpan w:val="2"/>
            <w:vMerge w:val="continue"/>
            <w:shd w:val="clear" w:color="auto" w:fill="000000"/>
          </w:tcPr>
          <w:p>
            <w:pPr>
              <w:spacing w:after="0"/>
              <w:rPr>
                <w:sz w:val="5"/>
                <w:szCs w:val="5"/>
                <w:color w:val="auto"/>
              </w:rPr>
            </w:pP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Vesting Date for Prior Year</w:t>
            </w:r>
          </w:p>
        </w:tc>
        <w:tc>
          <w:tcPr>
            <w:tcW w:w="120" w:type="dxa"/>
            <w:vAlign w:val="bottom"/>
            <w:shd w:val="clear" w:color="auto" w:fill="000000"/>
          </w:tcPr>
          <w:p>
            <w:pPr>
              <w:spacing w:after="0"/>
              <w:rPr>
                <w:sz w:val="5"/>
                <w:szCs w:val="5"/>
                <w:color w:val="auto"/>
              </w:rPr>
            </w:pPr>
          </w:p>
        </w:tc>
        <w:tc>
          <w:tcPr>
            <w:tcW w:w="148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rPr>
              <w:t>for any Dividend</w:t>
            </w:r>
          </w:p>
        </w:tc>
        <w:tc>
          <w:tcPr>
            <w:tcW w:w="100" w:type="dxa"/>
            <w:vAlign w:val="bottom"/>
            <w:shd w:val="clear" w:color="auto" w:fill="000000"/>
          </w:tcPr>
          <w:p>
            <w:pPr>
              <w:spacing w:after="0"/>
              <w:rPr>
                <w:sz w:val="5"/>
                <w:szCs w:val="5"/>
                <w:color w:val="auto"/>
              </w:rPr>
            </w:pPr>
          </w:p>
        </w:tc>
        <w:tc>
          <w:tcPr>
            <w:tcW w:w="1500" w:type="dxa"/>
            <w:vAlign w:val="bottom"/>
            <w:vMerge w:val="continue"/>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20" w:type="dxa"/>
            <w:vAlign w:val="bottom"/>
            <w:vMerge w:val="restart"/>
            <w:shd w:val="clear" w:color="auto" w:fill="000000"/>
          </w:tcPr>
          <w:p>
            <w:pPr>
              <w:jc w:val="center"/>
              <w:ind w:right="75"/>
              <w:spacing w:after="0"/>
              <w:rPr>
                <w:sz w:val="20"/>
                <w:szCs w:val="20"/>
                <w:color w:val="auto"/>
              </w:rPr>
            </w:pPr>
            <w:r>
              <w:rPr>
                <w:rFonts w:ascii="Times New Roman" w:cs="Times New Roman" w:eastAsia="Times New Roman" w:hAnsi="Times New Roman"/>
                <w:sz w:val="13"/>
                <w:szCs w:val="13"/>
                <w:b w:val="1"/>
                <w:bCs w:val="1"/>
                <w:color w:val="FFFFFF"/>
                <w:w w:val="99"/>
              </w:rPr>
              <w:t>Value of Equity for CAP</w:t>
            </w:r>
          </w:p>
        </w:tc>
        <w:tc>
          <w:tcPr>
            <w:tcW w:w="0" w:type="dxa"/>
            <w:vAlign w:val="bottom"/>
          </w:tcPr>
          <w:p>
            <w:pPr>
              <w:spacing w:after="0"/>
              <w:rPr>
                <w:sz w:val="1"/>
                <w:szCs w:val="1"/>
                <w:color w:val="auto"/>
              </w:rPr>
            </w:pPr>
          </w:p>
        </w:tc>
      </w:tr>
      <w:tr>
        <w:trPr>
          <w:trHeight w:val="132"/>
        </w:trPr>
        <w:tc>
          <w:tcPr>
            <w:tcW w:w="1580" w:type="dxa"/>
            <w:vAlign w:val="bottom"/>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320" w:type="dxa"/>
            <w:vAlign w:val="bottom"/>
            <w:vMerge w:val="continue"/>
            <w:shd w:val="clear" w:color="auto" w:fill="000000"/>
          </w:tcPr>
          <w:p>
            <w:pPr>
              <w:spacing w:after="0"/>
              <w:rPr>
                <w:sz w:val="11"/>
                <w:szCs w:val="11"/>
                <w:color w:val="auto"/>
              </w:rPr>
            </w:pPr>
          </w:p>
        </w:tc>
        <w:tc>
          <w:tcPr>
            <w:tcW w:w="1600" w:type="dxa"/>
            <w:vAlign w:val="bottom"/>
            <w:gridSpan w:val="2"/>
            <w:shd w:val="clear" w:color="auto" w:fill="000000"/>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FFFFFF"/>
                <w:w w:val="97"/>
              </w:rPr>
              <w:t>End for Prior Year Awards</w:t>
            </w:r>
          </w:p>
        </w:tc>
        <w:tc>
          <w:tcPr>
            <w:tcW w:w="1600" w:type="dxa"/>
            <w:vAlign w:val="bottom"/>
            <w:gridSpan w:val="2"/>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480" w:type="dxa"/>
            <w:vAlign w:val="bottom"/>
            <w:vMerge w:val="continue"/>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500" w:type="dxa"/>
            <w:vAlign w:val="bottom"/>
            <w:shd w:val="clear" w:color="auto" w:fill="000000"/>
          </w:tcPr>
          <w:p>
            <w:pPr>
              <w:jc w:val="center"/>
              <w:ind w:right="35"/>
              <w:spacing w:after="0" w:line="132" w:lineRule="exact"/>
              <w:rPr>
                <w:sz w:val="20"/>
                <w:szCs w:val="20"/>
                <w:color w:val="auto"/>
              </w:rPr>
            </w:pPr>
            <w:r>
              <w:rPr>
                <w:rFonts w:ascii="Times New Roman" w:cs="Times New Roman" w:eastAsia="Times New Roman" w:hAnsi="Times New Roman"/>
                <w:sz w:val="13"/>
                <w:szCs w:val="13"/>
                <w:b w:val="1"/>
                <w:bCs w:val="1"/>
                <w:color w:val="FFFFFF"/>
                <w:w w:val="97"/>
              </w:rPr>
              <w:t>Prior Year Awards</w:t>
            </w:r>
          </w:p>
        </w:tc>
        <w:tc>
          <w:tcPr>
            <w:tcW w:w="140" w:type="dxa"/>
            <w:vAlign w:val="bottom"/>
            <w:shd w:val="clear" w:color="auto" w:fill="000000"/>
          </w:tcPr>
          <w:p>
            <w:pPr>
              <w:spacing w:after="0"/>
              <w:rPr>
                <w:sz w:val="11"/>
                <w:szCs w:val="11"/>
                <w:color w:val="auto"/>
              </w:rPr>
            </w:pPr>
          </w:p>
        </w:tc>
        <w:tc>
          <w:tcPr>
            <w:tcW w:w="162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000000"/>
          </w:tcPr>
          <w:p>
            <w:pPr>
              <w:spacing w:after="0"/>
              <w:rPr>
                <w:sz w:val="11"/>
                <w:szCs w:val="11"/>
                <w:color w:val="auto"/>
              </w:rPr>
            </w:pPr>
          </w:p>
        </w:tc>
        <w:tc>
          <w:tcPr>
            <w:tcW w:w="144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Outstanding as of Fiscal</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Outstanding as of Year End</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Awards that Vested during</w:t>
            </w:r>
          </w:p>
        </w:tc>
        <w:tc>
          <w:tcPr>
            <w:tcW w:w="120" w:type="dxa"/>
            <w:vAlign w:val="bottom"/>
            <w:shd w:val="clear" w:color="auto" w:fill="000000"/>
          </w:tcPr>
          <w:p>
            <w:pPr>
              <w:spacing w:after="0"/>
              <w:rPr>
                <w:sz w:val="11"/>
                <w:szCs w:val="11"/>
                <w:color w:val="auto"/>
              </w:rPr>
            </w:pPr>
          </w:p>
        </w:tc>
        <w:tc>
          <w:tcPr>
            <w:tcW w:w="1480" w:type="dxa"/>
            <w:vAlign w:val="bottom"/>
            <w:shd w:val="clear" w:color="auto" w:fill="000000"/>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FFFFFF"/>
                <w:w w:val="98"/>
              </w:rPr>
              <w:t>Equivalents that Vested</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8"/>
              </w:rPr>
              <w:t>Forfeited During the Year</w:t>
            </w:r>
          </w:p>
        </w:tc>
        <w:tc>
          <w:tcPr>
            <w:tcW w:w="140" w:type="dxa"/>
            <w:vAlign w:val="bottom"/>
            <w:shd w:val="clear" w:color="auto" w:fill="000000"/>
          </w:tcPr>
          <w:p>
            <w:pPr>
              <w:spacing w:after="0"/>
              <w:rPr>
                <w:sz w:val="11"/>
                <w:szCs w:val="11"/>
                <w:color w:val="auto"/>
              </w:rPr>
            </w:pPr>
          </w:p>
        </w:tc>
        <w:tc>
          <w:tcPr>
            <w:tcW w:w="1620" w:type="dxa"/>
            <w:vAlign w:val="bottom"/>
            <w:shd w:val="clear" w:color="auto" w:fill="000000"/>
          </w:tcPr>
          <w:p>
            <w:pPr>
              <w:jc w:val="center"/>
              <w:ind w:right="75"/>
              <w:spacing w:after="0" w:line="134" w:lineRule="exact"/>
              <w:rPr>
                <w:sz w:val="20"/>
                <w:szCs w:val="20"/>
                <w:color w:val="auto"/>
              </w:rPr>
            </w:pPr>
            <w:r>
              <w:rPr>
                <w:rFonts w:ascii="Times New Roman" w:cs="Times New Roman" w:eastAsia="Times New Roman" w:hAnsi="Times New Roman"/>
                <w:sz w:val="13"/>
                <w:szCs w:val="13"/>
                <w:b w:val="1"/>
                <w:bCs w:val="1"/>
                <w:color w:val="FFFFFF"/>
              </w:rPr>
              <w:t>Purposes</w:t>
            </w:r>
          </w:p>
        </w:tc>
        <w:tc>
          <w:tcPr>
            <w:tcW w:w="0" w:type="dxa"/>
            <w:vAlign w:val="bottom"/>
          </w:tcPr>
          <w:p>
            <w:pPr>
              <w:spacing w:after="0"/>
              <w:rPr>
                <w:sz w:val="1"/>
                <w:szCs w:val="1"/>
                <w:color w:val="auto"/>
              </w:rPr>
            </w:pPr>
          </w:p>
        </w:tc>
      </w:tr>
      <w:tr>
        <w:trPr>
          <w:trHeight w:val="122"/>
        </w:trPr>
        <w:tc>
          <w:tcPr>
            <w:tcW w:w="158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320" w:type="dxa"/>
            <w:vAlign w:val="bottom"/>
            <w:shd w:val="clear" w:color="auto" w:fill="000000"/>
          </w:tcPr>
          <w:p>
            <w:pPr>
              <w:jc w:val="center"/>
              <w:ind w:right="15"/>
              <w:spacing w:after="0" w:line="122" w:lineRule="exact"/>
              <w:rPr>
                <w:sz w:val="20"/>
                <w:szCs w:val="20"/>
                <w:color w:val="auto"/>
              </w:rPr>
            </w:pPr>
            <w:r>
              <w:rPr>
                <w:rFonts w:ascii="Times New Roman" w:cs="Times New Roman" w:eastAsia="Times New Roman" w:hAnsi="Times New Roman"/>
                <w:sz w:val="13"/>
                <w:szCs w:val="13"/>
                <w:b w:val="1"/>
                <w:bCs w:val="1"/>
                <w:color w:val="FFFFFF"/>
                <w:w w:val="96"/>
              </w:rPr>
              <w:t>Year End</w:t>
            </w:r>
          </w:p>
        </w:tc>
        <w:tc>
          <w:tcPr>
            <w:tcW w:w="420" w:type="dxa"/>
            <w:vAlign w:val="bottom"/>
            <w:shd w:val="clear" w:color="auto" w:fill="000000"/>
          </w:tcPr>
          <w:p>
            <w:pPr>
              <w:spacing w:after="0"/>
              <w:rPr>
                <w:sz w:val="10"/>
                <w:szCs w:val="10"/>
                <w:color w:val="auto"/>
              </w:rPr>
            </w:pPr>
          </w:p>
        </w:tc>
        <w:tc>
          <w:tcPr>
            <w:tcW w:w="11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460" w:type="dxa"/>
            <w:vAlign w:val="bottom"/>
            <w:shd w:val="clear" w:color="auto" w:fill="000000"/>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FFFFFF"/>
                <w:w w:val="95"/>
              </w:rPr>
              <w:t>the Year</w:t>
            </w:r>
          </w:p>
        </w:tc>
        <w:tc>
          <w:tcPr>
            <w:tcW w:w="120" w:type="dxa"/>
            <w:vAlign w:val="bottom"/>
            <w:shd w:val="clear" w:color="auto" w:fill="000000"/>
          </w:tcPr>
          <w:p>
            <w:pPr>
              <w:spacing w:after="0"/>
              <w:rPr>
                <w:sz w:val="10"/>
                <w:szCs w:val="10"/>
                <w:color w:val="auto"/>
              </w:rPr>
            </w:pPr>
          </w:p>
        </w:tc>
        <w:tc>
          <w:tcPr>
            <w:tcW w:w="1480" w:type="dxa"/>
            <w:vAlign w:val="bottom"/>
            <w:shd w:val="clear" w:color="auto" w:fill="000000"/>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FFFFFF"/>
                <w:w w:val="96"/>
              </w:rPr>
              <w:t>During Year</w:t>
            </w:r>
          </w:p>
        </w:tc>
        <w:tc>
          <w:tcPr>
            <w:tcW w:w="100" w:type="dxa"/>
            <w:vAlign w:val="bottom"/>
            <w:shd w:val="clear" w:color="auto" w:fill="000000"/>
          </w:tcPr>
          <w:p>
            <w:pPr>
              <w:spacing w:after="0"/>
              <w:rPr>
                <w:sz w:val="10"/>
                <w:szCs w:val="10"/>
                <w:color w:val="auto"/>
              </w:rPr>
            </w:pPr>
          </w:p>
        </w:tc>
        <w:tc>
          <w:tcPr>
            <w:tcW w:w="150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6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vMerge w:val="restart"/>
            <w:shd w:val="clear" w:color="auto" w:fill="000000"/>
          </w:tcPr>
          <w:p>
            <w:pPr>
              <w:jc w:val="center"/>
              <w:ind w:right="15"/>
              <w:spacing w:after="0"/>
              <w:rPr>
                <w:sz w:val="20"/>
                <w:szCs w:val="20"/>
                <w:color w:val="auto"/>
              </w:rPr>
            </w:pPr>
            <w:r>
              <w:rPr>
                <w:rFonts w:ascii="Arial" w:cs="Arial" w:eastAsia="Arial" w:hAnsi="Arial"/>
                <w:sz w:val="13"/>
                <w:szCs w:val="13"/>
                <w:color w:val="FFFFFF"/>
              </w:rPr>
              <w:t>(a)</w:t>
            </w:r>
          </w:p>
        </w:tc>
        <w:tc>
          <w:tcPr>
            <w:tcW w:w="42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000000"/>
          </w:tcPr>
          <w:p>
            <w:pPr>
              <w:jc w:val="center"/>
              <w:ind w:right="315"/>
              <w:spacing w:after="0"/>
              <w:rPr>
                <w:sz w:val="20"/>
                <w:szCs w:val="20"/>
                <w:color w:val="auto"/>
              </w:rPr>
            </w:pPr>
            <w:r>
              <w:rPr>
                <w:rFonts w:ascii="Arial" w:cs="Arial" w:eastAsia="Arial" w:hAnsi="Arial"/>
                <w:sz w:val="13"/>
                <w:szCs w:val="13"/>
                <w:color w:val="FFFFFF"/>
              </w:rPr>
              <w:t>(b)</w:t>
            </w:r>
          </w:p>
        </w:tc>
        <w:tc>
          <w:tcPr>
            <w:tcW w:w="140" w:type="dxa"/>
            <w:vAlign w:val="bottom"/>
            <w:shd w:val="clear" w:color="auto" w:fill="000000"/>
          </w:tcPr>
          <w:p>
            <w:pPr>
              <w:spacing w:after="0" w:line="20" w:lineRule="exact"/>
              <w:rPr>
                <w:sz w:val="1"/>
                <w:szCs w:val="1"/>
                <w:color w:val="auto"/>
              </w:rPr>
            </w:pPr>
          </w:p>
        </w:tc>
        <w:tc>
          <w:tcPr>
            <w:tcW w:w="1460" w:type="dxa"/>
            <w:vAlign w:val="bottom"/>
            <w:vMerge w:val="restart"/>
            <w:shd w:val="clear" w:color="auto" w:fill="000000"/>
          </w:tcPr>
          <w:p>
            <w:pPr>
              <w:jc w:val="center"/>
              <w:ind w:right="55"/>
              <w:spacing w:after="0"/>
              <w:rPr>
                <w:sz w:val="20"/>
                <w:szCs w:val="20"/>
                <w:color w:val="auto"/>
              </w:rPr>
            </w:pPr>
            <w:r>
              <w:rPr>
                <w:rFonts w:ascii="Arial" w:cs="Arial" w:eastAsia="Arial" w:hAnsi="Arial"/>
                <w:sz w:val="13"/>
                <w:szCs w:val="13"/>
                <w:color w:val="FFFFFF"/>
                <w:w w:val="92"/>
              </w:rPr>
              <w:t>(c)</w:t>
            </w:r>
          </w:p>
        </w:tc>
        <w:tc>
          <w:tcPr>
            <w:tcW w:w="120" w:type="dxa"/>
            <w:vAlign w:val="bottom"/>
            <w:shd w:val="clear" w:color="auto" w:fill="000000"/>
          </w:tcPr>
          <w:p>
            <w:pPr>
              <w:spacing w:after="0" w:line="20" w:lineRule="exact"/>
              <w:rPr>
                <w:sz w:val="1"/>
                <w:szCs w:val="1"/>
                <w:color w:val="auto"/>
              </w:rPr>
            </w:pPr>
          </w:p>
        </w:tc>
        <w:tc>
          <w:tcPr>
            <w:tcW w:w="1480" w:type="dxa"/>
            <w:vAlign w:val="bottom"/>
            <w:vMerge w:val="restart"/>
            <w:shd w:val="clear" w:color="auto" w:fill="000000"/>
          </w:tcPr>
          <w:p>
            <w:pPr>
              <w:jc w:val="center"/>
              <w:ind w:right="55"/>
              <w:spacing w:after="0"/>
              <w:rPr>
                <w:sz w:val="20"/>
                <w:szCs w:val="20"/>
                <w:color w:val="auto"/>
              </w:rPr>
            </w:pPr>
            <w:r>
              <w:rPr>
                <w:rFonts w:ascii="Arial" w:cs="Arial" w:eastAsia="Arial" w:hAnsi="Arial"/>
                <w:sz w:val="13"/>
                <w:szCs w:val="13"/>
                <w:color w:val="FFFFFF"/>
              </w:rPr>
              <w:t>(d)</w:t>
            </w:r>
          </w:p>
        </w:tc>
        <w:tc>
          <w:tcPr>
            <w:tcW w:w="100" w:type="dxa"/>
            <w:vAlign w:val="bottom"/>
            <w:shd w:val="clear" w:color="auto" w:fill="000000"/>
          </w:tcPr>
          <w:p>
            <w:pPr>
              <w:spacing w:after="0" w:line="20" w:lineRule="exact"/>
              <w:rPr>
                <w:sz w:val="1"/>
                <w:szCs w:val="1"/>
                <w:color w:val="auto"/>
              </w:rPr>
            </w:pPr>
          </w:p>
        </w:tc>
        <w:tc>
          <w:tcPr>
            <w:tcW w:w="1500" w:type="dxa"/>
            <w:vAlign w:val="bottom"/>
            <w:vMerge w:val="restart"/>
            <w:shd w:val="clear" w:color="auto" w:fill="000000"/>
          </w:tcPr>
          <w:p>
            <w:pPr>
              <w:jc w:val="center"/>
              <w:ind w:right="35"/>
              <w:spacing w:after="0"/>
              <w:rPr>
                <w:sz w:val="20"/>
                <w:szCs w:val="20"/>
                <w:color w:val="auto"/>
              </w:rPr>
            </w:pPr>
            <w:r>
              <w:rPr>
                <w:rFonts w:ascii="Arial" w:cs="Arial" w:eastAsia="Arial" w:hAnsi="Arial"/>
                <w:sz w:val="13"/>
                <w:szCs w:val="13"/>
                <w:color w:val="FFFFFF"/>
              </w:rPr>
              <w:t>(e)</w:t>
            </w:r>
          </w:p>
        </w:tc>
        <w:tc>
          <w:tcPr>
            <w:tcW w:w="140" w:type="dxa"/>
            <w:vAlign w:val="bottom"/>
            <w:shd w:val="clear" w:color="auto" w:fill="000000"/>
          </w:tcPr>
          <w:p>
            <w:pPr>
              <w:spacing w:after="0" w:line="20" w:lineRule="exact"/>
              <w:rPr>
                <w:sz w:val="1"/>
                <w:szCs w:val="1"/>
                <w:color w:val="auto"/>
              </w:rPr>
            </w:pPr>
          </w:p>
        </w:tc>
        <w:tc>
          <w:tcPr>
            <w:tcW w:w="1620" w:type="dxa"/>
            <w:vAlign w:val="bottom"/>
            <w:vMerge w:val="restart"/>
            <w:shd w:val="clear" w:color="auto" w:fill="000000"/>
          </w:tcPr>
          <w:p>
            <w:pPr>
              <w:jc w:val="center"/>
              <w:ind w:right="75"/>
              <w:spacing w:after="0"/>
              <w:rPr>
                <w:sz w:val="20"/>
                <w:szCs w:val="20"/>
                <w:color w:val="auto"/>
              </w:rPr>
            </w:pPr>
            <w:r>
              <w:rPr>
                <w:rFonts w:ascii="Arial" w:cs="Arial" w:eastAsia="Arial" w:hAnsi="Arial"/>
                <w:sz w:val="13"/>
                <w:szCs w:val="13"/>
                <w:color w:val="FFFFFF"/>
                <w:w w:val="98"/>
              </w:rPr>
              <w:t>(a)+(b)+(c)+(d)+(e)</w:t>
            </w:r>
          </w:p>
        </w:tc>
        <w:tc>
          <w:tcPr>
            <w:tcW w:w="0" w:type="dxa"/>
            <w:vAlign w:val="bottom"/>
          </w:tcPr>
          <w:p>
            <w:pPr>
              <w:spacing w:after="0" w:line="20" w:lineRule="exact"/>
              <w:rPr>
                <w:sz w:val="1"/>
                <w:szCs w:val="1"/>
                <w:color w:val="auto"/>
              </w:rPr>
            </w:pPr>
          </w:p>
        </w:tc>
      </w:tr>
      <w:tr>
        <w:trPr>
          <w:trHeight w:val="172"/>
        </w:trPr>
        <w:tc>
          <w:tcPr>
            <w:tcW w:w="1580" w:type="dxa"/>
            <w:vAlign w:val="bottom"/>
            <w:tcBorders>
              <w:bottom w:val="single" w:sz="8" w:color="auto"/>
            </w:tcBorders>
            <w:shd w:val="clear" w:color="auto" w:fill="000000"/>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1320" w:type="dxa"/>
            <w:vAlign w:val="bottom"/>
            <w:tcBorders>
              <w:bottom w:val="single" w:sz="8" w:color="auto"/>
            </w:tcBorders>
            <w:vMerge w:val="continue"/>
            <w:shd w:val="clear" w:color="auto" w:fill="000000"/>
          </w:tcPr>
          <w:p>
            <w:pPr>
              <w:spacing w:after="0"/>
              <w:rPr>
                <w:sz w:val="14"/>
                <w:szCs w:val="14"/>
                <w:color w:val="auto"/>
              </w:rPr>
            </w:pPr>
          </w:p>
        </w:tc>
        <w:tc>
          <w:tcPr>
            <w:tcW w:w="420" w:type="dxa"/>
            <w:vAlign w:val="bottom"/>
            <w:tcBorders>
              <w:bottom w:val="single" w:sz="8" w:color="auto"/>
            </w:tcBorders>
            <w:shd w:val="clear" w:color="auto" w:fill="000000"/>
          </w:tcPr>
          <w:p>
            <w:pPr>
              <w:spacing w:after="0"/>
              <w:rPr>
                <w:sz w:val="14"/>
                <w:szCs w:val="14"/>
                <w:color w:val="auto"/>
              </w:rPr>
            </w:pPr>
          </w:p>
        </w:tc>
        <w:tc>
          <w:tcPr>
            <w:tcW w:w="1180" w:type="dxa"/>
            <w:vAlign w:val="bottom"/>
            <w:tcBorders>
              <w:bottom w:val="single" w:sz="8" w:color="auto"/>
            </w:tcBorders>
            <w:vMerge w:val="continue"/>
            <w:shd w:val="clear" w:color="auto" w:fill="000000"/>
          </w:tcPr>
          <w:p>
            <w:pPr>
              <w:spacing w:after="0"/>
              <w:rPr>
                <w:sz w:val="14"/>
                <w:szCs w:val="14"/>
                <w:color w:val="auto"/>
              </w:rPr>
            </w:pPr>
          </w:p>
        </w:tc>
        <w:tc>
          <w:tcPr>
            <w:tcW w:w="140" w:type="dxa"/>
            <w:vAlign w:val="bottom"/>
            <w:tcBorders>
              <w:bottom w:val="single" w:sz="8" w:color="auto"/>
            </w:tcBorders>
            <w:shd w:val="clear" w:color="auto" w:fill="000000"/>
          </w:tcPr>
          <w:p>
            <w:pPr>
              <w:spacing w:after="0"/>
              <w:rPr>
                <w:sz w:val="14"/>
                <w:szCs w:val="14"/>
                <w:color w:val="auto"/>
              </w:rPr>
            </w:pPr>
          </w:p>
        </w:tc>
        <w:tc>
          <w:tcPr>
            <w:tcW w:w="1460" w:type="dxa"/>
            <w:vAlign w:val="bottom"/>
            <w:tcBorders>
              <w:bottom w:val="single" w:sz="8" w:color="auto"/>
            </w:tcBorders>
            <w:vMerge w:val="continue"/>
            <w:shd w:val="clear" w:color="auto" w:fill="000000"/>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1480" w:type="dxa"/>
            <w:vAlign w:val="bottom"/>
            <w:tcBorders>
              <w:bottom w:val="single" w:sz="8" w:color="auto"/>
            </w:tcBorders>
            <w:vMerge w:val="continue"/>
            <w:shd w:val="clear" w:color="auto" w:fill="000000"/>
          </w:tcPr>
          <w:p>
            <w:pPr>
              <w:spacing w:after="0"/>
              <w:rPr>
                <w:sz w:val="14"/>
                <w:szCs w:val="14"/>
                <w:color w:val="auto"/>
              </w:rPr>
            </w:pPr>
          </w:p>
        </w:tc>
        <w:tc>
          <w:tcPr>
            <w:tcW w:w="100" w:type="dxa"/>
            <w:vAlign w:val="bottom"/>
            <w:tcBorders>
              <w:bottom w:val="single" w:sz="8" w:color="auto"/>
            </w:tcBorders>
            <w:shd w:val="clear" w:color="auto" w:fill="000000"/>
          </w:tcPr>
          <w:p>
            <w:pPr>
              <w:spacing w:after="0"/>
              <w:rPr>
                <w:sz w:val="14"/>
                <w:szCs w:val="14"/>
                <w:color w:val="auto"/>
              </w:rPr>
            </w:pPr>
          </w:p>
        </w:tc>
        <w:tc>
          <w:tcPr>
            <w:tcW w:w="1500" w:type="dxa"/>
            <w:vAlign w:val="bottom"/>
            <w:tcBorders>
              <w:bottom w:val="single" w:sz="8" w:color="auto"/>
            </w:tcBorders>
            <w:vMerge w:val="continue"/>
            <w:shd w:val="clear" w:color="auto" w:fill="000000"/>
          </w:tcPr>
          <w:p>
            <w:pPr>
              <w:spacing w:after="0"/>
              <w:rPr>
                <w:sz w:val="14"/>
                <w:szCs w:val="14"/>
                <w:color w:val="auto"/>
              </w:rPr>
            </w:pPr>
          </w:p>
        </w:tc>
        <w:tc>
          <w:tcPr>
            <w:tcW w:w="140" w:type="dxa"/>
            <w:vAlign w:val="bottom"/>
            <w:tcBorders>
              <w:bottom w:val="single" w:sz="8" w:color="auto"/>
            </w:tcBorders>
            <w:shd w:val="clear" w:color="auto" w:fill="000000"/>
          </w:tcPr>
          <w:p>
            <w:pPr>
              <w:spacing w:after="0"/>
              <w:rPr>
                <w:sz w:val="14"/>
                <w:szCs w:val="14"/>
                <w:color w:val="auto"/>
              </w:rPr>
            </w:pPr>
          </w:p>
        </w:tc>
        <w:tc>
          <w:tcPr>
            <w:tcW w:w="1620" w:type="dxa"/>
            <w:vAlign w:val="bottom"/>
            <w:tcBorders>
              <w:bottom w:val="single" w:sz="8" w:color="auto"/>
            </w:tcBorders>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jc w:val="center"/>
              <w:spacing w:after="0"/>
              <w:rPr>
                <w:sz w:val="20"/>
                <w:szCs w:val="20"/>
                <w:color w:val="auto"/>
              </w:rPr>
            </w:pPr>
            <w:r>
              <w:rPr>
                <w:rFonts w:ascii="Arial" w:cs="Arial" w:eastAsia="Arial" w:hAnsi="Arial"/>
                <w:sz w:val="13"/>
                <w:szCs w:val="13"/>
                <w:color w:val="auto"/>
              </w:rPr>
              <w:t>2022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4,908,035</w:t>
            </w:r>
          </w:p>
        </w:tc>
        <w:tc>
          <w:tcPr>
            <w:tcW w:w="42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917,174</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932,198</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139,368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40" w:type="dxa"/>
            <w:vAlign w:val="bottom"/>
            <w:gridSpan w:val="2"/>
          </w:tcPr>
          <w:p>
            <w:pPr>
              <w:ind w:left="1300"/>
              <w:spacing w:after="0"/>
              <w:rPr>
                <w:sz w:val="20"/>
                <w:szCs w:val="20"/>
                <w:color w:val="auto"/>
              </w:rPr>
            </w:pPr>
            <w:r>
              <w:rPr>
                <w:rFonts w:ascii="Arial" w:cs="Arial" w:eastAsia="Arial" w:hAnsi="Arial"/>
                <w:sz w:val="13"/>
                <w:szCs w:val="13"/>
                <w:color w:val="auto"/>
              </w:rPr>
              <w:t>— $</w:t>
            </w:r>
          </w:p>
        </w:tc>
        <w:tc>
          <w:tcPr>
            <w:tcW w:w="1620" w:type="dxa"/>
            <w:vAlign w:val="bottom"/>
          </w:tcPr>
          <w:p>
            <w:pPr>
              <w:jc w:val="right"/>
              <w:spacing w:after="0"/>
              <w:rPr>
                <w:sz w:val="20"/>
                <w:szCs w:val="20"/>
                <w:color w:val="auto"/>
              </w:rPr>
            </w:pPr>
            <w:r>
              <w:rPr>
                <w:rFonts w:ascii="Arial" w:cs="Arial" w:eastAsia="Arial" w:hAnsi="Arial"/>
                <w:sz w:val="13"/>
                <w:szCs w:val="13"/>
                <w:color w:val="auto"/>
              </w:rPr>
              <w:t>6,896,775</w:t>
            </w:r>
          </w:p>
        </w:tc>
        <w:tc>
          <w:tcPr>
            <w:tcW w:w="0" w:type="dxa"/>
            <w:vAlign w:val="bottom"/>
          </w:tcPr>
          <w:p>
            <w:pPr>
              <w:spacing w:after="0"/>
              <w:rPr>
                <w:sz w:val="1"/>
                <w:szCs w:val="1"/>
                <w:color w:val="auto"/>
              </w:rPr>
            </w:pPr>
          </w:p>
        </w:tc>
      </w:tr>
      <w:tr>
        <w:trPr>
          <w:trHeight w:val="186"/>
        </w:trPr>
        <w:tc>
          <w:tcPr>
            <w:tcW w:w="15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2,824,010</w:t>
            </w:r>
          </w:p>
        </w:tc>
        <w:tc>
          <w:tcPr>
            <w:tcW w:w="42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(1,085,099)</w:t>
            </w:r>
          </w:p>
        </w:tc>
        <w:tc>
          <w:tcPr>
            <w:tcW w:w="14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96,370</w:t>
            </w:r>
          </w:p>
        </w:tc>
        <w:tc>
          <w:tcPr>
            <w:tcW w:w="12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88,537</w:t>
            </w:r>
          </w:p>
        </w:tc>
        <w:tc>
          <w:tcPr>
            <w:tcW w:w="100" w:type="dxa"/>
            <w:vAlign w:val="bottom"/>
            <w:shd w:val="clear" w:color="auto" w:fill="DBDBDB"/>
          </w:tcPr>
          <w:p>
            <w:pPr>
              <w:spacing w:after="0"/>
              <w:rPr>
                <w:sz w:val="16"/>
                <w:szCs w:val="16"/>
                <w:color w:val="auto"/>
              </w:rPr>
            </w:pPr>
          </w:p>
        </w:tc>
        <w:tc>
          <w:tcPr>
            <w:tcW w:w="1640" w:type="dxa"/>
            <w:vAlign w:val="bottom"/>
            <w:gridSpan w:val="2"/>
            <w:shd w:val="clear" w:color="auto" w:fill="DBDBDB"/>
          </w:tcPr>
          <w:p>
            <w:pPr>
              <w:ind w:left="1300"/>
              <w:spacing w:after="0"/>
              <w:rPr>
                <w:sz w:val="20"/>
                <w:szCs w:val="20"/>
                <w:color w:val="auto"/>
              </w:rPr>
            </w:pPr>
            <w:r>
              <w:rPr>
                <w:rFonts w:ascii="Arial" w:cs="Arial" w:eastAsia="Arial" w:hAnsi="Arial"/>
                <w:sz w:val="13"/>
                <w:szCs w:val="13"/>
                <w:color w:val="auto"/>
              </w:rPr>
              <w:t>—</w:t>
            </w: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1,923,818</w:t>
            </w:r>
          </w:p>
        </w:tc>
        <w:tc>
          <w:tcPr>
            <w:tcW w:w="0" w:type="dxa"/>
            <w:vAlign w:val="bottom"/>
          </w:tcPr>
          <w:p>
            <w:pPr>
              <w:spacing w:after="0"/>
              <w:rPr>
                <w:sz w:val="1"/>
                <w:szCs w:val="1"/>
                <w:color w:val="auto"/>
              </w:rPr>
            </w:pPr>
          </w:p>
        </w:tc>
      </w:tr>
      <w:tr>
        <w:trPr>
          <w:trHeight w:val="176"/>
        </w:trPr>
        <w:tc>
          <w:tcPr>
            <w:tcW w:w="1580" w:type="dxa"/>
            <w:vAlign w:val="bottom"/>
          </w:tcPr>
          <w:p>
            <w:pPr>
              <w:jc w:val="center"/>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5,456,840</w:t>
            </w:r>
          </w:p>
        </w:tc>
        <w:tc>
          <w:tcPr>
            <w:tcW w:w="4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(145,681)</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347,338</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99,897</w:t>
            </w:r>
          </w:p>
        </w:tc>
        <w:tc>
          <w:tcPr>
            <w:tcW w:w="100" w:type="dxa"/>
            <w:vAlign w:val="bottom"/>
          </w:tcPr>
          <w:p>
            <w:pPr>
              <w:spacing w:after="0"/>
              <w:rPr>
                <w:sz w:val="15"/>
                <w:szCs w:val="15"/>
                <w:color w:val="auto"/>
              </w:rPr>
            </w:pPr>
          </w:p>
        </w:tc>
        <w:tc>
          <w:tcPr>
            <w:tcW w:w="1640" w:type="dxa"/>
            <w:vAlign w:val="bottom"/>
            <w:gridSpan w:val="2"/>
          </w:tcPr>
          <w:p>
            <w:pPr>
              <w:ind w:left="1300"/>
              <w:spacing w:after="0"/>
              <w:rPr>
                <w:sz w:val="20"/>
                <w:szCs w:val="20"/>
                <w:color w:val="auto"/>
              </w:rPr>
            </w:pPr>
            <w:r>
              <w:rPr>
                <w:rFonts w:ascii="Arial" w:cs="Arial" w:eastAsia="Arial" w:hAnsi="Arial"/>
                <w:sz w:val="13"/>
                <w:szCs w:val="13"/>
                <w:color w:val="auto"/>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3,593,203</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Average Non-CEO NEOs Reconciliation</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53"/>
        </w:trPr>
        <w:tc>
          <w:tcPr>
            <w:tcW w:w="1580" w:type="dxa"/>
            <w:vAlign w:val="bottom"/>
            <w:shd w:val="clear" w:color="auto" w:fill="000000"/>
          </w:tcPr>
          <w:p>
            <w:pPr>
              <w:spacing w:after="0"/>
              <w:rPr>
                <w:sz w:val="4"/>
                <w:szCs w:val="4"/>
                <w:color w:val="auto"/>
              </w:rPr>
            </w:pPr>
          </w:p>
        </w:tc>
        <w:tc>
          <w:tcPr>
            <w:tcW w:w="120" w:type="dxa"/>
            <w:vAlign w:val="bottom"/>
            <w:shd w:val="clear" w:color="auto" w:fill="000000"/>
          </w:tcPr>
          <w:p>
            <w:pPr>
              <w:spacing w:after="0"/>
              <w:rPr>
                <w:sz w:val="4"/>
                <w:szCs w:val="4"/>
                <w:color w:val="auto"/>
              </w:rPr>
            </w:pPr>
          </w:p>
        </w:tc>
        <w:tc>
          <w:tcPr>
            <w:tcW w:w="132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w w:val="97"/>
              </w:rPr>
              <w:t>Year-End Value of</w:t>
            </w: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Change in Value as of Year</w:t>
            </w:r>
          </w:p>
        </w:tc>
        <w:tc>
          <w:tcPr>
            <w:tcW w:w="140" w:type="dxa"/>
            <w:vAlign w:val="bottom"/>
            <w:shd w:val="clear" w:color="auto" w:fill="000000"/>
          </w:tcPr>
          <w:p>
            <w:pPr>
              <w:spacing w:after="0"/>
              <w:rPr>
                <w:sz w:val="4"/>
                <w:szCs w:val="4"/>
                <w:color w:val="auto"/>
              </w:rPr>
            </w:pPr>
          </w:p>
        </w:tc>
        <w:tc>
          <w:tcPr>
            <w:tcW w:w="1460" w:type="dxa"/>
            <w:vAlign w:val="bottom"/>
            <w:vMerge w:val="restart"/>
            <w:shd w:val="clear" w:color="auto" w:fill="000000"/>
          </w:tcPr>
          <w:p>
            <w:pPr>
              <w:jc w:val="center"/>
              <w:ind w:right="55"/>
              <w:spacing w:after="0"/>
              <w:rPr>
                <w:sz w:val="20"/>
                <w:szCs w:val="20"/>
                <w:color w:val="auto"/>
              </w:rPr>
            </w:pPr>
            <w:r>
              <w:rPr>
                <w:rFonts w:ascii="Times New Roman" w:cs="Times New Roman" w:eastAsia="Times New Roman" w:hAnsi="Times New Roman"/>
                <w:sz w:val="13"/>
                <w:szCs w:val="13"/>
                <w:b w:val="1"/>
                <w:bCs w:val="1"/>
                <w:color w:val="FFFFFF"/>
                <w:w w:val="99"/>
              </w:rPr>
              <w:t>Changes in Value as of</w:t>
            </w: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8"/>
              </w:rPr>
              <w:t>Value as of the Vesting Date</w:t>
            </w:r>
          </w:p>
        </w:tc>
        <w:tc>
          <w:tcPr>
            <w:tcW w:w="100" w:type="dxa"/>
            <w:vAlign w:val="bottom"/>
            <w:shd w:val="clear" w:color="auto" w:fill="000000"/>
          </w:tcPr>
          <w:p>
            <w:pPr>
              <w:spacing w:after="0"/>
              <w:rPr>
                <w:sz w:val="4"/>
                <w:szCs w:val="4"/>
                <w:color w:val="auto"/>
              </w:rPr>
            </w:pPr>
          </w:p>
        </w:tc>
        <w:tc>
          <w:tcPr>
            <w:tcW w:w="150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w w:val="98"/>
              </w:rPr>
              <w:t>Value as of Year End for</w:t>
            </w:r>
          </w:p>
        </w:tc>
        <w:tc>
          <w:tcPr>
            <w:tcW w:w="140" w:type="dxa"/>
            <w:vAlign w:val="bottom"/>
            <w:shd w:val="clear" w:color="auto" w:fill="000000"/>
          </w:tcPr>
          <w:p>
            <w:pPr>
              <w:spacing w:after="0"/>
              <w:rPr>
                <w:sz w:val="4"/>
                <w:szCs w:val="4"/>
                <w:color w:val="auto"/>
              </w:rPr>
            </w:pPr>
          </w:p>
        </w:tc>
        <w:tc>
          <w:tcPr>
            <w:tcW w:w="1620" w:type="dxa"/>
            <w:vAlign w:val="bottom"/>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1580" w:type="dxa"/>
            <w:vAlign w:val="bottom"/>
            <w:shd w:val="clear" w:color="auto" w:fill="000000"/>
          </w:tcPr>
          <w:p>
            <w:pPr>
              <w:spacing w:after="0"/>
              <w:rPr>
                <w:sz w:val="8"/>
                <w:szCs w:val="8"/>
                <w:color w:val="auto"/>
              </w:rPr>
            </w:pPr>
          </w:p>
        </w:tc>
        <w:tc>
          <w:tcPr>
            <w:tcW w:w="120" w:type="dxa"/>
            <w:vAlign w:val="bottom"/>
            <w:shd w:val="clear" w:color="auto" w:fill="000000"/>
          </w:tcPr>
          <w:p>
            <w:pPr>
              <w:spacing w:after="0"/>
              <w:rPr>
                <w:sz w:val="8"/>
                <w:szCs w:val="8"/>
                <w:color w:val="auto"/>
              </w:rPr>
            </w:pPr>
          </w:p>
        </w:tc>
        <w:tc>
          <w:tcPr>
            <w:tcW w:w="1320" w:type="dxa"/>
            <w:vAlign w:val="bottom"/>
            <w:vMerge w:val="continue"/>
            <w:shd w:val="clear" w:color="auto" w:fill="000000"/>
          </w:tcPr>
          <w:p>
            <w:pPr>
              <w:spacing w:after="0"/>
              <w:rPr>
                <w:sz w:val="8"/>
                <w:szCs w:val="8"/>
                <w:color w:val="auto"/>
              </w:rPr>
            </w:pPr>
          </w:p>
        </w:tc>
        <w:tc>
          <w:tcPr>
            <w:tcW w:w="1600" w:type="dxa"/>
            <w:vAlign w:val="bottom"/>
            <w:gridSpan w:val="2"/>
            <w:vMerge w:val="continue"/>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1460" w:type="dxa"/>
            <w:vAlign w:val="bottom"/>
            <w:vMerge w:val="continue"/>
            <w:shd w:val="clear" w:color="auto" w:fill="000000"/>
          </w:tcPr>
          <w:p>
            <w:pPr>
              <w:spacing w:after="0"/>
              <w:rPr>
                <w:sz w:val="8"/>
                <w:szCs w:val="8"/>
                <w:color w:val="auto"/>
              </w:rPr>
            </w:pPr>
          </w:p>
        </w:tc>
        <w:tc>
          <w:tcPr>
            <w:tcW w:w="1600" w:type="dxa"/>
            <w:vAlign w:val="bottom"/>
            <w:gridSpan w:val="2"/>
            <w:vMerge w:val="continue"/>
            <w:shd w:val="clear" w:color="auto" w:fill="000000"/>
          </w:tcPr>
          <w:p>
            <w:pPr>
              <w:spacing w:after="0"/>
              <w:rPr>
                <w:sz w:val="8"/>
                <w:szCs w:val="8"/>
                <w:color w:val="auto"/>
              </w:rPr>
            </w:pPr>
          </w:p>
        </w:tc>
        <w:tc>
          <w:tcPr>
            <w:tcW w:w="100" w:type="dxa"/>
            <w:vAlign w:val="bottom"/>
            <w:shd w:val="clear" w:color="auto" w:fill="000000"/>
          </w:tcPr>
          <w:p>
            <w:pPr>
              <w:spacing w:after="0"/>
              <w:rPr>
                <w:sz w:val="8"/>
                <w:szCs w:val="8"/>
                <w:color w:val="auto"/>
              </w:rPr>
            </w:pPr>
          </w:p>
        </w:tc>
        <w:tc>
          <w:tcPr>
            <w:tcW w:w="1500" w:type="dxa"/>
            <w:vAlign w:val="bottom"/>
            <w:vMerge w:val="continue"/>
            <w:shd w:val="clear" w:color="auto" w:fill="000000"/>
          </w:tcPr>
          <w:p>
            <w:pPr>
              <w:spacing w:after="0"/>
              <w:rPr>
                <w:sz w:val="8"/>
                <w:szCs w:val="8"/>
                <w:color w:val="auto"/>
              </w:rPr>
            </w:pPr>
          </w:p>
        </w:tc>
        <w:tc>
          <w:tcPr>
            <w:tcW w:w="140" w:type="dxa"/>
            <w:vAlign w:val="bottom"/>
            <w:shd w:val="clear" w:color="auto" w:fill="000000"/>
          </w:tcPr>
          <w:p>
            <w:pPr>
              <w:spacing w:after="0"/>
              <w:rPr>
                <w:sz w:val="8"/>
                <w:szCs w:val="8"/>
                <w:color w:val="auto"/>
              </w:rPr>
            </w:pPr>
          </w:p>
        </w:tc>
        <w:tc>
          <w:tcPr>
            <w:tcW w:w="1620" w:type="dxa"/>
            <w:vAlign w:val="bottom"/>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1580" w:type="dxa"/>
            <w:vAlign w:val="bottom"/>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4"/>
              </w:rPr>
              <w:t>Year</w:t>
            </w:r>
          </w:p>
        </w:tc>
        <w:tc>
          <w:tcPr>
            <w:tcW w:w="120" w:type="dxa"/>
            <w:vAlign w:val="bottom"/>
            <w:shd w:val="clear" w:color="auto" w:fill="000000"/>
          </w:tcPr>
          <w:p>
            <w:pPr>
              <w:spacing w:after="0"/>
              <w:rPr>
                <w:sz w:val="5"/>
                <w:szCs w:val="5"/>
                <w:color w:val="auto"/>
              </w:rPr>
            </w:pPr>
          </w:p>
        </w:tc>
        <w:tc>
          <w:tcPr>
            <w:tcW w:w="1320" w:type="dxa"/>
            <w:vAlign w:val="bottom"/>
            <w:vMerge w:val="restart"/>
            <w:shd w:val="clear" w:color="auto" w:fill="000000"/>
          </w:tcPr>
          <w:p>
            <w:pPr>
              <w:jc w:val="center"/>
              <w:ind w:right="15"/>
              <w:spacing w:after="0"/>
              <w:rPr>
                <w:sz w:val="20"/>
                <w:szCs w:val="20"/>
                <w:color w:val="auto"/>
              </w:rPr>
            </w:pPr>
            <w:r>
              <w:rPr>
                <w:rFonts w:ascii="Times New Roman" w:cs="Times New Roman" w:eastAsia="Times New Roman" w:hAnsi="Times New Roman"/>
                <w:sz w:val="13"/>
                <w:szCs w:val="13"/>
                <w:b w:val="1"/>
                <w:bCs w:val="1"/>
                <w:color w:val="FFFFFF"/>
                <w:w w:val="97"/>
              </w:rPr>
              <w:t>Current Year Awards</w:t>
            </w:r>
          </w:p>
        </w:tc>
        <w:tc>
          <w:tcPr>
            <w:tcW w:w="1600" w:type="dxa"/>
            <w:vAlign w:val="bottom"/>
            <w:gridSpan w:val="2"/>
            <w:vMerge w:val="continue"/>
            <w:shd w:val="clear" w:color="auto" w:fill="000000"/>
          </w:tcPr>
          <w:p>
            <w:pPr>
              <w:spacing w:after="0"/>
              <w:rPr>
                <w:sz w:val="5"/>
                <w:szCs w:val="5"/>
                <w:color w:val="auto"/>
              </w:rPr>
            </w:pPr>
          </w:p>
        </w:tc>
        <w:tc>
          <w:tcPr>
            <w:tcW w:w="1600" w:type="dxa"/>
            <w:vAlign w:val="bottom"/>
            <w:gridSpan w:val="2"/>
            <w:vMerge w:val="restart"/>
            <w:shd w:val="clear" w:color="auto" w:fill="000000"/>
          </w:tcPr>
          <w:p>
            <w:pPr>
              <w:jc w:val="center"/>
              <w:spacing w:after="0"/>
              <w:rPr>
                <w:sz w:val="20"/>
                <w:szCs w:val="20"/>
                <w:color w:val="auto"/>
              </w:rPr>
            </w:pPr>
            <w:r>
              <w:rPr>
                <w:rFonts w:ascii="Times New Roman" w:cs="Times New Roman" w:eastAsia="Times New Roman" w:hAnsi="Times New Roman"/>
                <w:sz w:val="13"/>
                <w:szCs w:val="13"/>
                <w:b w:val="1"/>
                <w:bCs w:val="1"/>
                <w:color w:val="FFFFFF"/>
                <w:w w:val="97"/>
              </w:rPr>
              <w:t>Vesting Date for Prior Year</w:t>
            </w:r>
          </w:p>
        </w:tc>
        <w:tc>
          <w:tcPr>
            <w:tcW w:w="120" w:type="dxa"/>
            <w:vAlign w:val="bottom"/>
            <w:shd w:val="clear" w:color="auto" w:fill="000000"/>
          </w:tcPr>
          <w:p>
            <w:pPr>
              <w:spacing w:after="0"/>
              <w:rPr>
                <w:sz w:val="5"/>
                <w:szCs w:val="5"/>
                <w:color w:val="auto"/>
              </w:rPr>
            </w:pPr>
          </w:p>
        </w:tc>
        <w:tc>
          <w:tcPr>
            <w:tcW w:w="1480" w:type="dxa"/>
            <w:vAlign w:val="bottom"/>
            <w:vMerge w:val="restart"/>
            <w:shd w:val="clear" w:color="auto" w:fill="000000"/>
          </w:tcPr>
          <w:p>
            <w:pPr>
              <w:jc w:val="center"/>
              <w:ind w:right="35"/>
              <w:spacing w:after="0"/>
              <w:rPr>
                <w:sz w:val="20"/>
                <w:szCs w:val="20"/>
                <w:color w:val="auto"/>
              </w:rPr>
            </w:pPr>
            <w:r>
              <w:rPr>
                <w:rFonts w:ascii="Times New Roman" w:cs="Times New Roman" w:eastAsia="Times New Roman" w:hAnsi="Times New Roman"/>
                <w:sz w:val="13"/>
                <w:szCs w:val="13"/>
                <w:b w:val="1"/>
                <w:bCs w:val="1"/>
                <w:color w:val="FFFFFF"/>
              </w:rPr>
              <w:t>for any Dividend</w:t>
            </w:r>
          </w:p>
        </w:tc>
        <w:tc>
          <w:tcPr>
            <w:tcW w:w="100" w:type="dxa"/>
            <w:vAlign w:val="bottom"/>
            <w:shd w:val="clear" w:color="auto" w:fill="000000"/>
          </w:tcPr>
          <w:p>
            <w:pPr>
              <w:spacing w:after="0"/>
              <w:rPr>
                <w:sz w:val="5"/>
                <w:szCs w:val="5"/>
                <w:color w:val="auto"/>
              </w:rPr>
            </w:pPr>
          </w:p>
        </w:tc>
        <w:tc>
          <w:tcPr>
            <w:tcW w:w="1500" w:type="dxa"/>
            <w:vAlign w:val="bottom"/>
            <w:vMerge w:val="continue"/>
            <w:shd w:val="clear" w:color="auto" w:fill="000000"/>
          </w:tcPr>
          <w:p>
            <w:pPr>
              <w:spacing w:after="0"/>
              <w:rPr>
                <w:sz w:val="5"/>
                <w:szCs w:val="5"/>
                <w:color w:val="auto"/>
              </w:rPr>
            </w:pPr>
          </w:p>
        </w:tc>
        <w:tc>
          <w:tcPr>
            <w:tcW w:w="140" w:type="dxa"/>
            <w:vAlign w:val="bottom"/>
            <w:shd w:val="clear" w:color="auto" w:fill="000000"/>
          </w:tcPr>
          <w:p>
            <w:pPr>
              <w:spacing w:after="0"/>
              <w:rPr>
                <w:sz w:val="5"/>
                <w:szCs w:val="5"/>
                <w:color w:val="auto"/>
              </w:rPr>
            </w:pPr>
          </w:p>
        </w:tc>
        <w:tc>
          <w:tcPr>
            <w:tcW w:w="1620" w:type="dxa"/>
            <w:vAlign w:val="bottom"/>
            <w:vMerge w:val="restart"/>
            <w:shd w:val="clear" w:color="auto" w:fill="000000"/>
          </w:tcPr>
          <w:p>
            <w:pPr>
              <w:jc w:val="center"/>
              <w:ind w:right="75"/>
              <w:spacing w:after="0"/>
              <w:rPr>
                <w:sz w:val="20"/>
                <w:szCs w:val="20"/>
                <w:color w:val="auto"/>
              </w:rPr>
            </w:pPr>
            <w:r>
              <w:rPr>
                <w:rFonts w:ascii="Times New Roman" w:cs="Times New Roman" w:eastAsia="Times New Roman" w:hAnsi="Times New Roman"/>
                <w:sz w:val="13"/>
                <w:szCs w:val="13"/>
                <w:b w:val="1"/>
                <w:bCs w:val="1"/>
                <w:color w:val="FFFFFF"/>
                <w:w w:val="99"/>
              </w:rPr>
              <w:t>Value of Equity for CAP</w:t>
            </w:r>
          </w:p>
        </w:tc>
        <w:tc>
          <w:tcPr>
            <w:tcW w:w="0" w:type="dxa"/>
            <w:vAlign w:val="bottom"/>
          </w:tcPr>
          <w:p>
            <w:pPr>
              <w:spacing w:after="0"/>
              <w:rPr>
                <w:sz w:val="1"/>
                <w:szCs w:val="1"/>
                <w:color w:val="auto"/>
              </w:rPr>
            </w:pPr>
          </w:p>
        </w:tc>
      </w:tr>
      <w:tr>
        <w:trPr>
          <w:trHeight w:val="132"/>
        </w:trPr>
        <w:tc>
          <w:tcPr>
            <w:tcW w:w="1580" w:type="dxa"/>
            <w:vAlign w:val="bottom"/>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320" w:type="dxa"/>
            <w:vAlign w:val="bottom"/>
            <w:vMerge w:val="continue"/>
            <w:shd w:val="clear" w:color="auto" w:fill="000000"/>
          </w:tcPr>
          <w:p>
            <w:pPr>
              <w:spacing w:after="0"/>
              <w:rPr>
                <w:sz w:val="11"/>
                <w:szCs w:val="11"/>
                <w:color w:val="auto"/>
              </w:rPr>
            </w:pPr>
          </w:p>
        </w:tc>
        <w:tc>
          <w:tcPr>
            <w:tcW w:w="1600" w:type="dxa"/>
            <w:vAlign w:val="bottom"/>
            <w:gridSpan w:val="2"/>
            <w:shd w:val="clear" w:color="auto" w:fill="000000"/>
          </w:tcPr>
          <w:p>
            <w:pPr>
              <w:jc w:val="center"/>
              <w:spacing w:after="0" w:line="132" w:lineRule="exact"/>
              <w:rPr>
                <w:sz w:val="20"/>
                <w:szCs w:val="20"/>
                <w:color w:val="auto"/>
              </w:rPr>
            </w:pPr>
            <w:r>
              <w:rPr>
                <w:rFonts w:ascii="Times New Roman" w:cs="Times New Roman" w:eastAsia="Times New Roman" w:hAnsi="Times New Roman"/>
                <w:sz w:val="13"/>
                <w:szCs w:val="13"/>
                <w:b w:val="1"/>
                <w:bCs w:val="1"/>
                <w:color w:val="FFFFFF"/>
                <w:w w:val="97"/>
              </w:rPr>
              <w:t>End for Prior Year Awards</w:t>
            </w:r>
          </w:p>
        </w:tc>
        <w:tc>
          <w:tcPr>
            <w:tcW w:w="1600" w:type="dxa"/>
            <w:vAlign w:val="bottom"/>
            <w:gridSpan w:val="2"/>
            <w:vMerge w:val="continue"/>
            <w:shd w:val="clear" w:color="auto" w:fill="000000"/>
          </w:tcPr>
          <w:p>
            <w:pPr>
              <w:spacing w:after="0"/>
              <w:rPr>
                <w:sz w:val="11"/>
                <w:szCs w:val="11"/>
                <w:color w:val="auto"/>
              </w:rPr>
            </w:pPr>
          </w:p>
        </w:tc>
        <w:tc>
          <w:tcPr>
            <w:tcW w:w="120" w:type="dxa"/>
            <w:vAlign w:val="bottom"/>
            <w:shd w:val="clear" w:color="auto" w:fill="000000"/>
          </w:tcPr>
          <w:p>
            <w:pPr>
              <w:spacing w:after="0"/>
              <w:rPr>
                <w:sz w:val="11"/>
                <w:szCs w:val="11"/>
                <w:color w:val="auto"/>
              </w:rPr>
            </w:pPr>
          </w:p>
        </w:tc>
        <w:tc>
          <w:tcPr>
            <w:tcW w:w="1480" w:type="dxa"/>
            <w:vAlign w:val="bottom"/>
            <w:vMerge w:val="continue"/>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1500" w:type="dxa"/>
            <w:vAlign w:val="bottom"/>
            <w:shd w:val="clear" w:color="auto" w:fill="000000"/>
          </w:tcPr>
          <w:p>
            <w:pPr>
              <w:jc w:val="center"/>
              <w:ind w:right="35"/>
              <w:spacing w:after="0" w:line="132" w:lineRule="exact"/>
              <w:rPr>
                <w:sz w:val="20"/>
                <w:szCs w:val="20"/>
                <w:color w:val="auto"/>
              </w:rPr>
            </w:pPr>
            <w:r>
              <w:rPr>
                <w:rFonts w:ascii="Times New Roman" w:cs="Times New Roman" w:eastAsia="Times New Roman" w:hAnsi="Times New Roman"/>
                <w:sz w:val="13"/>
                <w:szCs w:val="13"/>
                <w:b w:val="1"/>
                <w:bCs w:val="1"/>
                <w:color w:val="FFFFFF"/>
                <w:w w:val="97"/>
              </w:rPr>
              <w:t>Prior Year Awards</w:t>
            </w:r>
          </w:p>
        </w:tc>
        <w:tc>
          <w:tcPr>
            <w:tcW w:w="140" w:type="dxa"/>
            <w:vAlign w:val="bottom"/>
            <w:shd w:val="clear" w:color="auto" w:fill="000000"/>
          </w:tcPr>
          <w:p>
            <w:pPr>
              <w:spacing w:after="0"/>
              <w:rPr>
                <w:sz w:val="11"/>
                <w:szCs w:val="11"/>
                <w:color w:val="auto"/>
              </w:rPr>
            </w:pPr>
          </w:p>
        </w:tc>
        <w:tc>
          <w:tcPr>
            <w:tcW w:w="162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1580" w:type="dxa"/>
            <w:vAlign w:val="bottom"/>
            <w:shd w:val="clear" w:color="auto" w:fill="000000"/>
          </w:tcPr>
          <w:p>
            <w:pPr>
              <w:spacing w:after="0"/>
              <w:rPr>
                <w:sz w:val="11"/>
                <w:szCs w:val="11"/>
                <w:color w:val="auto"/>
              </w:rPr>
            </w:pPr>
          </w:p>
        </w:tc>
        <w:tc>
          <w:tcPr>
            <w:tcW w:w="144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Outstanding as of Fiscal</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Outstanding as of Year End</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9"/>
              </w:rPr>
              <w:t>Awards that Vested during</w:t>
            </w:r>
          </w:p>
        </w:tc>
        <w:tc>
          <w:tcPr>
            <w:tcW w:w="120" w:type="dxa"/>
            <w:vAlign w:val="bottom"/>
            <w:shd w:val="clear" w:color="auto" w:fill="000000"/>
          </w:tcPr>
          <w:p>
            <w:pPr>
              <w:spacing w:after="0"/>
              <w:rPr>
                <w:sz w:val="11"/>
                <w:szCs w:val="11"/>
                <w:color w:val="auto"/>
              </w:rPr>
            </w:pPr>
          </w:p>
        </w:tc>
        <w:tc>
          <w:tcPr>
            <w:tcW w:w="1480" w:type="dxa"/>
            <w:vAlign w:val="bottom"/>
            <w:shd w:val="clear" w:color="auto" w:fill="000000"/>
          </w:tcPr>
          <w:p>
            <w:pPr>
              <w:jc w:val="center"/>
              <w:ind w:right="35"/>
              <w:spacing w:after="0" w:line="134" w:lineRule="exact"/>
              <w:rPr>
                <w:sz w:val="20"/>
                <w:szCs w:val="20"/>
                <w:color w:val="auto"/>
              </w:rPr>
            </w:pPr>
            <w:r>
              <w:rPr>
                <w:rFonts w:ascii="Times New Roman" w:cs="Times New Roman" w:eastAsia="Times New Roman" w:hAnsi="Times New Roman"/>
                <w:sz w:val="13"/>
                <w:szCs w:val="13"/>
                <w:b w:val="1"/>
                <w:bCs w:val="1"/>
                <w:color w:val="FFFFFF"/>
                <w:w w:val="98"/>
              </w:rPr>
              <w:t>Equivalents that Vested</w:t>
            </w:r>
          </w:p>
        </w:tc>
        <w:tc>
          <w:tcPr>
            <w:tcW w:w="1600" w:type="dxa"/>
            <w:vAlign w:val="bottom"/>
            <w:gridSpan w:val="2"/>
            <w:shd w:val="clear" w:color="auto" w:fill="000000"/>
          </w:tcPr>
          <w:p>
            <w:pPr>
              <w:jc w:val="center"/>
              <w:spacing w:after="0" w:line="134" w:lineRule="exact"/>
              <w:rPr>
                <w:sz w:val="20"/>
                <w:szCs w:val="20"/>
                <w:color w:val="auto"/>
              </w:rPr>
            </w:pPr>
            <w:r>
              <w:rPr>
                <w:rFonts w:ascii="Times New Roman" w:cs="Times New Roman" w:eastAsia="Times New Roman" w:hAnsi="Times New Roman"/>
                <w:sz w:val="13"/>
                <w:szCs w:val="13"/>
                <w:b w:val="1"/>
                <w:bCs w:val="1"/>
                <w:color w:val="FFFFFF"/>
                <w:w w:val="98"/>
              </w:rPr>
              <w:t>Forfeited During the Year</w:t>
            </w:r>
          </w:p>
        </w:tc>
        <w:tc>
          <w:tcPr>
            <w:tcW w:w="140" w:type="dxa"/>
            <w:vAlign w:val="bottom"/>
            <w:shd w:val="clear" w:color="auto" w:fill="000000"/>
          </w:tcPr>
          <w:p>
            <w:pPr>
              <w:spacing w:after="0"/>
              <w:rPr>
                <w:sz w:val="11"/>
                <w:szCs w:val="11"/>
                <w:color w:val="auto"/>
              </w:rPr>
            </w:pPr>
          </w:p>
        </w:tc>
        <w:tc>
          <w:tcPr>
            <w:tcW w:w="1620" w:type="dxa"/>
            <w:vAlign w:val="bottom"/>
            <w:shd w:val="clear" w:color="auto" w:fill="000000"/>
          </w:tcPr>
          <w:p>
            <w:pPr>
              <w:jc w:val="center"/>
              <w:ind w:right="75"/>
              <w:spacing w:after="0" w:line="134" w:lineRule="exact"/>
              <w:rPr>
                <w:sz w:val="20"/>
                <w:szCs w:val="20"/>
                <w:color w:val="auto"/>
              </w:rPr>
            </w:pPr>
            <w:r>
              <w:rPr>
                <w:rFonts w:ascii="Times New Roman" w:cs="Times New Roman" w:eastAsia="Times New Roman" w:hAnsi="Times New Roman"/>
                <w:sz w:val="13"/>
                <w:szCs w:val="13"/>
                <w:b w:val="1"/>
                <w:bCs w:val="1"/>
                <w:color w:val="FFFFFF"/>
              </w:rPr>
              <w:t>Purposes</w:t>
            </w:r>
          </w:p>
        </w:tc>
        <w:tc>
          <w:tcPr>
            <w:tcW w:w="0" w:type="dxa"/>
            <w:vAlign w:val="bottom"/>
          </w:tcPr>
          <w:p>
            <w:pPr>
              <w:spacing w:after="0"/>
              <w:rPr>
                <w:sz w:val="1"/>
                <w:szCs w:val="1"/>
                <w:color w:val="auto"/>
              </w:rPr>
            </w:pPr>
          </w:p>
        </w:tc>
      </w:tr>
      <w:tr>
        <w:trPr>
          <w:trHeight w:val="122"/>
        </w:trPr>
        <w:tc>
          <w:tcPr>
            <w:tcW w:w="1580" w:type="dxa"/>
            <w:vAlign w:val="bottom"/>
            <w:shd w:val="clear" w:color="auto" w:fill="000000"/>
          </w:tcPr>
          <w:p>
            <w:pPr>
              <w:spacing w:after="0"/>
              <w:rPr>
                <w:sz w:val="10"/>
                <w:szCs w:val="10"/>
                <w:color w:val="auto"/>
              </w:rPr>
            </w:pPr>
          </w:p>
        </w:tc>
        <w:tc>
          <w:tcPr>
            <w:tcW w:w="120" w:type="dxa"/>
            <w:vAlign w:val="bottom"/>
            <w:shd w:val="clear" w:color="auto" w:fill="000000"/>
          </w:tcPr>
          <w:p>
            <w:pPr>
              <w:spacing w:after="0"/>
              <w:rPr>
                <w:sz w:val="10"/>
                <w:szCs w:val="10"/>
                <w:color w:val="auto"/>
              </w:rPr>
            </w:pPr>
          </w:p>
        </w:tc>
        <w:tc>
          <w:tcPr>
            <w:tcW w:w="1320" w:type="dxa"/>
            <w:vAlign w:val="bottom"/>
            <w:shd w:val="clear" w:color="auto" w:fill="000000"/>
          </w:tcPr>
          <w:p>
            <w:pPr>
              <w:jc w:val="center"/>
              <w:ind w:right="15"/>
              <w:spacing w:after="0" w:line="122" w:lineRule="exact"/>
              <w:rPr>
                <w:sz w:val="20"/>
                <w:szCs w:val="20"/>
                <w:color w:val="auto"/>
              </w:rPr>
            </w:pPr>
            <w:r>
              <w:rPr>
                <w:rFonts w:ascii="Times New Roman" w:cs="Times New Roman" w:eastAsia="Times New Roman" w:hAnsi="Times New Roman"/>
                <w:sz w:val="13"/>
                <w:szCs w:val="13"/>
                <w:b w:val="1"/>
                <w:bCs w:val="1"/>
                <w:color w:val="FFFFFF"/>
                <w:w w:val="96"/>
              </w:rPr>
              <w:t>Year End</w:t>
            </w:r>
          </w:p>
        </w:tc>
        <w:tc>
          <w:tcPr>
            <w:tcW w:w="420" w:type="dxa"/>
            <w:vAlign w:val="bottom"/>
            <w:shd w:val="clear" w:color="auto" w:fill="000000"/>
          </w:tcPr>
          <w:p>
            <w:pPr>
              <w:spacing w:after="0"/>
              <w:rPr>
                <w:sz w:val="10"/>
                <w:szCs w:val="10"/>
                <w:color w:val="auto"/>
              </w:rPr>
            </w:pPr>
          </w:p>
        </w:tc>
        <w:tc>
          <w:tcPr>
            <w:tcW w:w="118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460" w:type="dxa"/>
            <w:vAlign w:val="bottom"/>
            <w:shd w:val="clear" w:color="auto" w:fill="000000"/>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FFFFFF"/>
                <w:w w:val="95"/>
              </w:rPr>
              <w:t>the Year</w:t>
            </w:r>
          </w:p>
        </w:tc>
        <w:tc>
          <w:tcPr>
            <w:tcW w:w="120" w:type="dxa"/>
            <w:vAlign w:val="bottom"/>
            <w:shd w:val="clear" w:color="auto" w:fill="000000"/>
          </w:tcPr>
          <w:p>
            <w:pPr>
              <w:spacing w:after="0"/>
              <w:rPr>
                <w:sz w:val="10"/>
                <w:szCs w:val="10"/>
                <w:color w:val="auto"/>
              </w:rPr>
            </w:pPr>
          </w:p>
        </w:tc>
        <w:tc>
          <w:tcPr>
            <w:tcW w:w="1480" w:type="dxa"/>
            <w:vAlign w:val="bottom"/>
            <w:shd w:val="clear" w:color="auto" w:fill="000000"/>
          </w:tcPr>
          <w:p>
            <w:pPr>
              <w:jc w:val="center"/>
              <w:ind w:right="55"/>
              <w:spacing w:after="0" w:line="122" w:lineRule="exact"/>
              <w:rPr>
                <w:sz w:val="20"/>
                <w:szCs w:val="20"/>
                <w:color w:val="auto"/>
              </w:rPr>
            </w:pPr>
            <w:r>
              <w:rPr>
                <w:rFonts w:ascii="Times New Roman" w:cs="Times New Roman" w:eastAsia="Times New Roman" w:hAnsi="Times New Roman"/>
                <w:sz w:val="13"/>
                <w:szCs w:val="13"/>
                <w:b w:val="1"/>
                <w:bCs w:val="1"/>
                <w:color w:val="FFFFFF"/>
                <w:w w:val="96"/>
              </w:rPr>
              <w:t>During Year</w:t>
            </w:r>
          </w:p>
        </w:tc>
        <w:tc>
          <w:tcPr>
            <w:tcW w:w="100" w:type="dxa"/>
            <w:vAlign w:val="bottom"/>
            <w:shd w:val="clear" w:color="auto" w:fill="000000"/>
          </w:tcPr>
          <w:p>
            <w:pPr>
              <w:spacing w:after="0"/>
              <w:rPr>
                <w:sz w:val="10"/>
                <w:szCs w:val="10"/>
                <w:color w:val="auto"/>
              </w:rPr>
            </w:pPr>
          </w:p>
        </w:tc>
        <w:tc>
          <w:tcPr>
            <w:tcW w:w="1500" w:type="dxa"/>
            <w:vAlign w:val="bottom"/>
            <w:shd w:val="clear" w:color="auto" w:fill="000000"/>
          </w:tcPr>
          <w:p>
            <w:pPr>
              <w:spacing w:after="0"/>
              <w:rPr>
                <w:sz w:val="10"/>
                <w:szCs w:val="10"/>
                <w:color w:val="auto"/>
              </w:rPr>
            </w:pPr>
          </w:p>
        </w:tc>
        <w:tc>
          <w:tcPr>
            <w:tcW w:w="140" w:type="dxa"/>
            <w:vAlign w:val="bottom"/>
            <w:shd w:val="clear" w:color="auto" w:fill="000000"/>
          </w:tcPr>
          <w:p>
            <w:pPr>
              <w:spacing w:after="0"/>
              <w:rPr>
                <w:sz w:val="10"/>
                <w:szCs w:val="10"/>
                <w:color w:val="auto"/>
              </w:rPr>
            </w:pPr>
          </w:p>
        </w:tc>
        <w:tc>
          <w:tcPr>
            <w:tcW w:w="162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vMerge w:val="restart"/>
            <w:shd w:val="clear" w:color="auto" w:fill="000000"/>
          </w:tcPr>
          <w:p>
            <w:pPr>
              <w:jc w:val="center"/>
              <w:ind w:right="15"/>
              <w:spacing w:after="0"/>
              <w:rPr>
                <w:sz w:val="20"/>
                <w:szCs w:val="20"/>
                <w:color w:val="auto"/>
              </w:rPr>
            </w:pPr>
            <w:r>
              <w:rPr>
                <w:rFonts w:ascii="Arial" w:cs="Arial" w:eastAsia="Arial" w:hAnsi="Arial"/>
                <w:sz w:val="13"/>
                <w:szCs w:val="13"/>
                <w:color w:val="FFFFFF"/>
              </w:rPr>
              <w:t>(a)</w:t>
            </w:r>
          </w:p>
        </w:tc>
        <w:tc>
          <w:tcPr>
            <w:tcW w:w="420" w:type="dxa"/>
            <w:vAlign w:val="bottom"/>
            <w:shd w:val="clear" w:color="auto" w:fill="000000"/>
          </w:tcPr>
          <w:p>
            <w:pPr>
              <w:spacing w:after="0" w:line="20" w:lineRule="exact"/>
              <w:rPr>
                <w:sz w:val="1"/>
                <w:szCs w:val="1"/>
                <w:color w:val="auto"/>
              </w:rPr>
            </w:pPr>
          </w:p>
        </w:tc>
        <w:tc>
          <w:tcPr>
            <w:tcW w:w="1180" w:type="dxa"/>
            <w:vAlign w:val="bottom"/>
            <w:vMerge w:val="restart"/>
            <w:shd w:val="clear" w:color="auto" w:fill="000000"/>
          </w:tcPr>
          <w:p>
            <w:pPr>
              <w:jc w:val="center"/>
              <w:ind w:right="315"/>
              <w:spacing w:after="0"/>
              <w:rPr>
                <w:sz w:val="20"/>
                <w:szCs w:val="20"/>
                <w:color w:val="auto"/>
              </w:rPr>
            </w:pPr>
            <w:r>
              <w:rPr>
                <w:rFonts w:ascii="Arial" w:cs="Arial" w:eastAsia="Arial" w:hAnsi="Arial"/>
                <w:sz w:val="13"/>
                <w:szCs w:val="13"/>
                <w:color w:val="FFFFFF"/>
              </w:rPr>
              <w:t>(b)</w:t>
            </w:r>
          </w:p>
        </w:tc>
        <w:tc>
          <w:tcPr>
            <w:tcW w:w="140" w:type="dxa"/>
            <w:vAlign w:val="bottom"/>
            <w:shd w:val="clear" w:color="auto" w:fill="000000"/>
          </w:tcPr>
          <w:p>
            <w:pPr>
              <w:spacing w:after="0" w:line="20" w:lineRule="exact"/>
              <w:rPr>
                <w:sz w:val="1"/>
                <w:szCs w:val="1"/>
                <w:color w:val="auto"/>
              </w:rPr>
            </w:pPr>
          </w:p>
        </w:tc>
        <w:tc>
          <w:tcPr>
            <w:tcW w:w="1460" w:type="dxa"/>
            <w:vAlign w:val="bottom"/>
            <w:vMerge w:val="restart"/>
            <w:shd w:val="clear" w:color="auto" w:fill="000000"/>
          </w:tcPr>
          <w:p>
            <w:pPr>
              <w:jc w:val="center"/>
              <w:ind w:right="55"/>
              <w:spacing w:after="0"/>
              <w:rPr>
                <w:sz w:val="20"/>
                <w:szCs w:val="20"/>
                <w:color w:val="auto"/>
              </w:rPr>
            </w:pPr>
            <w:r>
              <w:rPr>
                <w:rFonts w:ascii="Arial" w:cs="Arial" w:eastAsia="Arial" w:hAnsi="Arial"/>
                <w:sz w:val="13"/>
                <w:szCs w:val="13"/>
                <w:color w:val="FFFFFF"/>
                <w:w w:val="92"/>
              </w:rPr>
              <w:t>(c)</w:t>
            </w:r>
          </w:p>
        </w:tc>
        <w:tc>
          <w:tcPr>
            <w:tcW w:w="120" w:type="dxa"/>
            <w:vAlign w:val="bottom"/>
            <w:shd w:val="clear" w:color="auto" w:fill="000000"/>
          </w:tcPr>
          <w:p>
            <w:pPr>
              <w:spacing w:after="0" w:line="20" w:lineRule="exact"/>
              <w:rPr>
                <w:sz w:val="1"/>
                <w:szCs w:val="1"/>
                <w:color w:val="auto"/>
              </w:rPr>
            </w:pPr>
          </w:p>
        </w:tc>
        <w:tc>
          <w:tcPr>
            <w:tcW w:w="1480" w:type="dxa"/>
            <w:vAlign w:val="bottom"/>
            <w:vMerge w:val="restart"/>
            <w:shd w:val="clear" w:color="auto" w:fill="000000"/>
          </w:tcPr>
          <w:p>
            <w:pPr>
              <w:jc w:val="center"/>
              <w:ind w:right="55"/>
              <w:spacing w:after="0"/>
              <w:rPr>
                <w:sz w:val="20"/>
                <w:szCs w:val="20"/>
                <w:color w:val="auto"/>
              </w:rPr>
            </w:pPr>
            <w:r>
              <w:rPr>
                <w:rFonts w:ascii="Arial" w:cs="Arial" w:eastAsia="Arial" w:hAnsi="Arial"/>
                <w:sz w:val="13"/>
                <w:szCs w:val="13"/>
                <w:color w:val="FFFFFF"/>
              </w:rPr>
              <w:t>(d)</w:t>
            </w:r>
          </w:p>
        </w:tc>
        <w:tc>
          <w:tcPr>
            <w:tcW w:w="100" w:type="dxa"/>
            <w:vAlign w:val="bottom"/>
            <w:shd w:val="clear" w:color="auto" w:fill="000000"/>
          </w:tcPr>
          <w:p>
            <w:pPr>
              <w:spacing w:after="0" w:line="20" w:lineRule="exact"/>
              <w:rPr>
                <w:sz w:val="1"/>
                <w:szCs w:val="1"/>
                <w:color w:val="auto"/>
              </w:rPr>
            </w:pPr>
          </w:p>
        </w:tc>
        <w:tc>
          <w:tcPr>
            <w:tcW w:w="1500" w:type="dxa"/>
            <w:vAlign w:val="bottom"/>
            <w:vMerge w:val="restart"/>
            <w:shd w:val="clear" w:color="auto" w:fill="000000"/>
          </w:tcPr>
          <w:p>
            <w:pPr>
              <w:jc w:val="center"/>
              <w:ind w:right="35"/>
              <w:spacing w:after="0"/>
              <w:rPr>
                <w:sz w:val="20"/>
                <w:szCs w:val="20"/>
                <w:color w:val="auto"/>
              </w:rPr>
            </w:pPr>
            <w:r>
              <w:rPr>
                <w:rFonts w:ascii="Arial" w:cs="Arial" w:eastAsia="Arial" w:hAnsi="Arial"/>
                <w:sz w:val="13"/>
                <w:szCs w:val="13"/>
                <w:color w:val="FFFFFF"/>
              </w:rPr>
              <w:t>(e)</w:t>
            </w:r>
          </w:p>
        </w:tc>
        <w:tc>
          <w:tcPr>
            <w:tcW w:w="140" w:type="dxa"/>
            <w:vAlign w:val="bottom"/>
            <w:shd w:val="clear" w:color="auto" w:fill="000000"/>
          </w:tcPr>
          <w:p>
            <w:pPr>
              <w:spacing w:after="0" w:line="20" w:lineRule="exact"/>
              <w:rPr>
                <w:sz w:val="1"/>
                <w:szCs w:val="1"/>
                <w:color w:val="auto"/>
              </w:rPr>
            </w:pPr>
          </w:p>
        </w:tc>
        <w:tc>
          <w:tcPr>
            <w:tcW w:w="1620" w:type="dxa"/>
            <w:vAlign w:val="bottom"/>
            <w:vMerge w:val="restart"/>
            <w:shd w:val="clear" w:color="auto" w:fill="000000"/>
          </w:tcPr>
          <w:p>
            <w:pPr>
              <w:jc w:val="center"/>
              <w:ind w:right="75"/>
              <w:spacing w:after="0"/>
              <w:rPr>
                <w:sz w:val="20"/>
                <w:szCs w:val="20"/>
                <w:color w:val="auto"/>
              </w:rPr>
            </w:pPr>
            <w:r>
              <w:rPr>
                <w:rFonts w:ascii="Arial" w:cs="Arial" w:eastAsia="Arial" w:hAnsi="Arial"/>
                <w:sz w:val="13"/>
                <w:szCs w:val="13"/>
                <w:color w:val="FFFFFF"/>
                <w:w w:val="98"/>
              </w:rPr>
              <w:t>(a)+(b)+(c)+(d)+(e)</w:t>
            </w:r>
          </w:p>
        </w:tc>
        <w:tc>
          <w:tcPr>
            <w:tcW w:w="0" w:type="dxa"/>
            <w:vAlign w:val="bottom"/>
          </w:tcPr>
          <w:p>
            <w:pPr>
              <w:spacing w:after="0" w:line="20" w:lineRule="exact"/>
              <w:rPr>
                <w:sz w:val="1"/>
                <w:szCs w:val="1"/>
                <w:color w:val="auto"/>
              </w:rPr>
            </w:pPr>
          </w:p>
        </w:tc>
      </w:tr>
      <w:tr>
        <w:trPr>
          <w:trHeight w:val="172"/>
        </w:trPr>
        <w:tc>
          <w:tcPr>
            <w:tcW w:w="1580" w:type="dxa"/>
            <w:vAlign w:val="bottom"/>
            <w:tcBorders>
              <w:bottom w:val="single" w:sz="8" w:color="auto"/>
            </w:tcBorders>
            <w:shd w:val="clear" w:color="auto" w:fill="000000"/>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1320" w:type="dxa"/>
            <w:vAlign w:val="bottom"/>
            <w:tcBorders>
              <w:bottom w:val="single" w:sz="8" w:color="auto"/>
            </w:tcBorders>
            <w:vMerge w:val="continue"/>
            <w:shd w:val="clear" w:color="auto" w:fill="000000"/>
          </w:tcPr>
          <w:p>
            <w:pPr>
              <w:spacing w:after="0"/>
              <w:rPr>
                <w:sz w:val="14"/>
                <w:szCs w:val="14"/>
                <w:color w:val="auto"/>
              </w:rPr>
            </w:pPr>
          </w:p>
        </w:tc>
        <w:tc>
          <w:tcPr>
            <w:tcW w:w="420" w:type="dxa"/>
            <w:vAlign w:val="bottom"/>
            <w:tcBorders>
              <w:bottom w:val="single" w:sz="8" w:color="auto"/>
            </w:tcBorders>
            <w:shd w:val="clear" w:color="auto" w:fill="000000"/>
          </w:tcPr>
          <w:p>
            <w:pPr>
              <w:spacing w:after="0"/>
              <w:rPr>
                <w:sz w:val="14"/>
                <w:szCs w:val="14"/>
                <w:color w:val="auto"/>
              </w:rPr>
            </w:pPr>
          </w:p>
        </w:tc>
        <w:tc>
          <w:tcPr>
            <w:tcW w:w="1180" w:type="dxa"/>
            <w:vAlign w:val="bottom"/>
            <w:tcBorders>
              <w:bottom w:val="single" w:sz="8" w:color="auto"/>
            </w:tcBorders>
            <w:vMerge w:val="continue"/>
            <w:shd w:val="clear" w:color="auto" w:fill="000000"/>
          </w:tcPr>
          <w:p>
            <w:pPr>
              <w:spacing w:after="0"/>
              <w:rPr>
                <w:sz w:val="14"/>
                <w:szCs w:val="14"/>
                <w:color w:val="auto"/>
              </w:rPr>
            </w:pPr>
          </w:p>
        </w:tc>
        <w:tc>
          <w:tcPr>
            <w:tcW w:w="140" w:type="dxa"/>
            <w:vAlign w:val="bottom"/>
            <w:tcBorders>
              <w:bottom w:val="single" w:sz="8" w:color="auto"/>
            </w:tcBorders>
            <w:shd w:val="clear" w:color="auto" w:fill="000000"/>
          </w:tcPr>
          <w:p>
            <w:pPr>
              <w:spacing w:after="0"/>
              <w:rPr>
                <w:sz w:val="14"/>
                <w:szCs w:val="14"/>
                <w:color w:val="auto"/>
              </w:rPr>
            </w:pPr>
          </w:p>
        </w:tc>
        <w:tc>
          <w:tcPr>
            <w:tcW w:w="1460" w:type="dxa"/>
            <w:vAlign w:val="bottom"/>
            <w:tcBorders>
              <w:bottom w:val="single" w:sz="8" w:color="auto"/>
            </w:tcBorders>
            <w:vMerge w:val="continue"/>
            <w:shd w:val="clear" w:color="auto" w:fill="000000"/>
          </w:tcPr>
          <w:p>
            <w:pPr>
              <w:spacing w:after="0"/>
              <w:rPr>
                <w:sz w:val="14"/>
                <w:szCs w:val="14"/>
                <w:color w:val="auto"/>
              </w:rPr>
            </w:pPr>
          </w:p>
        </w:tc>
        <w:tc>
          <w:tcPr>
            <w:tcW w:w="120" w:type="dxa"/>
            <w:vAlign w:val="bottom"/>
            <w:tcBorders>
              <w:bottom w:val="single" w:sz="8" w:color="auto"/>
            </w:tcBorders>
            <w:shd w:val="clear" w:color="auto" w:fill="000000"/>
          </w:tcPr>
          <w:p>
            <w:pPr>
              <w:spacing w:after="0"/>
              <w:rPr>
                <w:sz w:val="14"/>
                <w:szCs w:val="14"/>
                <w:color w:val="auto"/>
              </w:rPr>
            </w:pPr>
          </w:p>
        </w:tc>
        <w:tc>
          <w:tcPr>
            <w:tcW w:w="1480" w:type="dxa"/>
            <w:vAlign w:val="bottom"/>
            <w:tcBorders>
              <w:bottom w:val="single" w:sz="8" w:color="auto"/>
            </w:tcBorders>
            <w:vMerge w:val="continue"/>
            <w:shd w:val="clear" w:color="auto" w:fill="000000"/>
          </w:tcPr>
          <w:p>
            <w:pPr>
              <w:spacing w:after="0"/>
              <w:rPr>
                <w:sz w:val="14"/>
                <w:szCs w:val="14"/>
                <w:color w:val="auto"/>
              </w:rPr>
            </w:pPr>
          </w:p>
        </w:tc>
        <w:tc>
          <w:tcPr>
            <w:tcW w:w="100" w:type="dxa"/>
            <w:vAlign w:val="bottom"/>
            <w:tcBorders>
              <w:bottom w:val="single" w:sz="8" w:color="auto"/>
            </w:tcBorders>
            <w:shd w:val="clear" w:color="auto" w:fill="000000"/>
          </w:tcPr>
          <w:p>
            <w:pPr>
              <w:spacing w:after="0"/>
              <w:rPr>
                <w:sz w:val="14"/>
                <w:szCs w:val="14"/>
                <w:color w:val="auto"/>
              </w:rPr>
            </w:pPr>
          </w:p>
        </w:tc>
        <w:tc>
          <w:tcPr>
            <w:tcW w:w="1500" w:type="dxa"/>
            <w:vAlign w:val="bottom"/>
            <w:tcBorders>
              <w:bottom w:val="single" w:sz="8" w:color="auto"/>
            </w:tcBorders>
            <w:vMerge w:val="continue"/>
            <w:shd w:val="clear" w:color="auto" w:fill="000000"/>
          </w:tcPr>
          <w:p>
            <w:pPr>
              <w:spacing w:after="0"/>
              <w:rPr>
                <w:sz w:val="14"/>
                <w:szCs w:val="14"/>
                <w:color w:val="auto"/>
              </w:rPr>
            </w:pPr>
          </w:p>
        </w:tc>
        <w:tc>
          <w:tcPr>
            <w:tcW w:w="140" w:type="dxa"/>
            <w:vAlign w:val="bottom"/>
            <w:tcBorders>
              <w:bottom w:val="single" w:sz="8" w:color="auto"/>
            </w:tcBorders>
            <w:shd w:val="clear" w:color="auto" w:fill="000000"/>
          </w:tcPr>
          <w:p>
            <w:pPr>
              <w:spacing w:after="0"/>
              <w:rPr>
                <w:sz w:val="14"/>
                <w:szCs w:val="14"/>
                <w:color w:val="auto"/>
              </w:rPr>
            </w:pPr>
          </w:p>
        </w:tc>
        <w:tc>
          <w:tcPr>
            <w:tcW w:w="1620" w:type="dxa"/>
            <w:vAlign w:val="bottom"/>
            <w:tcBorders>
              <w:bottom w:val="single" w:sz="8" w:color="auto"/>
            </w:tcBorders>
            <w:vMerge w:val="continue"/>
            <w:shd w:val="clear" w:color="auto" w:fill="000000"/>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580" w:type="dxa"/>
            <w:vAlign w:val="bottom"/>
          </w:tcPr>
          <w:p>
            <w:pPr>
              <w:jc w:val="center"/>
              <w:spacing w:after="0"/>
              <w:rPr>
                <w:sz w:val="20"/>
                <w:szCs w:val="20"/>
                <w:color w:val="auto"/>
              </w:rPr>
            </w:pPr>
            <w:r>
              <w:rPr>
                <w:rFonts w:ascii="Arial" w:cs="Arial" w:eastAsia="Arial" w:hAnsi="Arial"/>
                <w:sz w:val="13"/>
                <w:szCs w:val="13"/>
                <w:color w:val="auto"/>
              </w:rPr>
              <w:t>2022</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320" w:type="dxa"/>
            <w:vAlign w:val="bottom"/>
          </w:tcPr>
          <w:p>
            <w:pPr>
              <w:jc w:val="right"/>
              <w:spacing w:after="0"/>
              <w:rPr>
                <w:sz w:val="20"/>
                <w:szCs w:val="20"/>
                <w:color w:val="auto"/>
              </w:rPr>
            </w:pPr>
            <w:r>
              <w:rPr>
                <w:rFonts w:ascii="Arial" w:cs="Arial" w:eastAsia="Arial" w:hAnsi="Arial"/>
                <w:sz w:val="13"/>
                <w:szCs w:val="13"/>
                <w:color w:val="auto"/>
              </w:rPr>
              <w:t>696,344</w:t>
            </w:r>
          </w:p>
        </w:tc>
        <w:tc>
          <w:tcPr>
            <w:tcW w:w="420" w:type="dxa"/>
            <w:vAlign w:val="bottom"/>
          </w:tcPr>
          <w:p>
            <w:pPr>
              <w:jc w:val="right"/>
              <w:ind w:right="255"/>
              <w:spacing w:after="0"/>
              <w:rPr>
                <w:sz w:val="20"/>
                <w:szCs w:val="20"/>
                <w:color w:val="auto"/>
              </w:rPr>
            </w:pPr>
            <w:r>
              <w:rPr>
                <w:rFonts w:ascii="Arial" w:cs="Arial" w:eastAsia="Arial" w:hAnsi="Arial"/>
                <w:sz w:val="13"/>
                <w:szCs w:val="13"/>
                <w:color w:val="auto"/>
              </w:rPr>
              <w:t>$</w:t>
            </w:r>
          </w:p>
        </w:tc>
        <w:tc>
          <w:tcPr>
            <w:tcW w:w="1180" w:type="dxa"/>
            <w:vAlign w:val="bottom"/>
          </w:tcPr>
          <w:p>
            <w:pPr>
              <w:jc w:val="right"/>
              <w:spacing w:after="0"/>
              <w:rPr>
                <w:sz w:val="20"/>
                <w:szCs w:val="20"/>
                <w:color w:val="auto"/>
              </w:rPr>
            </w:pPr>
            <w:r>
              <w:rPr>
                <w:rFonts w:ascii="Arial" w:cs="Arial" w:eastAsia="Arial" w:hAnsi="Arial"/>
                <w:sz w:val="13"/>
                <w:szCs w:val="13"/>
                <w:color w:val="auto"/>
              </w:rPr>
              <w:t>26,329</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460" w:type="dxa"/>
            <w:vAlign w:val="bottom"/>
          </w:tcPr>
          <w:p>
            <w:pPr>
              <w:jc w:val="right"/>
              <w:spacing w:after="0"/>
              <w:rPr>
                <w:sz w:val="20"/>
                <w:szCs w:val="20"/>
                <w:color w:val="auto"/>
              </w:rPr>
            </w:pPr>
            <w:r>
              <w:rPr>
                <w:rFonts w:ascii="Arial" w:cs="Arial" w:eastAsia="Arial" w:hAnsi="Arial"/>
                <w:sz w:val="13"/>
                <w:szCs w:val="13"/>
                <w:color w:val="auto"/>
              </w:rPr>
              <w:t>49,995</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480" w:type="dxa"/>
            <w:vAlign w:val="bottom"/>
          </w:tcPr>
          <w:p>
            <w:pPr>
              <w:jc w:val="right"/>
              <w:spacing w:after="0"/>
              <w:rPr>
                <w:sz w:val="20"/>
                <w:szCs w:val="20"/>
                <w:color w:val="auto"/>
              </w:rPr>
            </w:pPr>
            <w:r>
              <w:rPr>
                <w:rFonts w:ascii="Arial" w:cs="Arial" w:eastAsia="Arial" w:hAnsi="Arial"/>
                <w:sz w:val="13"/>
                <w:szCs w:val="13"/>
                <w:color w:val="auto"/>
              </w:rPr>
              <w:t>7,621</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500" w:type="dxa"/>
            <w:vAlign w:val="bottom"/>
          </w:tcPr>
          <w:p>
            <w:pPr>
              <w:jc w:val="right"/>
              <w:spacing w:after="0"/>
              <w:rPr>
                <w:sz w:val="20"/>
                <w:szCs w:val="20"/>
                <w:color w:val="auto"/>
              </w:rPr>
            </w:pPr>
            <w:r>
              <w:rPr>
                <w:rFonts w:ascii="Arial" w:cs="Arial" w:eastAsia="Arial" w:hAnsi="Arial"/>
                <w:sz w:val="13"/>
                <w:szCs w:val="13"/>
                <w:color w:val="auto"/>
              </w:rPr>
              <w:t>(197,649)</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620" w:type="dxa"/>
            <w:vAlign w:val="bottom"/>
          </w:tcPr>
          <w:p>
            <w:pPr>
              <w:jc w:val="right"/>
              <w:spacing w:after="0"/>
              <w:rPr>
                <w:sz w:val="20"/>
                <w:szCs w:val="20"/>
                <w:color w:val="auto"/>
              </w:rPr>
            </w:pPr>
            <w:r>
              <w:rPr>
                <w:rFonts w:ascii="Arial" w:cs="Arial" w:eastAsia="Arial" w:hAnsi="Arial"/>
                <w:sz w:val="13"/>
                <w:szCs w:val="13"/>
                <w:color w:val="auto"/>
              </w:rPr>
              <w:t>582,641</w:t>
            </w:r>
          </w:p>
        </w:tc>
        <w:tc>
          <w:tcPr>
            <w:tcW w:w="0" w:type="dxa"/>
            <w:vAlign w:val="bottom"/>
          </w:tcPr>
          <w:p>
            <w:pPr>
              <w:spacing w:after="0"/>
              <w:rPr>
                <w:sz w:val="1"/>
                <w:szCs w:val="1"/>
                <w:color w:val="auto"/>
              </w:rPr>
            </w:pPr>
          </w:p>
        </w:tc>
      </w:tr>
      <w:tr>
        <w:trPr>
          <w:trHeight w:val="186"/>
        </w:trPr>
        <w:tc>
          <w:tcPr>
            <w:tcW w:w="1580" w:type="dxa"/>
            <w:vAlign w:val="bottom"/>
            <w:shd w:val="clear" w:color="auto" w:fill="DBDBDB"/>
          </w:tcPr>
          <w:p>
            <w:pPr>
              <w:jc w:val="center"/>
              <w:spacing w:after="0"/>
              <w:rPr>
                <w:sz w:val="20"/>
                <w:szCs w:val="20"/>
                <w:color w:val="auto"/>
              </w:rPr>
            </w:pPr>
            <w:r>
              <w:rPr>
                <w:rFonts w:ascii="Arial" w:cs="Arial" w:eastAsia="Arial" w:hAnsi="Arial"/>
                <w:sz w:val="13"/>
                <w:szCs w:val="13"/>
                <w:color w:val="auto"/>
              </w:rPr>
              <w:t>2021</w:t>
            </w:r>
          </w:p>
        </w:tc>
        <w:tc>
          <w:tcPr>
            <w:tcW w:w="120" w:type="dxa"/>
            <w:vAlign w:val="bottom"/>
            <w:shd w:val="clear" w:color="auto" w:fill="DBDBDB"/>
          </w:tcPr>
          <w:p>
            <w:pPr>
              <w:spacing w:after="0"/>
              <w:rPr>
                <w:sz w:val="16"/>
                <w:szCs w:val="16"/>
                <w:color w:val="auto"/>
              </w:rPr>
            </w:pPr>
          </w:p>
        </w:tc>
        <w:tc>
          <w:tcPr>
            <w:tcW w:w="13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533,128</w:t>
            </w:r>
          </w:p>
        </w:tc>
        <w:tc>
          <w:tcPr>
            <w:tcW w:w="420" w:type="dxa"/>
            <w:vAlign w:val="bottom"/>
            <w:shd w:val="clear" w:color="auto" w:fill="DBDBDB"/>
          </w:tcPr>
          <w:p>
            <w:pPr>
              <w:spacing w:after="0"/>
              <w:rPr>
                <w:sz w:val="16"/>
                <w:szCs w:val="16"/>
                <w:color w:val="auto"/>
              </w:rPr>
            </w:pPr>
          </w:p>
        </w:tc>
        <w:tc>
          <w:tcPr>
            <w:tcW w:w="11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(147,992)</w:t>
            </w:r>
          </w:p>
        </w:tc>
        <w:tc>
          <w:tcPr>
            <w:tcW w:w="140" w:type="dxa"/>
            <w:vAlign w:val="bottom"/>
            <w:shd w:val="clear" w:color="auto" w:fill="DBDBDB"/>
          </w:tcPr>
          <w:p>
            <w:pPr>
              <w:spacing w:after="0"/>
              <w:rPr>
                <w:sz w:val="16"/>
                <w:szCs w:val="16"/>
                <w:color w:val="auto"/>
              </w:rPr>
            </w:pPr>
          </w:p>
        </w:tc>
        <w:tc>
          <w:tcPr>
            <w:tcW w:w="14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10,345</w:t>
            </w:r>
          </w:p>
        </w:tc>
        <w:tc>
          <w:tcPr>
            <w:tcW w:w="120" w:type="dxa"/>
            <w:vAlign w:val="bottom"/>
            <w:shd w:val="clear" w:color="auto" w:fill="DBDBDB"/>
          </w:tcPr>
          <w:p>
            <w:pPr>
              <w:spacing w:after="0"/>
              <w:rPr>
                <w:sz w:val="16"/>
                <w:szCs w:val="16"/>
                <w:color w:val="auto"/>
              </w:rPr>
            </w:pPr>
          </w:p>
        </w:tc>
        <w:tc>
          <w:tcPr>
            <w:tcW w:w="14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10,354</w:t>
            </w:r>
          </w:p>
        </w:tc>
        <w:tc>
          <w:tcPr>
            <w:tcW w:w="100" w:type="dxa"/>
            <w:vAlign w:val="bottom"/>
            <w:shd w:val="clear" w:color="auto" w:fill="DBDBDB"/>
          </w:tcPr>
          <w:p>
            <w:pPr>
              <w:spacing w:after="0"/>
              <w:rPr>
                <w:sz w:val="16"/>
                <w:szCs w:val="16"/>
                <w:color w:val="auto"/>
              </w:rPr>
            </w:pPr>
          </w:p>
        </w:tc>
        <w:tc>
          <w:tcPr>
            <w:tcW w:w="1500" w:type="dxa"/>
            <w:vAlign w:val="bottom"/>
            <w:shd w:val="clear" w:color="auto" w:fill="DBDBDB"/>
          </w:tcPr>
          <w:p>
            <w:pPr>
              <w:ind w:left="1300"/>
              <w:spacing w:after="0"/>
              <w:rPr>
                <w:sz w:val="20"/>
                <w:szCs w:val="20"/>
                <w:color w:val="auto"/>
              </w:rPr>
            </w:pPr>
            <w:r>
              <w:rPr>
                <w:rFonts w:ascii="Arial" w:cs="Arial" w:eastAsia="Arial" w:hAnsi="Arial"/>
                <w:sz w:val="13"/>
                <w:szCs w:val="13"/>
                <w:color w:val="auto"/>
              </w:rPr>
              <w:t>—</w:t>
            </w:r>
          </w:p>
        </w:tc>
        <w:tc>
          <w:tcPr>
            <w:tcW w:w="140" w:type="dxa"/>
            <w:vAlign w:val="bottom"/>
            <w:shd w:val="clear" w:color="auto" w:fill="DBDBDB"/>
          </w:tcPr>
          <w:p>
            <w:pPr>
              <w:spacing w:after="0"/>
              <w:rPr>
                <w:sz w:val="16"/>
                <w:szCs w:val="16"/>
                <w:color w:val="auto"/>
              </w:rPr>
            </w:pPr>
          </w:p>
        </w:tc>
        <w:tc>
          <w:tcPr>
            <w:tcW w:w="162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405,834</w:t>
            </w:r>
          </w:p>
        </w:tc>
        <w:tc>
          <w:tcPr>
            <w:tcW w:w="0" w:type="dxa"/>
            <w:vAlign w:val="bottom"/>
          </w:tcPr>
          <w:p>
            <w:pPr>
              <w:spacing w:after="0"/>
              <w:rPr>
                <w:sz w:val="1"/>
                <w:szCs w:val="1"/>
                <w:color w:val="auto"/>
              </w:rPr>
            </w:pPr>
          </w:p>
        </w:tc>
      </w:tr>
      <w:tr>
        <w:trPr>
          <w:trHeight w:val="176"/>
        </w:trPr>
        <w:tc>
          <w:tcPr>
            <w:tcW w:w="1580" w:type="dxa"/>
            <w:vAlign w:val="bottom"/>
          </w:tcPr>
          <w:p>
            <w:pPr>
              <w:jc w:val="center"/>
              <w:spacing w:after="0"/>
              <w:rPr>
                <w:sz w:val="20"/>
                <w:szCs w:val="20"/>
                <w:color w:val="auto"/>
              </w:rPr>
            </w:pPr>
            <w:r>
              <w:rPr>
                <w:rFonts w:ascii="Arial" w:cs="Arial" w:eastAsia="Arial" w:hAnsi="Arial"/>
                <w:sz w:val="13"/>
                <w:szCs w:val="13"/>
                <w:color w:val="auto"/>
              </w:rPr>
              <w:t>2020</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3"/>
                <w:szCs w:val="13"/>
                <w:color w:val="auto"/>
              </w:rPr>
              <w:t>610,531</w:t>
            </w:r>
          </w:p>
        </w:tc>
        <w:tc>
          <w:tcPr>
            <w:tcW w:w="4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(27,351)</w:t>
            </w:r>
          </w:p>
        </w:tc>
        <w:tc>
          <w:tcPr>
            <w:tcW w:w="14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3"/>
                <w:szCs w:val="13"/>
                <w:color w:val="auto"/>
              </w:rPr>
              <w:t>40,790</w:t>
            </w:r>
          </w:p>
        </w:tc>
        <w:tc>
          <w:tcPr>
            <w:tcW w:w="12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3"/>
                <w:szCs w:val="13"/>
                <w:color w:val="auto"/>
              </w:rPr>
              <w:t>13,744</w:t>
            </w:r>
          </w:p>
        </w:tc>
        <w:tc>
          <w:tcPr>
            <w:tcW w:w="100" w:type="dxa"/>
            <w:vAlign w:val="bottom"/>
          </w:tcPr>
          <w:p>
            <w:pPr>
              <w:spacing w:after="0"/>
              <w:rPr>
                <w:sz w:val="15"/>
                <w:szCs w:val="15"/>
                <w:color w:val="auto"/>
              </w:rPr>
            </w:pPr>
          </w:p>
        </w:tc>
        <w:tc>
          <w:tcPr>
            <w:tcW w:w="1500" w:type="dxa"/>
            <w:vAlign w:val="bottom"/>
          </w:tcPr>
          <w:p>
            <w:pPr>
              <w:ind w:left="130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3"/>
                <w:szCs w:val="13"/>
                <w:color w:val="auto"/>
              </w:rPr>
              <w:t>637,714</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The Company considers the following metrics to most closely link pay to performance: (1) operating income; (2) operating cash flow; (3) EBITDA; (4) ROIC; and (5) total shareholder return.</w:t>
      </w:r>
    </w:p>
    <w:p>
      <w:pPr>
        <w:spacing w:after="0" w:line="260"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3" w:name="page64"/>
    <w:bookmarkEnd w:id="63"/>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44"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3"/>
          <w:szCs w:val="13"/>
          <w:color w:val="auto"/>
        </w:rPr>
        <w:t>PAY VERSUS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714565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Relationship between Pay and Performance</w:t>
      </w:r>
    </w:p>
    <w:p>
      <w:pPr>
        <w:spacing w:after="0" w:line="108"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color w:val="auto"/>
        </w:rPr>
        <w:t>The following graphs shows the relationship of “compensation actually paid” ("CAP") to our CEO and the average CAP to our Non-CEO NEOs in 2020, 2021 and 2022 relative to (i) BWXT TSR and the S&amp;P 500 A&amp;D Index TSR ("Peer Group TSR"), (ii) our adjusted EBITDA and (iii) our net income. A reconciliation of adjusted EBITDA to net income is included in 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43815</wp:posOffset>
            </wp:positionV>
            <wp:extent cx="5259070" cy="350329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59070" cy="350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EQUITY COMPENSATION PLAN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provides information on our equity compensation plans as of December 31, 2022.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700" w:type="dxa"/>
            <w:vAlign w:val="bottom"/>
            <w:shd w:val="clear" w:color="auto" w:fill="000000"/>
          </w:tcPr>
          <w:p>
            <w:pPr>
              <w:spacing w:after="0"/>
              <w:rPr>
                <w:sz w:val="12"/>
                <w:szCs w:val="12"/>
                <w:color w:val="auto"/>
              </w:rPr>
            </w:pPr>
          </w:p>
        </w:tc>
        <w:tc>
          <w:tcPr>
            <w:tcW w:w="2950" w:type="dxa"/>
            <w:vAlign w:val="bottom"/>
            <w:shd w:val="clear" w:color="auto" w:fill="000000"/>
          </w:tcPr>
          <w:p>
            <w:pPr>
              <w:spacing w:after="0"/>
              <w:rPr>
                <w:sz w:val="12"/>
                <w:szCs w:val="12"/>
                <w:color w:val="auto"/>
              </w:rPr>
            </w:pPr>
          </w:p>
        </w:tc>
        <w:tc>
          <w:tcPr>
            <w:tcW w:w="90" w:type="dxa"/>
            <w:vAlign w:val="bottom"/>
            <w:shd w:val="clear" w:color="auto" w:fill="000000"/>
          </w:tcPr>
          <w:p>
            <w:pPr>
              <w:spacing w:after="0"/>
              <w:rPr>
                <w:sz w:val="12"/>
                <w:szCs w:val="12"/>
                <w:color w:val="auto"/>
              </w:rPr>
            </w:pPr>
          </w:p>
        </w:tc>
        <w:tc>
          <w:tcPr>
            <w:tcW w:w="2420" w:type="dxa"/>
            <w:vAlign w:val="bottom"/>
            <w:shd w:val="clear" w:color="auto" w:fill="000000"/>
          </w:tcPr>
          <w:p>
            <w:pPr>
              <w:spacing w:after="0"/>
              <w:rPr>
                <w:sz w:val="12"/>
                <w:szCs w:val="12"/>
                <w:color w:val="auto"/>
              </w:rPr>
            </w:pPr>
          </w:p>
        </w:tc>
        <w:tc>
          <w:tcPr>
            <w:tcW w:w="100" w:type="dxa"/>
            <w:vAlign w:val="bottom"/>
            <w:shd w:val="clear" w:color="auto" w:fill="000000"/>
          </w:tcPr>
          <w:p>
            <w:pPr>
              <w:spacing w:after="0"/>
              <w:rPr>
                <w:sz w:val="12"/>
                <w:szCs w:val="12"/>
                <w:color w:val="auto"/>
              </w:rPr>
            </w:pPr>
          </w:p>
        </w:tc>
        <w:tc>
          <w:tcPr>
            <w:tcW w:w="2410" w:type="dxa"/>
            <w:vAlign w:val="bottom"/>
            <w:shd w:val="clear" w:color="auto" w:fill="000000"/>
          </w:tcPr>
          <w:p>
            <w:pPr>
              <w:spacing w:after="0"/>
              <w:rPr>
                <w:sz w:val="12"/>
                <w:szCs w:val="12"/>
                <w:color w:val="auto"/>
              </w:rPr>
            </w:pPr>
          </w:p>
        </w:tc>
        <w:tc>
          <w:tcPr>
            <w:tcW w:w="90" w:type="dxa"/>
            <w:vAlign w:val="bottom"/>
            <w:shd w:val="clear" w:color="auto" w:fill="000000"/>
          </w:tcPr>
          <w:p>
            <w:pPr>
              <w:spacing w:after="0"/>
              <w:rPr>
                <w:sz w:val="12"/>
                <w:szCs w:val="12"/>
                <w:color w:val="auto"/>
              </w:rPr>
            </w:pPr>
          </w:p>
        </w:tc>
        <w:tc>
          <w:tcPr>
            <w:tcW w:w="24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Number of securities remaining</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700" w:type="dxa"/>
            <w:vAlign w:val="bottom"/>
            <w:shd w:val="clear" w:color="auto" w:fill="000000"/>
          </w:tcPr>
          <w:p>
            <w:pPr>
              <w:spacing w:after="0"/>
              <w:rPr>
                <w:sz w:val="10"/>
                <w:szCs w:val="10"/>
                <w:color w:val="auto"/>
              </w:rPr>
            </w:pPr>
          </w:p>
        </w:tc>
        <w:tc>
          <w:tcPr>
            <w:tcW w:w="2950" w:type="dxa"/>
            <w:vAlign w:val="bottom"/>
            <w:shd w:val="clear" w:color="auto" w:fill="000000"/>
          </w:tcPr>
          <w:p>
            <w:pPr>
              <w:spacing w:after="0"/>
              <w:rPr>
                <w:sz w:val="10"/>
                <w:szCs w:val="10"/>
                <w:color w:val="auto"/>
              </w:rPr>
            </w:pPr>
          </w:p>
        </w:tc>
        <w:tc>
          <w:tcPr>
            <w:tcW w:w="90" w:type="dxa"/>
            <w:vAlign w:val="bottom"/>
            <w:shd w:val="clear" w:color="auto" w:fill="000000"/>
          </w:tcPr>
          <w:p>
            <w:pPr>
              <w:spacing w:after="0"/>
              <w:rPr>
                <w:sz w:val="10"/>
                <w:szCs w:val="10"/>
                <w:color w:val="auto"/>
              </w:rPr>
            </w:pPr>
          </w:p>
        </w:tc>
        <w:tc>
          <w:tcPr>
            <w:tcW w:w="242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rPr>
              <w:t>Number of securities to be issued</w:t>
            </w:r>
          </w:p>
        </w:tc>
        <w:tc>
          <w:tcPr>
            <w:tcW w:w="100" w:type="dxa"/>
            <w:vAlign w:val="bottom"/>
            <w:shd w:val="clear" w:color="auto" w:fill="000000"/>
          </w:tcPr>
          <w:p>
            <w:pPr>
              <w:spacing w:after="0"/>
              <w:rPr>
                <w:sz w:val="10"/>
                <w:szCs w:val="10"/>
                <w:color w:val="auto"/>
              </w:rPr>
            </w:pPr>
          </w:p>
        </w:tc>
        <w:tc>
          <w:tcPr>
            <w:tcW w:w="2410" w:type="dxa"/>
            <w:vAlign w:val="bottom"/>
            <w:vMerge w:val="restart"/>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Weighted-average exercise price of</w:t>
            </w:r>
          </w:p>
        </w:tc>
        <w:tc>
          <w:tcPr>
            <w:tcW w:w="90" w:type="dxa"/>
            <w:vAlign w:val="bottom"/>
            <w:shd w:val="clear" w:color="auto" w:fill="000000"/>
          </w:tcPr>
          <w:p>
            <w:pPr>
              <w:spacing w:after="0"/>
              <w:rPr>
                <w:sz w:val="10"/>
                <w:szCs w:val="10"/>
                <w:color w:val="auto"/>
              </w:rPr>
            </w:pPr>
          </w:p>
        </w:tc>
        <w:tc>
          <w:tcPr>
            <w:tcW w:w="2420" w:type="dxa"/>
            <w:vAlign w:val="bottom"/>
            <w:shd w:val="clear" w:color="auto" w:fill="000000"/>
          </w:tcPr>
          <w:p>
            <w:pPr>
              <w:jc w:val="center"/>
              <w:spacing w:after="0" w:line="126" w:lineRule="exact"/>
              <w:rPr>
                <w:sz w:val="20"/>
                <w:szCs w:val="20"/>
                <w:color w:val="auto"/>
              </w:rPr>
            </w:pPr>
            <w:r>
              <w:rPr>
                <w:rFonts w:ascii="Arial" w:cs="Arial" w:eastAsia="Arial" w:hAnsi="Arial"/>
                <w:sz w:val="13"/>
                <w:szCs w:val="13"/>
                <w:b w:val="1"/>
                <w:bCs w:val="1"/>
                <w:color w:val="FFFFFF"/>
                <w:w w:val="99"/>
              </w:rPr>
              <w:t>available for future issuances under</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700" w:type="dxa"/>
            <w:vAlign w:val="bottom"/>
            <w:shd w:val="clear" w:color="auto" w:fill="000000"/>
          </w:tcPr>
          <w:p>
            <w:pPr>
              <w:spacing w:after="0"/>
              <w:rPr>
                <w:sz w:val="11"/>
                <w:szCs w:val="11"/>
                <w:color w:val="auto"/>
              </w:rPr>
            </w:pPr>
          </w:p>
        </w:tc>
        <w:tc>
          <w:tcPr>
            <w:tcW w:w="2950" w:type="dxa"/>
            <w:vAlign w:val="bottom"/>
            <w:shd w:val="clear" w:color="auto" w:fill="000000"/>
          </w:tcPr>
          <w:p>
            <w:pPr>
              <w:spacing w:after="0"/>
              <w:rPr>
                <w:sz w:val="11"/>
                <w:szCs w:val="11"/>
                <w:color w:val="auto"/>
              </w:rPr>
            </w:pPr>
          </w:p>
        </w:tc>
        <w:tc>
          <w:tcPr>
            <w:tcW w:w="90" w:type="dxa"/>
            <w:vAlign w:val="bottom"/>
            <w:shd w:val="clear" w:color="auto" w:fill="000000"/>
          </w:tcPr>
          <w:p>
            <w:pPr>
              <w:spacing w:after="0"/>
              <w:rPr>
                <w:sz w:val="11"/>
                <w:szCs w:val="11"/>
                <w:color w:val="auto"/>
              </w:rPr>
            </w:pPr>
          </w:p>
        </w:tc>
        <w:tc>
          <w:tcPr>
            <w:tcW w:w="2420" w:type="dxa"/>
            <w:vAlign w:val="bottom"/>
            <w:vMerge w:val="continue"/>
            <w:shd w:val="clear" w:color="auto" w:fill="000000"/>
          </w:tcPr>
          <w:p>
            <w:pPr>
              <w:spacing w:after="0"/>
              <w:rPr>
                <w:sz w:val="11"/>
                <w:szCs w:val="11"/>
                <w:color w:val="auto"/>
              </w:rPr>
            </w:pPr>
          </w:p>
        </w:tc>
        <w:tc>
          <w:tcPr>
            <w:tcW w:w="100" w:type="dxa"/>
            <w:vAlign w:val="bottom"/>
            <w:shd w:val="clear" w:color="auto" w:fill="000000"/>
          </w:tcPr>
          <w:p>
            <w:pPr>
              <w:spacing w:after="0"/>
              <w:rPr>
                <w:sz w:val="11"/>
                <w:szCs w:val="11"/>
                <w:color w:val="auto"/>
              </w:rPr>
            </w:pPr>
          </w:p>
        </w:tc>
        <w:tc>
          <w:tcPr>
            <w:tcW w:w="2410" w:type="dxa"/>
            <w:vAlign w:val="bottom"/>
            <w:vMerge w:val="continue"/>
            <w:shd w:val="clear" w:color="auto" w:fill="000000"/>
          </w:tcPr>
          <w:p>
            <w:pPr>
              <w:spacing w:after="0"/>
              <w:rPr>
                <w:sz w:val="11"/>
                <w:szCs w:val="11"/>
                <w:color w:val="auto"/>
              </w:rPr>
            </w:pPr>
          </w:p>
        </w:tc>
        <w:tc>
          <w:tcPr>
            <w:tcW w:w="90" w:type="dxa"/>
            <w:vAlign w:val="bottom"/>
            <w:shd w:val="clear" w:color="auto" w:fill="000000"/>
          </w:tcPr>
          <w:p>
            <w:pPr>
              <w:spacing w:after="0"/>
              <w:rPr>
                <w:sz w:val="11"/>
                <w:szCs w:val="11"/>
                <w:color w:val="auto"/>
              </w:rPr>
            </w:pPr>
          </w:p>
        </w:tc>
        <w:tc>
          <w:tcPr>
            <w:tcW w:w="2420" w:type="dxa"/>
            <w:vAlign w:val="bottom"/>
            <w:shd w:val="clear" w:color="auto" w:fill="000000"/>
          </w:tcPr>
          <w:p>
            <w:pPr>
              <w:jc w:val="center"/>
              <w:spacing w:after="0" w:line="129" w:lineRule="exact"/>
              <w:rPr>
                <w:sz w:val="20"/>
                <w:szCs w:val="20"/>
                <w:color w:val="auto"/>
              </w:rPr>
            </w:pPr>
            <w:r>
              <w:rPr>
                <w:rFonts w:ascii="Arial" w:cs="Arial" w:eastAsia="Arial" w:hAnsi="Arial"/>
                <w:sz w:val="13"/>
                <w:szCs w:val="13"/>
                <w:b w:val="1"/>
                <w:bCs w:val="1"/>
                <w:color w:val="FFFFFF"/>
                <w:w w:val="99"/>
              </w:rPr>
              <w:t>equity compensation plans (excluding</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3650" w:type="dxa"/>
            <w:vAlign w:val="bottom"/>
            <w:gridSpan w:val="2"/>
            <w:vMerge w:val="restart"/>
            <w:shd w:val="clear" w:color="auto" w:fill="000000"/>
          </w:tcPr>
          <w:p>
            <w:pPr>
              <w:ind w:left="20"/>
              <w:spacing w:after="0"/>
              <w:rPr>
                <w:sz w:val="20"/>
                <w:szCs w:val="20"/>
                <w:color w:val="auto"/>
              </w:rPr>
            </w:pPr>
            <w:r>
              <w:rPr>
                <w:rFonts w:ascii="Arial" w:cs="Arial" w:eastAsia="Arial" w:hAnsi="Arial"/>
                <w:sz w:val="13"/>
                <w:szCs w:val="13"/>
                <w:b w:val="1"/>
                <w:bCs w:val="1"/>
                <w:color w:val="FFFFFF"/>
              </w:rPr>
              <w:t>Plan Category</w:t>
            </w:r>
          </w:p>
        </w:tc>
        <w:tc>
          <w:tcPr>
            <w:tcW w:w="90" w:type="dxa"/>
            <w:vAlign w:val="bottom"/>
            <w:shd w:val="clear" w:color="auto" w:fill="000000"/>
          </w:tcPr>
          <w:p>
            <w:pPr>
              <w:spacing w:after="0"/>
              <w:rPr>
                <w:sz w:val="11"/>
                <w:szCs w:val="11"/>
                <w:color w:val="auto"/>
              </w:rPr>
            </w:pPr>
          </w:p>
        </w:tc>
        <w:tc>
          <w:tcPr>
            <w:tcW w:w="2420"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9"/>
              </w:rPr>
              <w:t>upon exercise of outstanding options,</w:t>
            </w:r>
          </w:p>
        </w:tc>
        <w:tc>
          <w:tcPr>
            <w:tcW w:w="100" w:type="dxa"/>
            <w:vAlign w:val="bottom"/>
            <w:shd w:val="clear" w:color="auto" w:fill="000000"/>
          </w:tcPr>
          <w:p>
            <w:pPr>
              <w:spacing w:after="0"/>
              <w:rPr>
                <w:sz w:val="11"/>
                <w:szCs w:val="11"/>
                <w:color w:val="auto"/>
              </w:rPr>
            </w:pPr>
          </w:p>
        </w:tc>
        <w:tc>
          <w:tcPr>
            <w:tcW w:w="2410"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w w:val="99"/>
              </w:rPr>
              <w:t>outstanding options, warrants and</w:t>
            </w:r>
          </w:p>
        </w:tc>
        <w:tc>
          <w:tcPr>
            <w:tcW w:w="90" w:type="dxa"/>
            <w:vAlign w:val="bottom"/>
            <w:shd w:val="clear" w:color="auto" w:fill="000000"/>
          </w:tcPr>
          <w:p>
            <w:pPr>
              <w:spacing w:after="0"/>
              <w:rPr>
                <w:sz w:val="11"/>
                <w:szCs w:val="11"/>
                <w:color w:val="auto"/>
              </w:rPr>
            </w:pPr>
          </w:p>
        </w:tc>
        <w:tc>
          <w:tcPr>
            <w:tcW w:w="2420" w:type="dxa"/>
            <w:vAlign w:val="bottom"/>
            <w:shd w:val="clear" w:color="auto" w:fill="000000"/>
          </w:tcPr>
          <w:p>
            <w:pPr>
              <w:jc w:val="center"/>
              <w:spacing w:after="0" w:line="134" w:lineRule="exact"/>
              <w:rPr>
                <w:sz w:val="20"/>
                <w:szCs w:val="20"/>
                <w:color w:val="auto"/>
              </w:rPr>
            </w:pPr>
            <w:r>
              <w:rPr>
                <w:rFonts w:ascii="Arial" w:cs="Arial" w:eastAsia="Arial" w:hAnsi="Arial"/>
                <w:sz w:val="13"/>
                <w:szCs w:val="13"/>
                <w:b w:val="1"/>
                <w:bCs w:val="1"/>
                <w:color w:val="FFFFFF"/>
              </w:rPr>
              <w:t>securities reflected in the first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40" w:type="dxa"/>
            <w:vAlign w:val="bottom"/>
          </w:tcPr>
          <w:p>
            <w:pPr>
              <w:spacing w:after="0"/>
              <w:rPr>
                <w:sz w:val="15"/>
                <w:szCs w:val="15"/>
                <w:color w:val="auto"/>
              </w:rPr>
            </w:pPr>
          </w:p>
        </w:tc>
        <w:tc>
          <w:tcPr>
            <w:tcW w:w="3650" w:type="dxa"/>
            <w:vAlign w:val="bottom"/>
            <w:gridSpan w:val="2"/>
            <w:vMerge w:val="continue"/>
            <w:shd w:val="clear" w:color="auto" w:fill="000000"/>
          </w:tcPr>
          <w:p>
            <w:pPr>
              <w:spacing w:after="0"/>
              <w:rPr>
                <w:sz w:val="15"/>
                <w:szCs w:val="15"/>
                <w:color w:val="auto"/>
              </w:rPr>
            </w:pPr>
          </w:p>
        </w:tc>
        <w:tc>
          <w:tcPr>
            <w:tcW w:w="90" w:type="dxa"/>
            <w:vAlign w:val="bottom"/>
            <w:shd w:val="clear" w:color="auto" w:fill="000000"/>
          </w:tcPr>
          <w:p>
            <w:pPr>
              <w:spacing w:after="0"/>
              <w:rPr>
                <w:sz w:val="15"/>
                <w:szCs w:val="15"/>
                <w:color w:val="auto"/>
              </w:rPr>
            </w:pPr>
          </w:p>
        </w:tc>
        <w:tc>
          <w:tcPr>
            <w:tcW w:w="24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warrants and rights</w:t>
            </w:r>
          </w:p>
        </w:tc>
        <w:tc>
          <w:tcPr>
            <w:tcW w:w="100" w:type="dxa"/>
            <w:vAlign w:val="bottom"/>
            <w:shd w:val="clear" w:color="auto" w:fill="000000"/>
          </w:tcPr>
          <w:p>
            <w:pPr>
              <w:spacing w:after="0"/>
              <w:rPr>
                <w:sz w:val="15"/>
                <w:szCs w:val="15"/>
                <w:color w:val="auto"/>
              </w:rPr>
            </w:pPr>
          </w:p>
        </w:tc>
        <w:tc>
          <w:tcPr>
            <w:tcW w:w="241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9"/>
              </w:rPr>
              <w:t>rights</w:t>
            </w:r>
          </w:p>
        </w:tc>
        <w:tc>
          <w:tcPr>
            <w:tcW w:w="90" w:type="dxa"/>
            <w:vAlign w:val="bottom"/>
            <w:shd w:val="clear" w:color="auto" w:fill="000000"/>
          </w:tcPr>
          <w:p>
            <w:pPr>
              <w:spacing w:after="0"/>
              <w:rPr>
                <w:sz w:val="15"/>
                <w:szCs w:val="15"/>
                <w:color w:val="auto"/>
              </w:rPr>
            </w:pPr>
          </w:p>
        </w:tc>
        <w:tc>
          <w:tcPr>
            <w:tcW w:w="242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w w:val="98"/>
              </w:rPr>
              <w:t>column)</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3740" w:type="dxa"/>
            <w:vAlign w:val="bottom"/>
            <w:gridSpan w:val="3"/>
          </w:tcPr>
          <w:p>
            <w:pPr>
              <w:ind w:left="20"/>
              <w:spacing w:after="0" w:line="158" w:lineRule="exact"/>
              <w:rPr>
                <w:sz w:val="20"/>
                <w:szCs w:val="20"/>
                <w:color w:val="auto"/>
              </w:rPr>
            </w:pPr>
            <w:r>
              <w:rPr>
                <w:rFonts w:ascii="Arial" w:cs="Arial" w:eastAsia="Arial" w:hAnsi="Arial"/>
                <w:sz w:val="16"/>
                <w:szCs w:val="16"/>
                <w:color w:val="auto"/>
              </w:rPr>
              <w:t>Equity compensation plans approved by security</w:t>
            </w:r>
          </w:p>
        </w:tc>
        <w:tc>
          <w:tcPr>
            <w:tcW w:w="2420" w:type="dxa"/>
            <w:vAlign w:val="bottom"/>
            <w:vMerge w:val="restart"/>
          </w:tcPr>
          <w:p>
            <w:pPr>
              <w:jc w:val="right"/>
              <w:ind w:right="551"/>
              <w:spacing w:after="0"/>
              <w:rPr>
                <w:sz w:val="20"/>
                <w:szCs w:val="20"/>
                <w:color w:val="auto"/>
              </w:rPr>
            </w:pPr>
            <w:r>
              <w:rPr>
                <w:rFonts w:ascii="Arial" w:cs="Arial" w:eastAsia="Arial" w:hAnsi="Arial"/>
                <w:sz w:val="16"/>
                <w:szCs w:val="16"/>
                <w:color w:val="auto"/>
              </w:rPr>
              <w:t>89,512</w:t>
            </w:r>
          </w:p>
        </w:tc>
        <w:tc>
          <w:tcPr>
            <w:tcW w:w="100" w:type="dxa"/>
            <w:vAlign w:val="bottom"/>
          </w:tcPr>
          <w:p>
            <w:pPr>
              <w:spacing w:after="0"/>
              <w:rPr>
                <w:sz w:val="13"/>
                <w:szCs w:val="13"/>
                <w:color w:val="auto"/>
              </w:rPr>
            </w:pPr>
          </w:p>
        </w:tc>
        <w:tc>
          <w:tcPr>
            <w:tcW w:w="2410" w:type="dxa"/>
            <w:vAlign w:val="bottom"/>
            <w:vMerge w:val="restart"/>
          </w:tcPr>
          <w:p>
            <w:pPr>
              <w:jc w:val="center"/>
              <w:spacing w:after="0"/>
              <w:rPr>
                <w:sz w:val="20"/>
                <w:szCs w:val="20"/>
                <w:color w:val="auto"/>
              </w:rPr>
            </w:pPr>
            <w:r>
              <w:rPr>
                <w:rFonts w:ascii="Arial" w:cs="Arial" w:eastAsia="Arial" w:hAnsi="Arial"/>
                <w:sz w:val="16"/>
                <w:szCs w:val="16"/>
                <w:color w:val="auto"/>
              </w:rPr>
              <w:t>$23.62</w:t>
            </w:r>
          </w:p>
        </w:tc>
        <w:tc>
          <w:tcPr>
            <w:tcW w:w="90" w:type="dxa"/>
            <w:vAlign w:val="bottom"/>
          </w:tcPr>
          <w:p>
            <w:pPr>
              <w:spacing w:after="0"/>
              <w:rPr>
                <w:sz w:val="13"/>
                <w:szCs w:val="13"/>
                <w:color w:val="auto"/>
              </w:rPr>
            </w:pPr>
          </w:p>
        </w:tc>
        <w:tc>
          <w:tcPr>
            <w:tcW w:w="2420" w:type="dxa"/>
            <w:vAlign w:val="bottom"/>
            <w:vMerge w:val="restart"/>
          </w:tcPr>
          <w:p>
            <w:pPr>
              <w:jc w:val="center"/>
              <w:spacing w:after="0"/>
              <w:rPr>
                <w:sz w:val="20"/>
                <w:szCs w:val="20"/>
                <w:color w:val="auto"/>
              </w:rPr>
            </w:pPr>
            <w:r>
              <w:rPr>
                <w:rFonts w:ascii="Arial" w:cs="Arial" w:eastAsia="Arial" w:hAnsi="Arial"/>
                <w:sz w:val="16"/>
                <w:szCs w:val="16"/>
                <w:color w:val="auto"/>
              </w:rPr>
              <w:t>3,720,491</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700" w:type="dxa"/>
            <w:vAlign w:val="bottom"/>
            <w:vMerge w:val="restart"/>
          </w:tcPr>
          <w:p>
            <w:pPr>
              <w:ind w:left="20"/>
              <w:spacing w:after="0"/>
              <w:rPr>
                <w:sz w:val="20"/>
                <w:szCs w:val="20"/>
                <w:color w:val="auto"/>
              </w:rPr>
            </w:pPr>
            <w:r>
              <w:rPr>
                <w:rFonts w:ascii="Arial" w:cs="Arial" w:eastAsia="Arial" w:hAnsi="Arial"/>
                <w:sz w:val="16"/>
                <w:szCs w:val="16"/>
                <w:color w:val="auto"/>
              </w:rPr>
              <w:t>holders</w:t>
            </w:r>
          </w:p>
        </w:tc>
        <w:tc>
          <w:tcPr>
            <w:tcW w:w="2950" w:type="dxa"/>
            <w:vAlign w:val="bottom"/>
          </w:tcPr>
          <w:p>
            <w:pPr>
              <w:spacing w:after="0"/>
              <w:rPr>
                <w:sz w:val="11"/>
                <w:szCs w:val="11"/>
                <w:color w:val="auto"/>
              </w:rPr>
            </w:pPr>
          </w:p>
        </w:tc>
        <w:tc>
          <w:tcPr>
            <w:tcW w:w="9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410" w:type="dxa"/>
            <w:vAlign w:val="bottom"/>
            <w:vMerge w:val="continue"/>
          </w:tcPr>
          <w:p>
            <w:pPr>
              <w:spacing w:after="0"/>
              <w:rPr>
                <w:sz w:val="11"/>
                <w:szCs w:val="11"/>
                <w:color w:val="auto"/>
              </w:rPr>
            </w:pPr>
          </w:p>
        </w:tc>
        <w:tc>
          <w:tcPr>
            <w:tcW w:w="90" w:type="dxa"/>
            <w:vAlign w:val="bottom"/>
          </w:tcPr>
          <w:p>
            <w:pPr>
              <w:spacing w:after="0"/>
              <w:rPr>
                <w:sz w:val="11"/>
                <w:szCs w:val="11"/>
                <w:color w:val="auto"/>
              </w:rPr>
            </w:pPr>
          </w:p>
        </w:tc>
        <w:tc>
          <w:tcPr>
            <w:tcW w:w="24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2950" w:type="dxa"/>
            <w:vAlign w:val="bottom"/>
          </w:tcPr>
          <w:p>
            <w:pPr>
              <w:spacing w:after="0"/>
              <w:rPr>
                <w:sz w:val="6"/>
                <w:szCs w:val="6"/>
                <w:color w:val="auto"/>
              </w:rPr>
            </w:pPr>
          </w:p>
        </w:tc>
        <w:tc>
          <w:tcPr>
            <w:tcW w:w="90" w:type="dxa"/>
            <w:vAlign w:val="bottom"/>
          </w:tcPr>
          <w:p>
            <w:pPr>
              <w:spacing w:after="0"/>
              <w:rPr>
                <w:sz w:val="6"/>
                <w:szCs w:val="6"/>
                <w:color w:val="auto"/>
              </w:rPr>
            </w:pPr>
          </w:p>
        </w:tc>
        <w:tc>
          <w:tcPr>
            <w:tcW w:w="24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410" w:type="dxa"/>
            <w:vAlign w:val="bottom"/>
          </w:tcPr>
          <w:p>
            <w:pPr>
              <w:spacing w:after="0"/>
              <w:rPr>
                <w:sz w:val="6"/>
                <w:szCs w:val="6"/>
                <w:color w:val="auto"/>
              </w:rPr>
            </w:pPr>
          </w:p>
        </w:tc>
        <w:tc>
          <w:tcPr>
            <w:tcW w:w="9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2"/>
        </w:trPr>
        <w:tc>
          <w:tcPr>
            <w:tcW w:w="740" w:type="dxa"/>
            <w:vAlign w:val="bottom"/>
            <w:gridSpan w:val="2"/>
          </w:tcPr>
          <w:p>
            <w:pPr>
              <w:jc w:val="right"/>
              <w:ind w:right="484"/>
              <w:spacing w:after="0"/>
              <w:rPr>
                <w:sz w:val="20"/>
                <w:szCs w:val="20"/>
                <w:color w:val="auto"/>
              </w:rPr>
            </w:pPr>
            <w:r>
              <w:rPr>
                <w:rFonts w:ascii="Arial" w:cs="Arial" w:eastAsia="Arial" w:hAnsi="Arial"/>
                <w:sz w:val="16"/>
                <w:szCs w:val="16"/>
                <w:b w:val="1"/>
                <w:bCs w:val="1"/>
                <w:color w:val="2C2C2C"/>
                <w:w w:val="89"/>
              </w:rPr>
              <w:t>52</w:t>
            </w:r>
          </w:p>
        </w:tc>
        <w:tc>
          <w:tcPr>
            <w:tcW w:w="3040" w:type="dxa"/>
            <w:vAlign w:val="bottom"/>
            <w:gridSpan w:val="2"/>
          </w:tcPr>
          <w:p>
            <w:pPr>
              <w:ind w:left="160"/>
              <w:spacing w:after="0"/>
              <w:rPr>
                <w:sz w:val="20"/>
                <w:szCs w:val="20"/>
                <w:color w:val="auto"/>
              </w:rPr>
            </w:pPr>
            <w:r>
              <w:rPr>
                <w:rFonts w:ascii="Arial" w:cs="Arial" w:eastAsia="Arial" w:hAnsi="Arial"/>
                <w:sz w:val="16"/>
                <w:szCs w:val="16"/>
                <w:color w:val="auto"/>
              </w:rPr>
              <w:t>2023 PROXY STATEMENT</w:t>
            </w: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10" w:type="dxa"/>
            <w:vAlign w:val="bottom"/>
          </w:tcPr>
          <w:p>
            <w:pPr>
              <w:spacing w:after="0"/>
              <w:rPr>
                <w:sz w:val="24"/>
                <w:szCs w:val="24"/>
                <w:color w:val="auto"/>
              </w:rPr>
            </w:pPr>
          </w:p>
        </w:tc>
        <w:tc>
          <w:tcPr>
            <w:tcW w:w="9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1"/>
        </w:trPr>
        <w:tc>
          <w:tcPr>
            <w:tcW w:w="4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950" w:type="dxa"/>
            <w:vAlign w:val="bottom"/>
            <w:tcBorders>
              <w:bottom w:val="single" w:sz="8" w:color="9A9A9A"/>
            </w:tcBorders>
          </w:tcPr>
          <w:p>
            <w:pPr>
              <w:spacing w:after="0"/>
              <w:rPr>
                <w:sz w:val="7"/>
                <w:szCs w:val="7"/>
                <w:color w:val="auto"/>
              </w:rPr>
            </w:pPr>
          </w:p>
        </w:tc>
        <w:tc>
          <w:tcPr>
            <w:tcW w:w="9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10" w:type="dxa"/>
            <w:vAlign w:val="bottom"/>
            <w:tcBorders>
              <w:bottom w:val="single" w:sz="8" w:color="9A9A9A"/>
            </w:tcBorders>
          </w:tcPr>
          <w:p>
            <w:pPr>
              <w:spacing w:after="0"/>
              <w:rPr>
                <w:sz w:val="7"/>
                <w:szCs w:val="7"/>
                <w:color w:val="auto"/>
              </w:rPr>
            </w:pPr>
          </w:p>
        </w:tc>
        <w:tc>
          <w:tcPr>
            <w:tcW w:w="9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7123430</wp:posOffset>
            </wp:positionH>
            <wp:positionV relativeFrom="paragraph">
              <wp:posOffset>-27305</wp:posOffset>
            </wp:positionV>
            <wp:extent cx="33020" cy="4064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-27305</wp:posOffset>
            </wp:positionV>
            <wp:extent cx="33020"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137795</wp:posOffset>
            </wp:positionH>
            <wp:positionV relativeFrom="paragraph">
              <wp:posOffset>-293370</wp:posOffset>
            </wp:positionV>
            <wp:extent cx="401955" cy="1625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01955" cy="16256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4" w:name="page65"/>
    <w:bookmarkEnd w:id="64"/>
    <w:p>
      <w:pPr>
        <w:ind w:left="78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3100"/>
        <w:spacing w:after="0"/>
        <w:rPr>
          <w:sz w:val="20"/>
          <w:szCs w:val="20"/>
          <w:color w:val="auto"/>
        </w:rPr>
      </w:pPr>
      <w:r>
        <w:rPr>
          <w:rFonts w:ascii="Arial" w:cs="Arial" w:eastAsia="Arial" w:hAnsi="Arial"/>
          <w:sz w:val="13"/>
          <w:szCs w:val="13"/>
          <w:color w:val="auto"/>
        </w:rPr>
        <w:t>PROPOSAL 3: ADVISORY VOTE ON THE FREQUENCY OF THE ADVISORY VOTE ON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820"/>
        <w:spacing w:after="0" w:line="266" w:lineRule="auto"/>
        <w:rPr>
          <w:sz w:val="20"/>
          <w:szCs w:val="20"/>
          <w:color w:val="auto"/>
        </w:rPr>
      </w:pPr>
      <w:r>
        <w:rPr>
          <w:rFonts w:ascii="Arial" w:cs="Arial" w:eastAsia="Arial" w:hAnsi="Arial"/>
          <w:sz w:val="23"/>
          <w:szCs w:val="23"/>
          <w:b w:val="1"/>
          <w:bCs w:val="1"/>
          <w:color w:val="auto"/>
        </w:rPr>
        <w:t>PROPOSAL 3: ADVISORY VOTE ON THE FREQUENCY OF THE ADVISORY VOTE ON EXECUTIVE COMPENSATION</w:t>
      </w:r>
    </w:p>
    <w:p>
      <w:pPr>
        <w:spacing w:after="0" w:line="2" w:lineRule="exact"/>
        <w:rPr>
          <w:sz w:val="20"/>
          <w:szCs w:val="20"/>
          <w:color w:val="auto"/>
        </w:rPr>
      </w:pPr>
    </w:p>
    <w:p>
      <w:pPr>
        <w:jc w:val="both"/>
        <w:ind w:left="20" w:right="60"/>
        <w:spacing w:after="0" w:line="231" w:lineRule="auto"/>
        <w:rPr>
          <w:sz w:val="20"/>
          <w:szCs w:val="20"/>
          <w:color w:val="auto"/>
        </w:rPr>
      </w:pPr>
      <w:r>
        <w:rPr>
          <w:rFonts w:ascii="Arial" w:cs="Arial" w:eastAsia="Arial" w:hAnsi="Arial"/>
          <w:sz w:val="16"/>
          <w:szCs w:val="16"/>
          <w:color w:val="auto"/>
        </w:rPr>
        <w:t>We currently provide an advisory vote on executive compensation on an annual basis, consistent with the results of the advisory votes of our stockholders at our 2011 and 2017 annual meetings. In accordance with Section 14A of the Exchange Act, we are asking stockholders for an advisory vote on whether future advisory votes to approve executive compensation should occur every one year, two years or three years.</w:t>
      </w:r>
    </w:p>
    <w:p>
      <w:pPr>
        <w:spacing w:after="0" w:line="53" w:lineRule="exact"/>
        <w:rPr>
          <w:sz w:val="20"/>
          <w:szCs w:val="20"/>
          <w:color w:val="auto"/>
        </w:rPr>
      </w:pPr>
    </w:p>
    <w:p>
      <w:pPr>
        <w:jc w:val="both"/>
        <w:ind w:left="20" w:right="60"/>
        <w:spacing w:after="0" w:line="231" w:lineRule="auto"/>
        <w:rPr>
          <w:sz w:val="20"/>
          <w:szCs w:val="20"/>
          <w:color w:val="auto"/>
        </w:rPr>
      </w:pPr>
      <w:r>
        <w:rPr>
          <w:rFonts w:ascii="Arial" w:cs="Arial" w:eastAsia="Arial" w:hAnsi="Arial"/>
          <w:sz w:val="16"/>
          <w:szCs w:val="16"/>
          <w:color w:val="auto"/>
        </w:rPr>
        <w:t>After careful consideration, the Board of Directors recommends that the advisory vote to approve executive compensation occur every year (annually). We believe this frequency is appropriate at this time because we value stockholder input on executive compensation and believe that an annual advisory vote will provide us with regular input on important issues relating to our executive compensation program.</w:t>
      </w: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color w:val="auto"/>
        </w:rPr>
        <w:t>Accordingly, we submit the following resolution to stockholders at the Annual Meeting:</w:t>
      </w:r>
    </w:p>
    <w:p>
      <w:pPr>
        <w:spacing w:after="0" w:line="171" w:lineRule="exact"/>
        <w:rPr>
          <w:sz w:val="20"/>
          <w:szCs w:val="20"/>
          <w:color w:val="auto"/>
        </w:rPr>
      </w:pPr>
    </w:p>
    <w:p>
      <w:pPr>
        <w:ind w:left="160" w:right="200"/>
        <w:spacing w:after="0" w:line="254" w:lineRule="auto"/>
        <w:rPr>
          <w:sz w:val="20"/>
          <w:szCs w:val="20"/>
          <w:color w:val="auto"/>
        </w:rPr>
      </w:pPr>
      <w:r>
        <w:rPr>
          <w:rFonts w:ascii="Arial" w:cs="Arial" w:eastAsia="Arial" w:hAnsi="Arial"/>
          <w:sz w:val="16"/>
          <w:szCs w:val="16"/>
          <w:b w:val="1"/>
          <w:bCs w:val="1"/>
          <w:i w:val="1"/>
          <w:iCs w:val="1"/>
          <w:color w:val="auto"/>
        </w:rPr>
        <w:t>RESOLVED, that the stockholders of BWX Technologies, Inc. approve, on an advisory basis, a frequency of “1 YEAR” for the advisory vote to approve executive compensation.</w:t>
      </w:r>
    </w:p>
    <w:p>
      <w:pPr>
        <w:spacing w:after="0" w:line="32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EFFECT OF PROPOSAL</w:t>
      </w:r>
    </w:p>
    <w:p>
      <w:pPr>
        <w:spacing w:after="0" w:line="39" w:lineRule="exact"/>
        <w:rPr>
          <w:sz w:val="20"/>
          <w:szCs w:val="20"/>
          <w:color w:val="auto"/>
        </w:rPr>
      </w:pPr>
    </w:p>
    <w:p>
      <w:pPr>
        <w:jc w:val="both"/>
        <w:ind w:left="20" w:right="60"/>
        <w:spacing w:after="0" w:line="211" w:lineRule="auto"/>
        <w:rPr>
          <w:sz w:val="20"/>
          <w:szCs w:val="20"/>
          <w:color w:val="auto"/>
        </w:rPr>
      </w:pPr>
      <w:r>
        <w:rPr>
          <w:rFonts w:ascii="Arial" w:cs="Arial" w:eastAsia="Arial" w:hAnsi="Arial"/>
          <w:sz w:val="16"/>
          <w:szCs w:val="16"/>
          <w:color w:val="auto"/>
        </w:rPr>
        <w:t>Although the resolution to approve our executive compensation is non-binding, it serves as an opportunity for us, our Board and Compensation Committee to gain valuable stockholder feedback on the desired frequency that our stockholders wish to provide feedback on our executive compensation decisions and practices. Our Board of Directors values the opinions of stockholders and will carefully consider the results of this advisory vote. However, irrespective</w:t>
      </w:r>
    </w:p>
    <w:p>
      <w:pPr>
        <w:spacing w:after="0" w:line="2" w:lineRule="exact"/>
        <w:rPr>
          <w:sz w:val="20"/>
          <w:szCs w:val="20"/>
          <w:color w:val="auto"/>
        </w:rPr>
      </w:pPr>
    </w:p>
    <w:p>
      <w:pPr>
        <w:jc w:val="both"/>
        <w:ind w:left="20" w:right="60"/>
        <w:spacing w:after="0" w:line="233" w:lineRule="auto"/>
        <w:rPr>
          <w:sz w:val="20"/>
          <w:szCs w:val="20"/>
          <w:color w:val="auto"/>
        </w:rPr>
      </w:pPr>
      <w:r>
        <w:rPr>
          <w:rFonts w:ascii="Arial" w:cs="Arial" w:eastAsia="Arial" w:hAnsi="Arial"/>
          <w:sz w:val="16"/>
          <w:szCs w:val="16"/>
          <w:color w:val="auto"/>
        </w:rPr>
        <w:t>of the Board of Directors’ recommendation and the results of the stockholder vote, the Board of Directors may decide to conduct an advisory vote to approve executive compensation on a more or less frequent basis as it determines would be in the best interest of the Company.</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BF2115"/>
        </w:rPr>
        <w:t>RECOMMENDATION AND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0415" cy="90487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0415" cy="904875"/>
                    </a:xfrm>
                    <a:prstGeom prst="rect">
                      <a:avLst/>
                    </a:prstGeom>
                    <a:noFill/>
                  </pic:spPr>
                </pic:pic>
              </a:graphicData>
            </a:graphic>
          </wp:anchor>
        </w:drawing>
      </w:r>
    </w:p>
    <w:p>
      <w:pPr>
        <w:spacing w:after="0" w:line="40" w:lineRule="exact"/>
        <w:rPr>
          <w:sz w:val="20"/>
          <w:szCs w:val="20"/>
          <w:color w:val="auto"/>
        </w:rPr>
      </w:pPr>
    </w:p>
    <w:p>
      <w:pPr>
        <w:jc w:val="both"/>
        <w:ind w:left="160" w:right="200"/>
        <w:spacing w:after="0" w:line="218" w:lineRule="auto"/>
        <w:rPr>
          <w:sz w:val="20"/>
          <w:szCs w:val="20"/>
          <w:color w:val="auto"/>
        </w:rPr>
      </w:pPr>
      <w:r>
        <w:rPr>
          <w:rFonts w:ascii="Arial" w:cs="Arial" w:eastAsia="Arial" w:hAnsi="Arial"/>
          <w:sz w:val="16"/>
          <w:szCs w:val="16"/>
          <w:b w:val="1"/>
          <w:bCs w:val="1"/>
          <w:color w:val="auto"/>
        </w:rPr>
        <w:t>Our Board of Directors recommends that stockholders vote for a frequency of “1 YEAR” for the advisory vote to approve executive compensation. Stockholders are asked to specify one of four votes on this proposal: one year, two years, three years or abstain. Stockholders are not voting to approve or disapprove of the Board of Directors’ recommendation. The proxy holders will vote all proxies</w:t>
      </w:r>
    </w:p>
    <w:p>
      <w:pPr>
        <w:spacing w:after="0" w:line="2" w:lineRule="exact"/>
        <w:rPr>
          <w:sz w:val="20"/>
          <w:szCs w:val="20"/>
          <w:color w:val="auto"/>
        </w:rPr>
      </w:pPr>
    </w:p>
    <w:p>
      <w:pPr>
        <w:jc w:val="both"/>
        <w:ind w:left="160" w:right="200"/>
        <w:spacing w:after="0" w:line="211" w:lineRule="auto"/>
        <w:rPr>
          <w:sz w:val="20"/>
          <w:szCs w:val="20"/>
          <w:color w:val="auto"/>
        </w:rPr>
      </w:pPr>
      <w:r>
        <w:rPr>
          <w:rFonts w:ascii="Arial" w:cs="Arial" w:eastAsia="Arial" w:hAnsi="Arial"/>
          <w:sz w:val="16"/>
          <w:szCs w:val="16"/>
          <w:b w:val="1"/>
          <w:bCs w:val="1"/>
          <w:color w:val="auto"/>
        </w:rPr>
        <w:t>received for an advisory vote to approve executive compensation every one year unless instructed otherwise. Approval of the frequency of an advisory vote to approve executive compensation requires the affirmative vote of a majority of our shares of common stock present in person or represented by proxy and entitled to vote on this proposal at the Annual Meeting. Abstentions are counted as present for purposes</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of the vote on this matter. Broker non-votes will not have any effect on this proposal.</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5" w:name="page66"/>
    <w:bookmarkEnd w:id="65"/>
    <w:p>
      <w:pPr>
        <w:ind w:left="80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68" w:lineRule="exact"/>
        <w:rPr>
          <w:sz w:val="20"/>
          <w:szCs w:val="20"/>
          <w:color w:val="auto"/>
        </w:rPr>
      </w:pPr>
    </w:p>
    <w:p>
      <w:pPr>
        <w:ind w:left="923"/>
        <w:spacing w:after="0"/>
        <w:rPr>
          <w:sz w:val="20"/>
          <w:szCs w:val="20"/>
          <w:color w:val="auto"/>
        </w:rPr>
      </w:pPr>
      <w:r>
        <w:rPr>
          <w:rFonts w:ascii="Arial" w:cs="Arial" w:eastAsia="Arial" w:hAnsi="Arial"/>
          <w:sz w:val="13"/>
          <w:szCs w:val="13"/>
          <w:color w:val="auto"/>
        </w:rPr>
        <w:t>SECURITY OWNERSHIP OF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26035</wp:posOffset>
            </wp:positionV>
            <wp:extent cx="714565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05"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SECURITY OWNERSHIP OF DIRECTORS AND EXECUTIVE OFFICERS</w:t>
      </w:r>
    </w:p>
    <w:p>
      <w:pPr>
        <w:spacing w:after="0" w:line="105" w:lineRule="exact"/>
        <w:rPr>
          <w:sz w:val="20"/>
          <w:szCs w:val="20"/>
          <w:color w:val="auto"/>
        </w:rPr>
      </w:pPr>
    </w:p>
    <w:p>
      <w:pPr>
        <w:ind w:left="3" w:right="20"/>
        <w:spacing w:after="0" w:line="274" w:lineRule="auto"/>
        <w:rPr>
          <w:sz w:val="20"/>
          <w:szCs w:val="20"/>
          <w:color w:val="auto"/>
        </w:rPr>
      </w:pPr>
      <w:r>
        <w:rPr>
          <w:rFonts w:ascii="Arial" w:cs="Arial" w:eastAsia="Arial" w:hAnsi="Arial"/>
          <w:sz w:val="16"/>
          <w:szCs w:val="16"/>
          <w:color w:val="auto"/>
        </w:rPr>
        <w:t>The following table sets forth the number of shares of our common stock beneficially owned as of March 6, 2023 (unless noted otherwise) by each director or nominee as a director, each Named Executive and other executive officers and all our directors and executive officers as a group, including shares that those persons have the right to acquire within 60 days on the vesting of restricted stock units or the exercise of stock options.</w:t>
      </w:r>
    </w:p>
    <w:p>
      <w:pPr>
        <w:spacing w:after="0" w:line="81"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7020" w:type="dxa"/>
            <w:vAlign w:val="bottom"/>
            <w:shd w:val="clear" w:color="auto" w:fill="000000"/>
          </w:tcPr>
          <w:p>
            <w:pPr>
              <w:spacing w:after="0"/>
              <w:rPr>
                <w:sz w:val="13"/>
                <w:szCs w:val="13"/>
                <w:color w:val="auto"/>
              </w:rPr>
            </w:pPr>
          </w:p>
        </w:tc>
        <w:tc>
          <w:tcPr>
            <w:tcW w:w="80" w:type="dxa"/>
            <w:vAlign w:val="bottom"/>
            <w:shd w:val="clear" w:color="auto" w:fill="000000"/>
          </w:tcPr>
          <w:p>
            <w:pPr>
              <w:spacing w:after="0"/>
              <w:rPr>
                <w:sz w:val="13"/>
                <w:szCs w:val="13"/>
                <w:color w:val="auto"/>
              </w:rPr>
            </w:pPr>
          </w:p>
        </w:tc>
        <w:tc>
          <w:tcPr>
            <w:tcW w:w="2320" w:type="dxa"/>
            <w:vAlign w:val="bottom"/>
            <w:shd w:val="clear" w:color="auto" w:fill="000000"/>
          </w:tcPr>
          <w:p>
            <w:pPr>
              <w:jc w:val="center"/>
              <w:ind w:right="15"/>
              <w:spacing w:after="0"/>
              <w:rPr>
                <w:sz w:val="20"/>
                <w:szCs w:val="20"/>
                <w:color w:val="auto"/>
              </w:rPr>
            </w:pPr>
            <w:r>
              <w:rPr>
                <w:rFonts w:ascii="Arial" w:cs="Arial" w:eastAsia="Arial" w:hAnsi="Arial"/>
                <w:sz w:val="13"/>
                <w:szCs w:val="13"/>
                <w:color w:val="FFFFFF"/>
                <w:w w:val="97"/>
              </w:rPr>
              <w:t>Shares</w:t>
            </w:r>
          </w:p>
        </w:tc>
        <w:tc>
          <w:tcPr>
            <w:tcW w:w="1840" w:type="dxa"/>
            <w:vAlign w:val="bottom"/>
            <w:vMerge w:val="restart"/>
            <w:shd w:val="clear" w:color="auto" w:fill="000000"/>
          </w:tcPr>
          <w:p>
            <w:pPr>
              <w:jc w:val="right"/>
              <w:ind w:right="655"/>
              <w:spacing w:after="0"/>
              <w:rPr>
                <w:sz w:val="20"/>
                <w:szCs w:val="20"/>
                <w:color w:val="auto"/>
              </w:rPr>
            </w:pPr>
            <w:r>
              <w:rPr>
                <w:rFonts w:ascii="Arial" w:cs="Arial" w:eastAsia="Arial" w:hAnsi="Arial"/>
                <w:sz w:val="13"/>
                <w:szCs w:val="13"/>
                <w:color w:val="FFFFFF"/>
              </w:rPr>
              <w:t>Shares</w:t>
            </w:r>
          </w:p>
        </w:tc>
        <w:tc>
          <w:tcPr>
            <w:tcW w:w="0" w:type="dxa"/>
            <w:vAlign w:val="bottom"/>
          </w:tcPr>
          <w:p>
            <w:pPr>
              <w:spacing w:after="0"/>
              <w:rPr>
                <w:sz w:val="1"/>
                <w:szCs w:val="1"/>
                <w:color w:val="auto"/>
              </w:rPr>
            </w:pPr>
          </w:p>
        </w:tc>
      </w:tr>
      <w:tr>
        <w:trPr>
          <w:trHeight w:val="129"/>
        </w:trPr>
        <w:tc>
          <w:tcPr>
            <w:tcW w:w="7020" w:type="dxa"/>
            <w:vAlign w:val="bottom"/>
            <w:vMerge w:val="restart"/>
            <w:shd w:val="clear" w:color="auto" w:fill="000000"/>
          </w:tcPr>
          <w:p>
            <w:pPr>
              <w:ind w:left="220"/>
              <w:spacing w:after="0"/>
              <w:rPr>
                <w:sz w:val="20"/>
                <w:szCs w:val="20"/>
                <w:color w:val="auto"/>
              </w:rPr>
            </w:pPr>
            <w:r>
              <w:rPr>
                <w:rFonts w:ascii="Arial" w:cs="Arial" w:eastAsia="Arial" w:hAnsi="Arial"/>
                <w:sz w:val="13"/>
                <w:szCs w:val="13"/>
                <w:color w:val="FFFFFF"/>
              </w:rPr>
              <w:t>Name</w:t>
            </w:r>
          </w:p>
        </w:tc>
        <w:tc>
          <w:tcPr>
            <w:tcW w:w="80" w:type="dxa"/>
            <w:vAlign w:val="bottom"/>
            <w:shd w:val="clear" w:color="auto" w:fill="000000"/>
          </w:tcPr>
          <w:p>
            <w:pPr>
              <w:spacing w:after="0"/>
              <w:rPr>
                <w:sz w:val="11"/>
                <w:szCs w:val="11"/>
                <w:color w:val="auto"/>
              </w:rPr>
            </w:pPr>
          </w:p>
        </w:tc>
        <w:tc>
          <w:tcPr>
            <w:tcW w:w="2320" w:type="dxa"/>
            <w:vAlign w:val="bottom"/>
            <w:shd w:val="clear" w:color="auto" w:fill="000000"/>
          </w:tcPr>
          <w:p>
            <w:pPr>
              <w:jc w:val="center"/>
              <w:spacing w:after="0" w:line="129" w:lineRule="exact"/>
              <w:rPr>
                <w:sz w:val="20"/>
                <w:szCs w:val="20"/>
                <w:color w:val="auto"/>
              </w:rPr>
            </w:pPr>
            <w:r>
              <w:rPr>
                <w:rFonts w:ascii="Arial" w:cs="Arial" w:eastAsia="Arial" w:hAnsi="Arial"/>
                <w:sz w:val="13"/>
                <w:szCs w:val="13"/>
                <w:color w:val="FFFFFF"/>
              </w:rPr>
              <w:t>Beneficially</w:t>
            </w:r>
          </w:p>
        </w:tc>
        <w:tc>
          <w:tcPr>
            <w:tcW w:w="1840" w:type="dxa"/>
            <w:vAlign w:val="bottom"/>
            <w:vMerge w:val="continue"/>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7020" w:type="dxa"/>
            <w:vAlign w:val="bottom"/>
            <w:vMerge w:val="continue"/>
            <w:shd w:val="clear" w:color="auto" w:fill="000000"/>
          </w:tcPr>
          <w:p>
            <w:pPr>
              <w:spacing w:after="0"/>
              <w:rPr>
                <w:sz w:val="15"/>
                <w:szCs w:val="15"/>
                <w:color w:val="auto"/>
              </w:rPr>
            </w:pPr>
          </w:p>
        </w:tc>
        <w:tc>
          <w:tcPr>
            <w:tcW w:w="80" w:type="dxa"/>
            <w:vAlign w:val="bottom"/>
            <w:shd w:val="clear" w:color="auto" w:fill="000000"/>
          </w:tcPr>
          <w:p>
            <w:pPr>
              <w:spacing w:after="0"/>
              <w:rPr>
                <w:sz w:val="15"/>
                <w:szCs w:val="15"/>
                <w:color w:val="auto"/>
              </w:rPr>
            </w:pPr>
          </w:p>
        </w:tc>
        <w:tc>
          <w:tcPr>
            <w:tcW w:w="2320" w:type="dxa"/>
            <w:vAlign w:val="bottom"/>
            <w:shd w:val="clear" w:color="auto" w:fill="000000"/>
          </w:tcPr>
          <w:p>
            <w:pPr>
              <w:jc w:val="center"/>
              <w:ind w:right="15"/>
              <w:spacing w:after="0"/>
              <w:rPr>
                <w:sz w:val="20"/>
                <w:szCs w:val="20"/>
                <w:color w:val="auto"/>
              </w:rPr>
            </w:pPr>
            <w:r>
              <w:rPr>
                <w:rFonts w:ascii="Arial" w:cs="Arial" w:eastAsia="Arial" w:hAnsi="Arial"/>
                <w:sz w:val="13"/>
                <w:szCs w:val="13"/>
                <w:color w:val="FFFFFF"/>
                <w:w w:val="97"/>
              </w:rPr>
              <w:t>Owned</w:t>
            </w:r>
          </w:p>
        </w:tc>
        <w:tc>
          <w:tcPr>
            <w:tcW w:w="1840" w:type="dxa"/>
            <w:vAlign w:val="bottom"/>
            <w:shd w:val="clear" w:color="auto" w:fill="000000"/>
          </w:tcPr>
          <w:p>
            <w:pPr>
              <w:jc w:val="right"/>
              <w:ind w:right="495"/>
              <w:spacing w:after="0" w:line="171" w:lineRule="exact"/>
              <w:rPr>
                <w:sz w:val="20"/>
                <w:szCs w:val="20"/>
                <w:color w:val="auto"/>
              </w:rPr>
            </w:pPr>
            <w:r>
              <w:rPr>
                <w:rFonts w:ascii="Arial" w:cs="Arial" w:eastAsia="Arial" w:hAnsi="Arial"/>
                <w:sz w:val="13"/>
                <w:szCs w:val="13"/>
                <w:color w:val="FFFFFF"/>
              </w:rPr>
              <w:t>Deferred</w:t>
            </w:r>
            <w:r>
              <w:rPr>
                <w:rFonts w:ascii="Arial" w:cs="Arial" w:eastAsia="Arial" w:hAnsi="Arial"/>
                <w:sz w:val="16"/>
                <w:szCs w:val="16"/>
                <w:color w:val="FFFFFF"/>
                <w:vertAlign w:val="superscript"/>
              </w:rPr>
              <w:t>(1)</w:t>
            </w:r>
          </w:p>
        </w:tc>
        <w:tc>
          <w:tcPr>
            <w:tcW w:w="0" w:type="dxa"/>
            <w:vAlign w:val="bottom"/>
          </w:tcPr>
          <w:p>
            <w:pPr>
              <w:spacing w:after="0"/>
              <w:rPr>
                <w:sz w:val="1"/>
                <w:szCs w:val="1"/>
                <w:color w:val="auto"/>
              </w:rPr>
            </w:pPr>
          </w:p>
        </w:tc>
      </w:tr>
      <w:tr>
        <w:trPr>
          <w:trHeight w:val="184"/>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Jan A. Bertsch</w:t>
            </w:r>
            <w:r>
              <w:rPr>
                <w:rFonts w:ascii="Arial" w:cs="Arial" w:eastAsia="Arial" w:hAnsi="Arial"/>
                <w:sz w:val="16"/>
                <w:szCs w:val="16"/>
                <w:color w:val="auto"/>
                <w:vertAlign w:val="superscript"/>
              </w:rPr>
              <w:t>(2)</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24,554</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7,295</w:t>
            </w: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Gerhard F. Burbach</w:t>
            </w:r>
            <w:r>
              <w:rPr>
                <w:rFonts w:ascii="Arial" w:cs="Arial" w:eastAsia="Arial" w:hAnsi="Arial"/>
                <w:sz w:val="16"/>
                <w:szCs w:val="16"/>
                <w:color w:val="auto"/>
                <w:vertAlign w:val="superscript"/>
              </w:rPr>
              <w:t>(3)</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10,921</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Robert L. Duffy</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Rex D. Geveden</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186,985</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James M. Jaska</w:t>
            </w:r>
            <w:r>
              <w:rPr>
                <w:rFonts w:ascii="Arial" w:cs="Arial" w:eastAsia="Arial" w:hAnsi="Arial"/>
                <w:sz w:val="16"/>
                <w:szCs w:val="16"/>
                <w:color w:val="auto"/>
                <w:vertAlign w:val="superscript"/>
              </w:rPr>
              <w:t>(4)</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10,950</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5,359</w:t>
            </w: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Kenneth J. Krieg</w:t>
            </w:r>
            <w:r>
              <w:rPr>
                <w:rFonts w:ascii="Arial" w:cs="Arial" w:eastAsia="Arial" w:hAnsi="Arial"/>
                <w:sz w:val="16"/>
                <w:szCs w:val="16"/>
                <w:color w:val="auto"/>
                <w:vertAlign w:val="superscript"/>
              </w:rPr>
              <w:t>(3)</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16,451</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Robb A. LeMasters</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26,455</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Thomas E. McCabe</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13,227</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Kevin M. McCoy</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728</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0"/>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Leland D. Melvin</w:t>
            </w:r>
            <w:r>
              <w:rPr>
                <w:rFonts w:ascii="Arial" w:cs="Arial" w:eastAsia="Arial" w:hAnsi="Arial"/>
                <w:sz w:val="16"/>
                <w:szCs w:val="16"/>
                <w:color w:val="auto"/>
                <w:vertAlign w:val="superscript"/>
              </w:rPr>
              <w:t>(5)</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7,064</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1,707</w:t>
            </w:r>
          </w:p>
        </w:tc>
        <w:tc>
          <w:tcPr>
            <w:tcW w:w="0" w:type="dxa"/>
            <w:vAlign w:val="bottom"/>
          </w:tcPr>
          <w:p>
            <w:pPr>
              <w:spacing w:after="0"/>
              <w:rPr>
                <w:sz w:val="1"/>
                <w:szCs w:val="1"/>
                <w:color w:val="auto"/>
              </w:rPr>
            </w:pPr>
          </w:p>
        </w:tc>
      </w:tr>
      <w:tr>
        <w:trPr>
          <w:trHeight w:val="186"/>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Robert L. Nardelli</w:t>
            </w:r>
            <w:r>
              <w:rPr>
                <w:rFonts w:ascii="Arial" w:cs="Arial" w:eastAsia="Arial" w:hAnsi="Arial"/>
                <w:sz w:val="16"/>
                <w:szCs w:val="16"/>
                <w:color w:val="auto"/>
                <w:vertAlign w:val="superscript"/>
              </w:rPr>
              <w:t>(3)</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28,165</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1"/>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Barbara A. Niland</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15,648</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94"/>
        </w:trPr>
        <w:tc>
          <w:tcPr>
            <w:tcW w:w="7100" w:type="dxa"/>
            <w:vAlign w:val="bottom"/>
            <w:gridSpan w:val="2"/>
          </w:tcPr>
          <w:p>
            <w:pPr>
              <w:ind w:left="20"/>
              <w:spacing w:after="0"/>
              <w:rPr>
                <w:sz w:val="20"/>
                <w:szCs w:val="20"/>
                <w:color w:val="auto"/>
              </w:rPr>
            </w:pPr>
            <w:r>
              <w:rPr>
                <w:rFonts w:ascii="Arial" w:cs="Arial" w:eastAsia="Arial" w:hAnsi="Arial"/>
                <w:sz w:val="13"/>
                <w:szCs w:val="13"/>
                <w:color w:val="auto"/>
              </w:rPr>
              <w:t>John M. Richardson</w:t>
            </w:r>
            <w:r>
              <w:rPr>
                <w:rFonts w:ascii="Arial" w:cs="Arial" w:eastAsia="Arial" w:hAnsi="Arial"/>
                <w:sz w:val="16"/>
                <w:szCs w:val="16"/>
                <w:color w:val="auto"/>
                <w:vertAlign w:val="superscript"/>
              </w:rPr>
              <w:t>(6)</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3,610</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1,707</w:t>
            </w:r>
          </w:p>
        </w:tc>
        <w:tc>
          <w:tcPr>
            <w:tcW w:w="0" w:type="dxa"/>
            <w:vAlign w:val="bottom"/>
          </w:tcPr>
          <w:p>
            <w:pPr>
              <w:spacing w:after="0"/>
              <w:rPr>
                <w:sz w:val="1"/>
                <w:szCs w:val="1"/>
                <w:color w:val="auto"/>
              </w:rPr>
            </w:pPr>
          </w:p>
        </w:tc>
      </w:tr>
      <w:tr>
        <w:trPr>
          <w:trHeight w:val="171"/>
        </w:trPr>
        <w:tc>
          <w:tcPr>
            <w:tcW w:w="7100" w:type="dxa"/>
            <w:vAlign w:val="bottom"/>
            <w:gridSpan w:val="2"/>
          </w:tcPr>
          <w:p>
            <w:pPr>
              <w:ind w:left="80"/>
              <w:spacing w:after="0"/>
              <w:rPr>
                <w:sz w:val="20"/>
                <w:szCs w:val="20"/>
                <w:color w:val="auto"/>
              </w:rPr>
            </w:pPr>
            <w:r>
              <w:rPr>
                <w:rFonts w:ascii="Arial" w:cs="Arial" w:eastAsia="Arial" w:hAnsi="Arial"/>
                <w:sz w:val="13"/>
                <w:szCs w:val="13"/>
                <w:color w:val="auto"/>
              </w:rPr>
              <w:t>All directors and executive officers as a group (16 persons)</w:t>
            </w:r>
          </w:p>
        </w:tc>
        <w:tc>
          <w:tcPr>
            <w:tcW w:w="2320" w:type="dxa"/>
            <w:vAlign w:val="bottom"/>
          </w:tcPr>
          <w:p>
            <w:pPr>
              <w:jc w:val="right"/>
              <w:ind w:right="775"/>
              <w:spacing w:after="0"/>
              <w:rPr>
                <w:sz w:val="20"/>
                <w:szCs w:val="20"/>
                <w:color w:val="auto"/>
              </w:rPr>
            </w:pPr>
            <w:r>
              <w:rPr>
                <w:rFonts w:ascii="Arial" w:cs="Arial" w:eastAsia="Arial" w:hAnsi="Arial"/>
                <w:sz w:val="13"/>
                <w:szCs w:val="13"/>
                <w:color w:val="auto"/>
              </w:rPr>
              <w:t>350,332</w:t>
            </w:r>
          </w:p>
        </w:tc>
        <w:tc>
          <w:tcPr>
            <w:tcW w:w="1840" w:type="dxa"/>
            <w:vAlign w:val="bottom"/>
          </w:tcPr>
          <w:p>
            <w:pPr>
              <w:jc w:val="right"/>
              <w:ind w:right="615"/>
              <w:spacing w:after="0"/>
              <w:rPr>
                <w:sz w:val="20"/>
                <w:szCs w:val="20"/>
                <w:color w:val="auto"/>
              </w:rPr>
            </w:pPr>
            <w:r>
              <w:rPr>
                <w:rFonts w:ascii="Arial" w:cs="Arial" w:eastAsia="Arial" w:hAnsi="Arial"/>
                <w:sz w:val="13"/>
                <w:szCs w:val="13"/>
                <w:color w:val="auto"/>
              </w:rPr>
              <w:t>16,068</w:t>
            </w:r>
          </w:p>
        </w:tc>
        <w:tc>
          <w:tcPr>
            <w:tcW w:w="0" w:type="dxa"/>
            <w:vAlign w:val="bottom"/>
          </w:tcPr>
          <w:p>
            <w:pPr>
              <w:spacing w:after="0"/>
              <w:rPr>
                <w:sz w:val="1"/>
                <w:szCs w:val="1"/>
                <w:color w:val="auto"/>
              </w:rPr>
            </w:pPr>
          </w:p>
        </w:tc>
      </w:tr>
    </w:tbl>
    <w:p>
      <w:pPr>
        <w:spacing w:after="0" w:line="84" w:lineRule="exact"/>
        <w:rPr>
          <w:sz w:val="20"/>
          <w:szCs w:val="20"/>
          <w:color w:val="auto"/>
        </w:rPr>
      </w:pPr>
    </w:p>
    <w:p>
      <w:pPr>
        <w:ind w:left="283" w:right="360" w:hanging="283"/>
        <w:spacing w:after="0" w:line="254"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Amounts reported in the “Shares Deferred” column represent shares of common stock underlying vested restricted stock units that our directors have elected to defer under our Incentive Plans, but which are not considered beneficially owned under applicable Securities and Exchange Commission rules, as well as accrued dividend equivalents paid in shares on deferred restricted stock units. See “Director Compensation – Stock Awards” and “Deferred Stock Under Long-Term Incentive Plans” under the “Non-Qualified Deferred Compensation” table for additional information on the deferral of stock awards.</w:t>
      </w:r>
    </w:p>
    <w:p>
      <w:pPr>
        <w:ind w:left="283" w:right="100" w:hanging="283"/>
        <w:spacing w:after="0" w:line="247"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Shares beneficially owned by Ms. Bertsch include shares of common stock directly held and 16,059 vested restricted stock units granted and accrued dividend equivalents paid in shares that she elected to defer under our Incentive Plans and which are considered beneficially owned under applicable SEC rules because they will be acquired immediately upon her termination of service on the Board.</w:t>
      </w:r>
    </w:p>
    <w:p>
      <w:pPr>
        <w:spacing w:after="0" w:line="1" w:lineRule="exact"/>
        <w:rPr>
          <w:rFonts w:ascii="Arial" w:cs="Arial" w:eastAsia="Arial" w:hAnsi="Arial"/>
          <w:sz w:val="13"/>
          <w:szCs w:val="13"/>
          <w:i w:val="1"/>
          <w:iCs w:val="1"/>
          <w:color w:val="auto"/>
        </w:rPr>
      </w:pPr>
    </w:p>
    <w:p>
      <w:pPr>
        <w:ind w:left="283" w:right="280" w:hanging="283"/>
        <w:spacing w:after="0" w:line="254"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Shares beneficially owned by Messrs. Burbach, Krieg and Nardelli represent vested restricted stock units and accrued dividend equivalents paid in shares that each of them has elected to defer under our Incentive Plans and which are considered beneficially owned under applicable SEC rules because each of them will acquire their respective shares immediately upon termination of service on the Board.</w:t>
      </w:r>
    </w:p>
    <w:p>
      <w:pPr>
        <w:ind w:left="283" w:right="80" w:hanging="283"/>
        <w:spacing w:after="0" w:line="247"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Shares beneficially owned by Mr. Jaska include shares of common stock directly held and 885 vested restricted stock units and accrued dividend equivalents paid in shares that he has elected to defer under our Incentive Plans and which are considered beneficially owned under applicable SEC rules because they will be acquired immediately upon his termination of service on the Board.</w:t>
      </w:r>
    </w:p>
    <w:p>
      <w:pPr>
        <w:spacing w:after="0" w:line="1" w:lineRule="exact"/>
        <w:rPr>
          <w:rFonts w:ascii="Arial" w:cs="Arial" w:eastAsia="Arial" w:hAnsi="Arial"/>
          <w:sz w:val="13"/>
          <w:szCs w:val="13"/>
          <w:i w:val="1"/>
          <w:iCs w:val="1"/>
          <w:color w:val="auto"/>
        </w:rPr>
      </w:pPr>
    </w:p>
    <w:p>
      <w:pPr>
        <w:ind w:left="283" w:right="80" w:hanging="283"/>
        <w:spacing w:after="0" w:line="247"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Shares beneficially owned by Mr. Melvin include shares of common stock directly held and 2,592 vested restricted stock units and accrued dividend equivalents paid in shares that he has elected to defer under our Incentive Plans and which are considered beneficially owned under applicable SEC rules because they will be acquired immediately upon his termination of service on the Board.</w:t>
      </w:r>
    </w:p>
    <w:p>
      <w:pPr>
        <w:spacing w:after="0" w:line="1" w:lineRule="exact"/>
        <w:rPr>
          <w:rFonts w:ascii="Arial" w:cs="Arial" w:eastAsia="Arial" w:hAnsi="Arial"/>
          <w:sz w:val="13"/>
          <w:szCs w:val="13"/>
          <w:i w:val="1"/>
          <w:iCs w:val="1"/>
          <w:color w:val="auto"/>
        </w:rPr>
      </w:pPr>
    </w:p>
    <w:p>
      <w:pPr>
        <w:ind w:left="283" w:right="240" w:hanging="283"/>
        <w:spacing w:after="0" w:line="270" w:lineRule="auto"/>
        <w:tabs>
          <w:tab w:leader="none" w:pos="271" w:val="left"/>
        </w:tabs>
        <w:numPr>
          <w:ilvl w:val="0"/>
          <w:numId w:val="88"/>
        </w:numPr>
        <w:rPr>
          <w:rFonts w:ascii="Arial" w:cs="Arial" w:eastAsia="Arial" w:hAnsi="Arial"/>
          <w:sz w:val="13"/>
          <w:szCs w:val="13"/>
          <w:i w:val="1"/>
          <w:iCs w:val="1"/>
          <w:color w:val="auto"/>
        </w:rPr>
      </w:pPr>
      <w:r>
        <w:rPr>
          <w:rFonts w:ascii="Arial" w:cs="Arial" w:eastAsia="Arial" w:hAnsi="Arial"/>
          <w:sz w:val="13"/>
          <w:szCs w:val="13"/>
          <w:i w:val="1"/>
          <w:iCs w:val="1"/>
          <w:color w:val="auto"/>
        </w:rPr>
        <w:t>Shares beneficially owned by Adm. Richardson include 2,880 shares of vested restricted stock units and accrued dividend equivalents paid in shares that he has elected to defer under our Incentive Plans and which are considered beneficially owned under applicable SEC rules because they will be acquired immediately upon his termination of service on the Board.</w:t>
      </w:r>
    </w:p>
    <w:p>
      <w:pPr>
        <w:spacing w:after="0" w:line="264" w:lineRule="exact"/>
        <w:rPr>
          <w:sz w:val="20"/>
          <w:szCs w:val="20"/>
          <w:color w:val="auto"/>
        </w:rPr>
      </w:pPr>
    </w:p>
    <w:p>
      <w:pPr>
        <w:ind w:left="3" w:right="180"/>
        <w:spacing w:after="0" w:line="267" w:lineRule="auto"/>
        <w:rPr>
          <w:sz w:val="20"/>
          <w:szCs w:val="20"/>
          <w:color w:val="auto"/>
        </w:rPr>
      </w:pPr>
      <w:r>
        <w:rPr>
          <w:rFonts w:ascii="Arial" w:cs="Arial" w:eastAsia="Arial" w:hAnsi="Arial"/>
          <w:sz w:val="16"/>
          <w:szCs w:val="16"/>
          <w:color w:val="auto"/>
        </w:rPr>
        <w:t>Shares beneficially owned by each of our directors and executive officers individually in each case constituted less than one percent of the outstanding shares of common stock on March 6, 2023, as determined in accordance with Rule 13d-3(d)(1) under the Securities Exchange Act of 1934. The aggregate shares beneficially owned by all of our directors and executive officers as a group constituted less than one percent of the outstanding shares of common stock measured as of the same date and on the same basis.</w:t>
      </w:r>
    </w:p>
    <w:p>
      <w:pPr>
        <w:spacing w:after="0" w:line="319" w:lineRule="exact"/>
        <w:rPr>
          <w:sz w:val="20"/>
          <w:szCs w:val="20"/>
          <w:color w:val="auto"/>
        </w:rPr>
      </w:pPr>
    </w:p>
    <w:p>
      <w:pPr>
        <w:ind w:left="3"/>
        <w:spacing w:after="0"/>
        <w:rPr>
          <w:sz w:val="20"/>
          <w:szCs w:val="20"/>
          <w:color w:val="auto"/>
        </w:rPr>
      </w:pPr>
      <w:r>
        <w:rPr>
          <w:rFonts w:ascii="Arial" w:cs="Arial" w:eastAsia="Arial" w:hAnsi="Arial"/>
          <w:sz w:val="16"/>
          <w:szCs w:val="16"/>
          <w:b w:val="1"/>
          <w:bCs w:val="1"/>
          <w:color w:val="2C2C2C"/>
        </w:rPr>
        <w:t xml:space="preserve">54 </w:t>
      </w:r>
      <w:r>
        <w:rPr>
          <w:sz w:val="1"/>
          <w:szCs w:val="1"/>
          <w:color w:val="auto"/>
        </w:rPr>
        <w:drawing>
          <wp:inline distT="0" distB="0" distL="0" distR="0">
            <wp:extent cx="401955" cy="16256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89535</wp:posOffset>
            </wp:positionV>
            <wp:extent cx="7171055" cy="4064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66" w:name="page67"/>
    <w:bookmarkEnd w:id="66"/>
    <w:p>
      <w:pPr>
        <w:ind w:left="10103"/>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6523"/>
        <w:spacing w:after="0"/>
        <w:rPr>
          <w:sz w:val="20"/>
          <w:szCs w:val="20"/>
          <w:color w:val="auto"/>
        </w:rPr>
      </w:pPr>
      <w:r>
        <w:rPr>
          <w:rFonts w:ascii="Arial" w:cs="Arial" w:eastAsia="Arial" w:hAnsi="Arial"/>
          <w:sz w:val="13"/>
          <w:szCs w:val="13"/>
          <w:color w:val="auto"/>
        </w:rPr>
        <w:t>SECURITY OWNERSHIP OF 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714565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17" w:lineRule="exact"/>
        <w:rPr>
          <w:sz w:val="20"/>
          <w:szCs w:val="20"/>
          <w:color w:val="auto"/>
        </w:rPr>
      </w:pPr>
    </w:p>
    <w:p>
      <w:pPr>
        <w:ind w:left="3"/>
        <w:spacing w:after="0"/>
        <w:rPr>
          <w:sz w:val="20"/>
          <w:szCs w:val="20"/>
          <w:color w:val="auto"/>
        </w:rPr>
      </w:pPr>
      <w:r>
        <w:rPr>
          <w:rFonts w:ascii="Arial" w:cs="Arial" w:eastAsia="Arial" w:hAnsi="Arial"/>
          <w:sz w:val="23"/>
          <w:szCs w:val="23"/>
          <w:b w:val="1"/>
          <w:bCs w:val="1"/>
          <w:color w:val="auto"/>
        </w:rPr>
        <w:t>SECURITY OWNERSHIP OF CERTAIN BENEFICIAL OWNERS</w:t>
      </w:r>
    </w:p>
    <w:p>
      <w:pPr>
        <w:spacing w:after="0" w:line="153" w:lineRule="exact"/>
        <w:rPr>
          <w:sz w:val="20"/>
          <w:szCs w:val="20"/>
          <w:color w:val="auto"/>
        </w:rPr>
      </w:pPr>
    </w:p>
    <w:p>
      <w:pPr>
        <w:ind w:left="3" w:right="300"/>
        <w:spacing w:after="0" w:line="294" w:lineRule="auto"/>
        <w:rPr>
          <w:sz w:val="20"/>
          <w:szCs w:val="20"/>
          <w:color w:val="auto"/>
        </w:rPr>
      </w:pPr>
      <w:r>
        <w:rPr>
          <w:rFonts w:ascii="Arial" w:cs="Arial" w:eastAsia="Arial" w:hAnsi="Arial"/>
          <w:sz w:val="16"/>
          <w:szCs w:val="16"/>
          <w:color w:val="auto"/>
        </w:rPr>
        <w:t>The following table furnishes information concerning all persons known by us to beneficially own 5% or more of our outstanding shares of common stock, which is our only class of voting stock outstanding.</w:t>
      </w:r>
    </w:p>
    <w:p>
      <w:pPr>
        <w:spacing w:after="0" w:line="65" w:lineRule="exact"/>
        <w:rPr>
          <w:sz w:val="20"/>
          <w:szCs w:val="20"/>
          <w:color w:val="auto"/>
        </w:rPr>
      </w:pPr>
    </w:p>
    <w:tbl>
      <w:tblPr>
        <w:tblLayout w:type="fixed"/>
        <w:tblInd w:w="3" w:type="dxa"/>
        <w:tblCellMar>
          <w:top w:w="0" w:type="dxa"/>
          <w:left w:w="0" w:type="dxa"/>
          <w:bottom w:w="0" w:type="dxa"/>
          <w:right w:w="0" w:type="dxa"/>
        </w:tblCellMar>
      </w:tblPr>
      <w:tr>
        <w:trPr>
          <w:trHeight w:val="151"/>
        </w:trPr>
        <w:tc>
          <w:tcPr>
            <w:tcW w:w="6800" w:type="dxa"/>
            <w:vAlign w:val="bottom"/>
            <w:shd w:val="clear" w:color="auto" w:fill="000000"/>
          </w:tcPr>
          <w:p>
            <w:pPr>
              <w:spacing w:after="0"/>
              <w:rPr>
                <w:sz w:val="13"/>
                <w:szCs w:val="13"/>
                <w:color w:val="auto"/>
              </w:rPr>
            </w:pPr>
          </w:p>
        </w:tc>
        <w:tc>
          <w:tcPr>
            <w:tcW w:w="140" w:type="dxa"/>
            <w:vAlign w:val="bottom"/>
            <w:shd w:val="clear" w:color="auto" w:fill="000000"/>
          </w:tcPr>
          <w:p>
            <w:pPr>
              <w:spacing w:after="0"/>
              <w:rPr>
                <w:sz w:val="13"/>
                <w:szCs w:val="13"/>
                <w:color w:val="auto"/>
              </w:rPr>
            </w:pPr>
          </w:p>
        </w:tc>
        <w:tc>
          <w:tcPr>
            <w:tcW w:w="199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Amount and</w:t>
            </w:r>
          </w:p>
        </w:tc>
        <w:tc>
          <w:tcPr>
            <w:tcW w:w="1330" w:type="dxa"/>
            <w:vAlign w:val="bottom"/>
            <w:shd w:val="clear" w:color="auto" w:fill="000000"/>
          </w:tcPr>
          <w:p>
            <w:pPr>
              <w:spacing w:after="0"/>
              <w:rPr>
                <w:sz w:val="13"/>
                <w:szCs w:val="13"/>
                <w:color w:val="auto"/>
              </w:rPr>
            </w:pPr>
          </w:p>
        </w:tc>
        <w:tc>
          <w:tcPr>
            <w:tcW w:w="860" w:type="dxa"/>
            <w:vAlign w:val="bottom"/>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6800" w:type="dxa"/>
            <w:vAlign w:val="bottom"/>
            <w:shd w:val="clear" w:color="auto" w:fill="000000"/>
          </w:tcPr>
          <w:p>
            <w:pPr>
              <w:spacing w:after="0"/>
              <w:rPr>
                <w:sz w:val="11"/>
                <w:szCs w:val="11"/>
                <w:color w:val="auto"/>
              </w:rPr>
            </w:pPr>
          </w:p>
        </w:tc>
        <w:tc>
          <w:tcPr>
            <w:tcW w:w="140" w:type="dxa"/>
            <w:vAlign w:val="bottom"/>
            <w:shd w:val="clear" w:color="auto" w:fill="000000"/>
          </w:tcPr>
          <w:p>
            <w:pPr>
              <w:spacing w:after="0"/>
              <w:rPr>
                <w:sz w:val="11"/>
                <w:szCs w:val="11"/>
                <w:color w:val="auto"/>
              </w:rPr>
            </w:pPr>
          </w:p>
        </w:tc>
        <w:tc>
          <w:tcPr>
            <w:tcW w:w="1990" w:type="dxa"/>
            <w:vAlign w:val="bottom"/>
            <w:shd w:val="clear" w:color="auto" w:fill="000000"/>
          </w:tcPr>
          <w:p>
            <w:pPr>
              <w:jc w:val="center"/>
              <w:spacing w:after="0" w:line="129" w:lineRule="exact"/>
              <w:rPr>
                <w:sz w:val="20"/>
                <w:szCs w:val="20"/>
                <w:color w:val="auto"/>
              </w:rPr>
            </w:pPr>
            <w:r>
              <w:rPr>
                <w:rFonts w:ascii="Arial" w:cs="Arial" w:eastAsia="Arial" w:hAnsi="Arial"/>
                <w:sz w:val="13"/>
                <w:szCs w:val="13"/>
                <w:b w:val="1"/>
                <w:bCs w:val="1"/>
                <w:color w:val="FFFFFF"/>
                <w:w w:val="98"/>
              </w:rPr>
              <w:t>Nature of</w:t>
            </w:r>
          </w:p>
        </w:tc>
        <w:tc>
          <w:tcPr>
            <w:tcW w:w="1330" w:type="dxa"/>
            <w:vAlign w:val="bottom"/>
            <w:vMerge w:val="restart"/>
            <w:shd w:val="clear" w:color="auto" w:fill="000000"/>
          </w:tcPr>
          <w:p>
            <w:pPr>
              <w:ind w:left="850"/>
              <w:spacing w:after="0"/>
              <w:rPr>
                <w:sz w:val="20"/>
                <w:szCs w:val="20"/>
                <w:color w:val="auto"/>
              </w:rPr>
            </w:pPr>
            <w:r>
              <w:rPr>
                <w:rFonts w:ascii="Arial" w:cs="Arial" w:eastAsia="Arial" w:hAnsi="Arial"/>
                <w:sz w:val="13"/>
                <w:szCs w:val="13"/>
                <w:b w:val="1"/>
                <w:bCs w:val="1"/>
                <w:color w:val="FFFFFF"/>
                <w:w w:val="96"/>
              </w:rPr>
              <w:t>Percent</w:t>
            </w:r>
          </w:p>
        </w:tc>
        <w:tc>
          <w:tcPr>
            <w:tcW w:w="860" w:type="dxa"/>
            <w:vAlign w:val="bottom"/>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38"/>
        </w:trPr>
        <w:tc>
          <w:tcPr>
            <w:tcW w:w="6800" w:type="dxa"/>
            <w:vAlign w:val="bottom"/>
            <w:vMerge w:val="restart"/>
            <w:shd w:val="clear" w:color="auto" w:fill="000000"/>
          </w:tcPr>
          <w:p>
            <w:pPr>
              <w:ind w:left="140"/>
              <w:spacing w:after="0"/>
              <w:rPr>
                <w:sz w:val="20"/>
                <w:szCs w:val="20"/>
                <w:color w:val="auto"/>
              </w:rPr>
            </w:pPr>
            <w:r>
              <w:rPr>
                <w:rFonts w:ascii="Arial" w:cs="Arial" w:eastAsia="Arial" w:hAnsi="Arial"/>
                <w:sz w:val="13"/>
                <w:szCs w:val="13"/>
                <w:b w:val="1"/>
                <w:bCs w:val="1"/>
                <w:color w:val="FFFFFF"/>
              </w:rPr>
              <w:t>Name and Address of Beneficial Owner</w:t>
            </w:r>
          </w:p>
        </w:tc>
        <w:tc>
          <w:tcPr>
            <w:tcW w:w="140" w:type="dxa"/>
            <w:vAlign w:val="bottom"/>
            <w:shd w:val="clear" w:color="auto" w:fill="000000"/>
          </w:tcPr>
          <w:p>
            <w:pPr>
              <w:spacing w:after="0"/>
              <w:rPr>
                <w:sz w:val="12"/>
                <w:szCs w:val="12"/>
                <w:color w:val="auto"/>
              </w:rPr>
            </w:pPr>
          </w:p>
        </w:tc>
        <w:tc>
          <w:tcPr>
            <w:tcW w:w="1990" w:type="dxa"/>
            <w:vAlign w:val="bottom"/>
            <w:shd w:val="clear" w:color="auto" w:fill="000000"/>
          </w:tcPr>
          <w:p>
            <w:pPr>
              <w:jc w:val="center"/>
              <w:spacing w:after="0" w:line="138" w:lineRule="exact"/>
              <w:rPr>
                <w:sz w:val="20"/>
                <w:szCs w:val="20"/>
                <w:color w:val="auto"/>
              </w:rPr>
            </w:pPr>
            <w:r>
              <w:rPr>
                <w:rFonts w:ascii="Arial" w:cs="Arial" w:eastAsia="Arial" w:hAnsi="Arial"/>
                <w:sz w:val="13"/>
                <w:szCs w:val="13"/>
                <w:b w:val="1"/>
                <w:bCs w:val="1"/>
                <w:color w:val="FFFFFF"/>
                <w:w w:val="97"/>
              </w:rPr>
              <w:t>Beneficial</w:t>
            </w:r>
          </w:p>
        </w:tc>
        <w:tc>
          <w:tcPr>
            <w:tcW w:w="1330" w:type="dxa"/>
            <w:vAlign w:val="bottom"/>
            <w:vMerge w:val="continue"/>
            <w:shd w:val="clear" w:color="auto" w:fill="000000"/>
          </w:tcPr>
          <w:p>
            <w:pPr>
              <w:spacing w:after="0"/>
              <w:rPr>
                <w:sz w:val="12"/>
                <w:szCs w:val="12"/>
                <w:color w:val="auto"/>
              </w:rPr>
            </w:pPr>
          </w:p>
        </w:tc>
        <w:tc>
          <w:tcPr>
            <w:tcW w:w="860" w:type="dxa"/>
            <w:vAlign w:val="bottom"/>
            <w:shd w:val="clear" w:color="auto" w:fill="000000"/>
          </w:tcPr>
          <w:p>
            <w:pPr>
              <w:ind w:left="20"/>
              <w:spacing w:after="0"/>
              <w:rPr>
                <w:sz w:val="20"/>
                <w:szCs w:val="20"/>
                <w:color w:val="auto"/>
              </w:rPr>
            </w:pPr>
            <w:r>
              <w:rPr>
                <w:rFonts w:ascii="Arial" w:cs="Arial" w:eastAsia="Arial" w:hAnsi="Arial"/>
                <w:sz w:val="11"/>
                <w:szCs w:val="11"/>
                <w:b w:val="1"/>
                <w:bCs w:val="1"/>
                <w:color w:val="FFFFFF"/>
              </w:rPr>
              <w:t>(1)</w:t>
            </w:r>
          </w:p>
        </w:tc>
        <w:tc>
          <w:tcPr>
            <w:tcW w:w="0" w:type="dxa"/>
            <w:vAlign w:val="bottom"/>
          </w:tcPr>
          <w:p>
            <w:pPr>
              <w:spacing w:after="0"/>
              <w:rPr>
                <w:sz w:val="1"/>
                <w:szCs w:val="1"/>
                <w:color w:val="auto"/>
              </w:rPr>
            </w:pPr>
          </w:p>
        </w:tc>
      </w:tr>
      <w:tr>
        <w:trPr>
          <w:trHeight w:val="178"/>
        </w:trPr>
        <w:tc>
          <w:tcPr>
            <w:tcW w:w="6800" w:type="dxa"/>
            <w:vAlign w:val="bottom"/>
            <w:vMerge w:val="continue"/>
            <w:shd w:val="clear" w:color="auto" w:fill="000000"/>
          </w:tcPr>
          <w:p>
            <w:pPr>
              <w:spacing w:after="0"/>
              <w:rPr>
                <w:sz w:val="15"/>
                <w:szCs w:val="15"/>
                <w:color w:val="auto"/>
              </w:rPr>
            </w:pPr>
          </w:p>
        </w:tc>
        <w:tc>
          <w:tcPr>
            <w:tcW w:w="140" w:type="dxa"/>
            <w:vAlign w:val="bottom"/>
            <w:shd w:val="clear" w:color="auto" w:fill="000000"/>
          </w:tcPr>
          <w:p>
            <w:pPr>
              <w:spacing w:after="0"/>
              <w:rPr>
                <w:sz w:val="15"/>
                <w:szCs w:val="15"/>
                <w:color w:val="auto"/>
              </w:rPr>
            </w:pPr>
          </w:p>
        </w:tc>
        <w:tc>
          <w:tcPr>
            <w:tcW w:w="1990" w:type="dxa"/>
            <w:vAlign w:val="bottom"/>
            <w:shd w:val="clear" w:color="auto" w:fill="000000"/>
          </w:tcPr>
          <w:p>
            <w:pPr>
              <w:jc w:val="center"/>
              <w:spacing w:after="0"/>
              <w:rPr>
                <w:sz w:val="20"/>
                <w:szCs w:val="20"/>
                <w:color w:val="auto"/>
              </w:rPr>
            </w:pPr>
            <w:r>
              <w:rPr>
                <w:rFonts w:ascii="Arial" w:cs="Arial" w:eastAsia="Arial" w:hAnsi="Arial"/>
                <w:sz w:val="13"/>
                <w:szCs w:val="13"/>
                <w:b w:val="1"/>
                <w:bCs w:val="1"/>
                <w:color w:val="FFFFFF"/>
              </w:rPr>
              <w:t>Ownership</w:t>
            </w:r>
          </w:p>
        </w:tc>
        <w:tc>
          <w:tcPr>
            <w:tcW w:w="2190" w:type="dxa"/>
            <w:vAlign w:val="bottom"/>
            <w:gridSpan w:val="2"/>
            <w:shd w:val="clear" w:color="auto" w:fill="000000"/>
          </w:tcPr>
          <w:p>
            <w:pPr>
              <w:ind w:left="850"/>
              <w:spacing w:after="0"/>
              <w:rPr>
                <w:sz w:val="20"/>
                <w:szCs w:val="20"/>
                <w:color w:val="auto"/>
              </w:rPr>
            </w:pPr>
            <w:r>
              <w:rPr>
                <w:rFonts w:ascii="Arial" w:cs="Arial" w:eastAsia="Arial" w:hAnsi="Arial"/>
                <w:sz w:val="13"/>
                <w:szCs w:val="13"/>
                <w:b w:val="1"/>
                <w:bCs w:val="1"/>
                <w:color w:val="FFFFFF"/>
              </w:rPr>
              <w:t>of Class</w:t>
            </w:r>
          </w:p>
        </w:tc>
        <w:tc>
          <w:tcPr>
            <w:tcW w:w="0" w:type="dxa"/>
            <w:vAlign w:val="bottom"/>
          </w:tcPr>
          <w:p>
            <w:pPr>
              <w:spacing w:after="0"/>
              <w:rPr>
                <w:sz w:val="1"/>
                <w:szCs w:val="1"/>
                <w:color w:val="auto"/>
              </w:rPr>
            </w:pPr>
          </w:p>
        </w:tc>
      </w:tr>
      <w:tr>
        <w:trPr>
          <w:trHeight w:val="146"/>
        </w:trPr>
        <w:tc>
          <w:tcPr>
            <w:tcW w:w="6940" w:type="dxa"/>
            <w:vAlign w:val="bottom"/>
            <w:gridSpan w:val="2"/>
          </w:tcPr>
          <w:p>
            <w:pPr>
              <w:ind w:left="20"/>
              <w:spacing w:after="0" w:line="146" w:lineRule="exact"/>
              <w:rPr>
                <w:sz w:val="20"/>
                <w:szCs w:val="20"/>
                <w:color w:val="auto"/>
              </w:rPr>
            </w:pPr>
            <w:r>
              <w:rPr>
                <w:rFonts w:ascii="Arial" w:cs="Arial" w:eastAsia="Arial" w:hAnsi="Arial"/>
                <w:sz w:val="13"/>
                <w:szCs w:val="13"/>
                <w:color w:val="auto"/>
              </w:rPr>
              <w:t>The Vanguard Group</w:t>
            </w:r>
            <w:r>
              <w:rPr>
                <w:rFonts w:ascii="Arial" w:cs="Arial" w:eastAsia="Arial" w:hAnsi="Arial"/>
                <w:sz w:val="16"/>
                <w:szCs w:val="16"/>
                <w:color w:val="auto"/>
                <w:vertAlign w:val="superscript"/>
              </w:rPr>
              <w:t>(2)</w:t>
            </w:r>
          </w:p>
        </w:tc>
        <w:tc>
          <w:tcPr>
            <w:tcW w:w="1990" w:type="dxa"/>
            <w:vAlign w:val="bottom"/>
            <w:vMerge w:val="restart"/>
          </w:tcPr>
          <w:p>
            <w:pPr>
              <w:jc w:val="right"/>
              <w:ind w:right="401"/>
              <w:spacing w:after="0"/>
              <w:rPr>
                <w:sz w:val="20"/>
                <w:szCs w:val="20"/>
                <w:color w:val="auto"/>
              </w:rPr>
            </w:pPr>
            <w:r>
              <w:rPr>
                <w:rFonts w:ascii="Arial" w:cs="Arial" w:eastAsia="Arial" w:hAnsi="Arial"/>
                <w:sz w:val="15"/>
                <w:szCs w:val="15"/>
                <w:color w:val="auto"/>
              </w:rPr>
              <w:t>8,375,421</w:t>
            </w:r>
          </w:p>
        </w:tc>
        <w:tc>
          <w:tcPr>
            <w:tcW w:w="1330" w:type="dxa"/>
            <w:vAlign w:val="bottom"/>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Arial" w:cs="Arial" w:eastAsia="Arial" w:hAnsi="Arial"/>
                <w:sz w:val="15"/>
                <w:szCs w:val="15"/>
                <w:color w:val="auto"/>
              </w:rPr>
              <w:t>9.2 %</w:t>
            </w:r>
          </w:p>
        </w:tc>
        <w:tc>
          <w:tcPr>
            <w:tcW w:w="0" w:type="dxa"/>
            <w:vAlign w:val="bottom"/>
          </w:tcPr>
          <w:p>
            <w:pPr>
              <w:spacing w:after="0"/>
              <w:rPr>
                <w:sz w:val="1"/>
                <w:szCs w:val="1"/>
                <w:color w:val="auto"/>
              </w:rPr>
            </w:pPr>
          </w:p>
        </w:tc>
      </w:tr>
      <w:tr>
        <w:trPr>
          <w:trHeight w:val="146"/>
        </w:trPr>
        <w:tc>
          <w:tcPr>
            <w:tcW w:w="694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100 Vanguard Blvd.</w:t>
            </w:r>
          </w:p>
        </w:tc>
        <w:tc>
          <w:tcPr>
            <w:tcW w:w="1990" w:type="dxa"/>
            <w:vAlign w:val="bottom"/>
            <w:vMerge w:val="continue"/>
          </w:tcPr>
          <w:p>
            <w:pPr>
              <w:spacing w:after="0"/>
              <w:rPr>
                <w:sz w:val="12"/>
                <w:szCs w:val="12"/>
                <w:color w:val="auto"/>
              </w:rPr>
            </w:pPr>
          </w:p>
        </w:tc>
        <w:tc>
          <w:tcPr>
            <w:tcW w:w="133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40" w:type="dxa"/>
            <w:vAlign w:val="bottom"/>
            <w:gridSpan w:val="2"/>
          </w:tcPr>
          <w:p>
            <w:pPr>
              <w:ind w:left="20"/>
              <w:spacing w:after="0"/>
              <w:rPr>
                <w:sz w:val="20"/>
                <w:szCs w:val="20"/>
                <w:color w:val="auto"/>
              </w:rPr>
            </w:pPr>
            <w:r>
              <w:rPr>
                <w:rFonts w:ascii="Arial" w:cs="Arial" w:eastAsia="Arial" w:hAnsi="Arial"/>
                <w:sz w:val="15"/>
                <w:szCs w:val="15"/>
                <w:color w:val="auto"/>
              </w:rPr>
              <w:t>Malvern, PA 19335</w:t>
            </w:r>
          </w:p>
        </w:tc>
        <w:tc>
          <w:tcPr>
            <w:tcW w:w="199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Wellington Management Group LLP</w:t>
            </w:r>
            <w:r>
              <w:rPr>
                <w:rFonts w:ascii="Arial" w:cs="Arial" w:eastAsia="Arial" w:hAnsi="Arial"/>
                <w:sz w:val="17"/>
                <w:szCs w:val="17"/>
                <w:color w:val="auto"/>
                <w:vertAlign w:val="superscript"/>
              </w:rPr>
              <w:t>(3)</w:t>
            </w:r>
          </w:p>
        </w:tc>
        <w:tc>
          <w:tcPr>
            <w:tcW w:w="1990" w:type="dxa"/>
            <w:vAlign w:val="bottom"/>
            <w:vMerge w:val="restart"/>
          </w:tcPr>
          <w:p>
            <w:pPr>
              <w:jc w:val="right"/>
              <w:ind w:right="401"/>
              <w:spacing w:after="0"/>
              <w:rPr>
                <w:sz w:val="20"/>
                <w:szCs w:val="20"/>
                <w:color w:val="auto"/>
              </w:rPr>
            </w:pPr>
            <w:r>
              <w:rPr>
                <w:rFonts w:ascii="Arial" w:cs="Arial" w:eastAsia="Arial" w:hAnsi="Arial"/>
                <w:sz w:val="15"/>
                <w:szCs w:val="15"/>
                <w:color w:val="auto"/>
              </w:rPr>
              <w:t>6,799,255</w:t>
            </w:r>
          </w:p>
        </w:tc>
        <w:tc>
          <w:tcPr>
            <w:tcW w:w="1330" w:type="dxa"/>
            <w:vAlign w:val="bottom"/>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Arial" w:cs="Arial" w:eastAsia="Arial" w:hAnsi="Arial"/>
                <w:sz w:val="15"/>
                <w:szCs w:val="15"/>
                <w:color w:val="auto"/>
              </w:rPr>
              <w:t>7.4 %</w:t>
            </w:r>
          </w:p>
        </w:tc>
        <w:tc>
          <w:tcPr>
            <w:tcW w:w="0" w:type="dxa"/>
            <w:vAlign w:val="bottom"/>
          </w:tcPr>
          <w:p>
            <w:pPr>
              <w:spacing w:after="0"/>
              <w:rPr>
                <w:sz w:val="1"/>
                <w:szCs w:val="1"/>
                <w:color w:val="auto"/>
              </w:rPr>
            </w:pPr>
          </w:p>
        </w:tc>
      </w:tr>
      <w:tr>
        <w:trPr>
          <w:trHeight w:val="146"/>
        </w:trPr>
        <w:tc>
          <w:tcPr>
            <w:tcW w:w="694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280 Congress Street</w:t>
            </w:r>
          </w:p>
        </w:tc>
        <w:tc>
          <w:tcPr>
            <w:tcW w:w="1990" w:type="dxa"/>
            <w:vAlign w:val="bottom"/>
            <w:vMerge w:val="continue"/>
          </w:tcPr>
          <w:p>
            <w:pPr>
              <w:spacing w:after="0"/>
              <w:rPr>
                <w:sz w:val="12"/>
                <w:szCs w:val="12"/>
                <w:color w:val="auto"/>
              </w:rPr>
            </w:pPr>
          </w:p>
        </w:tc>
        <w:tc>
          <w:tcPr>
            <w:tcW w:w="133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40" w:type="dxa"/>
            <w:vAlign w:val="bottom"/>
            <w:gridSpan w:val="2"/>
          </w:tcPr>
          <w:p>
            <w:pPr>
              <w:ind w:left="20"/>
              <w:spacing w:after="0"/>
              <w:rPr>
                <w:sz w:val="20"/>
                <w:szCs w:val="20"/>
                <w:color w:val="auto"/>
              </w:rPr>
            </w:pPr>
            <w:r>
              <w:rPr>
                <w:rFonts w:ascii="Arial" w:cs="Arial" w:eastAsia="Arial" w:hAnsi="Arial"/>
                <w:sz w:val="15"/>
                <w:szCs w:val="15"/>
                <w:color w:val="auto"/>
              </w:rPr>
              <w:t>Boston, MA 02210</w:t>
            </w:r>
          </w:p>
        </w:tc>
        <w:tc>
          <w:tcPr>
            <w:tcW w:w="199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William Blair Investment Management, LLC</w:t>
            </w:r>
            <w:r>
              <w:rPr>
                <w:rFonts w:ascii="Arial" w:cs="Arial" w:eastAsia="Arial" w:hAnsi="Arial"/>
                <w:sz w:val="17"/>
                <w:szCs w:val="17"/>
                <w:color w:val="auto"/>
                <w:vertAlign w:val="superscript"/>
              </w:rPr>
              <w:t>(4)</w:t>
            </w:r>
          </w:p>
        </w:tc>
        <w:tc>
          <w:tcPr>
            <w:tcW w:w="1990" w:type="dxa"/>
            <w:vAlign w:val="bottom"/>
            <w:vMerge w:val="restart"/>
          </w:tcPr>
          <w:p>
            <w:pPr>
              <w:jc w:val="right"/>
              <w:ind w:right="401"/>
              <w:spacing w:after="0"/>
              <w:rPr>
                <w:sz w:val="20"/>
                <w:szCs w:val="20"/>
                <w:color w:val="auto"/>
              </w:rPr>
            </w:pPr>
            <w:r>
              <w:rPr>
                <w:rFonts w:ascii="Arial" w:cs="Arial" w:eastAsia="Arial" w:hAnsi="Arial"/>
                <w:sz w:val="15"/>
                <w:szCs w:val="15"/>
                <w:color w:val="auto"/>
              </w:rPr>
              <w:t>6,249,032</w:t>
            </w:r>
          </w:p>
        </w:tc>
        <w:tc>
          <w:tcPr>
            <w:tcW w:w="1330" w:type="dxa"/>
            <w:vAlign w:val="bottom"/>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Arial" w:cs="Arial" w:eastAsia="Arial" w:hAnsi="Arial"/>
                <w:sz w:val="15"/>
                <w:szCs w:val="15"/>
                <w:color w:val="auto"/>
              </w:rPr>
              <w:t>6.8 %</w:t>
            </w:r>
          </w:p>
        </w:tc>
        <w:tc>
          <w:tcPr>
            <w:tcW w:w="0" w:type="dxa"/>
            <w:vAlign w:val="bottom"/>
          </w:tcPr>
          <w:p>
            <w:pPr>
              <w:spacing w:after="0"/>
              <w:rPr>
                <w:sz w:val="1"/>
                <w:szCs w:val="1"/>
                <w:color w:val="auto"/>
              </w:rPr>
            </w:pPr>
          </w:p>
        </w:tc>
      </w:tr>
      <w:tr>
        <w:trPr>
          <w:trHeight w:val="146"/>
        </w:trPr>
        <w:tc>
          <w:tcPr>
            <w:tcW w:w="694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150 North Riverside Plaza</w:t>
            </w:r>
          </w:p>
        </w:tc>
        <w:tc>
          <w:tcPr>
            <w:tcW w:w="1990" w:type="dxa"/>
            <w:vAlign w:val="bottom"/>
            <w:vMerge w:val="continue"/>
          </w:tcPr>
          <w:p>
            <w:pPr>
              <w:spacing w:after="0"/>
              <w:rPr>
                <w:sz w:val="12"/>
                <w:szCs w:val="12"/>
                <w:color w:val="auto"/>
              </w:rPr>
            </w:pPr>
          </w:p>
        </w:tc>
        <w:tc>
          <w:tcPr>
            <w:tcW w:w="133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40" w:type="dxa"/>
            <w:vAlign w:val="bottom"/>
            <w:gridSpan w:val="2"/>
          </w:tcPr>
          <w:p>
            <w:pPr>
              <w:ind w:left="20"/>
              <w:spacing w:after="0"/>
              <w:rPr>
                <w:sz w:val="20"/>
                <w:szCs w:val="20"/>
                <w:color w:val="auto"/>
              </w:rPr>
            </w:pPr>
            <w:r>
              <w:rPr>
                <w:rFonts w:ascii="Arial" w:cs="Arial" w:eastAsia="Arial" w:hAnsi="Arial"/>
                <w:sz w:val="15"/>
                <w:szCs w:val="15"/>
                <w:color w:val="auto"/>
              </w:rPr>
              <w:t>Chicago, IL 60606</w:t>
            </w:r>
          </w:p>
        </w:tc>
        <w:tc>
          <w:tcPr>
            <w:tcW w:w="199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94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BlackRock Inc.</w:t>
            </w:r>
            <w:r>
              <w:rPr>
                <w:rFonts w:ascii="Arial" w:cs="Arial" w:eastAsia="Arial" w:hAnsi="Arial"/>
                <w:sz w:val="17"/>
                <w:szCs w:val="17"/>
                <w:color w:val="auto"/>
                <w:vertAlign w:val="superscript"/>
              </w:rPr>
              <w:t>(5)</w:t>
            </w:r>
          </w:p>
        </w:tc>
        <w:tc>
          <w:tcPr>
            <w:tcW w:w="1990" w:type="dxa"/>
            <w:vAlign w:val="bottom"/>
            <w:vMerge w:val="restart"/>
          </w:tcPr>
          <w:p>
            <w:pPr>
              <w:jc w:val="right"/>
              <w:ind w:right="401"/>
              <w:spacing w:after="0"/>
              <w:rPr>
                <w:sz w:val="20"/>
                <w:szCs w:val="20"/>
                <w:color w:val="auto"/>
              </w:rPr>
            </w:pPr>
            <w:r>
              <w:rPr>
                <w:rFonts w:ascii="Arial" w:cs="Arial" w:eastAsia="Arial" w:hAnsi="Arial"/>
                <w:sz w:val="15"/>
                <w:szCs w:val="15"/>
                <w:color w:val="auto"/>
              </w:rPr>
              <w:t>5,131,709</w:t>
            </w:r>
          </w:p>
        </w:tc>
        <w:tc>
          <w:tcPr>
            <w:tcW w:w="1330" w:type="dxa"/>
            <w:vAlign w:val="bottom"/>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Arial" w:cs="Arial" w:eastAsia="Arial" w:hAnsi="Arial"/>
                <w:sz w:val="15"/>
                <w:szCs w:val="15"/>
                <w:color w:val="auto"/>
              </w:rPr>
              <w:t>5.6 %</w:t>
            </w:r>
          </w:p>
        </w:tc>
        <w:tc>
          <w:tcPr>
            <w:tcW w:w="0" w:type="dxa"/>
            <w:vAlign w:val="bottom"/>
          </w:tcPr>
          <w:p>
            <w:pPr>
              <w:spacing w:after="0"/>
              <w:rPr>
                <w:sz w:val="1"/>
                <w:szCs w:val="1"/>
                <w:color w:val="auto"/>
              </w:rPr>
            </w:pPr>
          </w:p>
        </w:tc>
      </w:tr>
      <w:tr>
        <w:trPr>
          <w:trHeight w:val="146"/>
        </w:trPr>
        <w:tc>
          <w:tcPr>
            <w:tcW w:w="6940" w:type="dxa"/>
            <w:vAlign w:val="bottom"/>
            <w:gridSpan w:val="2"/>
          </w:tcPr>
          <w:p>
            <w:pPr>
              <w:ind w:left="20"/>
              <w:spacing w:after="0" w:line="146" w:lineRule="exact"/>
              <w:rPr>
                <w:sz w:val="20"/>
                <w:szCs w:val="20"/>
                <w:color w:val="auto"/>
              </w:rPr>
            </w:pPr>
            <w:r>
              <w:rPr>
                <w:rFonts w:ascii="Arial" w:cs="Arial" w:eastAsia="Arial" w:hAnsi="Arial"/>
                <w:sz w:val="15"/>
                <w:szCs w:val="15"/>
                <w:color w:val="auto"/>
              </w:rPr>
              <w:t>55 East 52nd Street</w:t>
            </w:r>
          </w:p>
        </w:tc>
        <w:tc>
          <w:tcPr>
            <w:tcW w:w="1990" w:type="dxa"/>
            <w:vAlign w:val="bottom"/>
            <w:vMerge w:val="continue"/>
          </w:tcPr>
          <w:p>
            <w:pPr>
              <w:spacing w:after="0"/>
              <w:rPr>
                <w:sz w:val="12"/>
                <w:szCs w:val="12"/>
                <w:color w:val="auto"/>
              </w:rPr>
            </w:pPr>
          </w:p>
        </w:tc>
        <w:tc>
          <w:tcPr>
            <w:tcW w:w="133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940" w:type="dxa"/>
            <w:vAlign w:val="bottom"/>
            <w:gridSpan w:val="2"/>
          </w:tcPr>
          <w:p>
            <w:pPr>
              <w:ind w:left="20"/>
              <w:spacing w:after="0"/>
              <w:rPr>
                <w:sz w:val="20"/>
                <w:szCs w:val="20"/>
                <w:color w:val="auto"/>
              </w:rPr>
            </w:pPr>
            <w:r>
              <w:rPr>
                <w:rFonts w:ascii="Arial" w:cs="Arial" w:eastAsia="Arial" w:hAnsi="Arial"/>
                <w:sz w:val="15"/>
                <w:szCs w:val="15"/>
                <w:color w:val="auto"/>
              </w:rPr>
              <w:t>New York, NY 10055</w:t>
            </w:r>
          </w:p>
        </w:tc>
        <w:tc>
          <w:tcPr>
            <w:tcW w:w="1990" w:type="dxa"/>
            <w:vAlign w:val="bottom"/>
          </w:tcPr>
          <w:p>
            <w:pPr>
              <w:spacing w:after="0"/>
              <w:rPr>
                <w:sz w:val="16"/>
                <w:szCs w:val="16"/>
                <w:color w:val="auto"/>
              </w:rPr>
            </w:pPr>
          </w:p>
        </w:tc>
        <w:tc>
          <w:tcPr>
            <w:tcW w:w="133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99" w:lineRule="exact"/>
        <w:rPr>
          <w:sz w:val="20"/>
          <w:szCs w:val="20"/>
          <w:color w:val="auto"/>
        </w:rPr>
      </w:pPr>
    </w:p>
    <w:p>
      <w:pPr>
        <w:ind w:left="303" w:hanging="303"/>
        <w:spacing w:after="0"/>
        <w:tabs>
          <w:tab w:leader="none" w:pos="303"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Percent is based on outstanding shares of our common stock on March 6, 2023.</w:t>
      </w:r>
    </w:p>
    <w:p>
      <w:pPr>
        <w:spacing w:after="0" w:line="20" w:lineRule="exact"/>
        <w:rPr>
          <w:rFonts w:ascii="Arial" w:cs="Arial" w:eastAsia="Arial" w:hAnsi="Arial"/>
          <w:sz w:val="13"/>
          <w:szCs w:val="13"/>
          <w:i w:val="1"/>
          <w:iCs w:val="1"/>
          <w:color w:val="auto"/>
        </w:rPr>
      </w:pPr>
    </w:p>
    <w:p>
      <w:pPr>
        <w:ind w:left="283" w:right="180" w:hanging="283"/>
        <w:spacing w:after="0" w:line="247" w:lineRule="auto"/>
        <w:tabs>
          <w:tab w:leader="none" w:pos="288"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As reported on Schedule 13G/A filed with the SEC on February 9, 2023, The Vanguard Group, Inc. has beneficial ownership of 8,375,421 shares of our common stock. According to the Schedule 13G/A, The Vanguard Group has shared voting power with respect to 36,115 shares of our common stock, sole dispositive power with respect to 8,258,497 shares of our common stock and shared dispositive power with respect to 116,924 shares of our common stock.</w:t>
      </w:r>
    </w:p>
    <w:p>
      <w:pPr>
        <w:spacing w:after="0" w:line="1" w:lineRule="exact"/>
        <w:rPr>
          <w:rFonts w:ascii="Arial" w:cs="Arial" w:eastAsia="Arial" w:hAnsi="Arial"/>
          <w:sz w:val="13"/>
          <w:szCs w:val="13"/>
          <w:i w:val="1"/>
          <w:iCs w:val="1"/>
          <w:color w:val="auto"/>
        </w:rPr>
      </w:pPr>
    </w:p>
    <w:p>
      <w:pPr>
        <w:ind w:left="283" w:right="120" w:hanging="283"/>
        <w:spacing w:after="0" w:line="247" w:lineRule="auto"/>
        <w:tabs>
          <w:tab w:leader="none" w:pos="288"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As reported on Schedule 13G/A filed with the SEC on February 6, 2023, Wellington Management Group LLP ("Wellington") has beneficial ownership of 6,799,255 shares of our common stock. According to the Schedule 13G/A, Wellington has shared voting power with respect to 5,649,807 shares of our common stock and shared and shared dispositive power with respect to 6,799,255 shares of our common stock.</w:t>
      </w:r>
    </w:p>
    <w:p>
      <w:pPr>
        <w:spacing w:after="0" w:line="1" w:lineRule="exact"/>
        <w:rPr>
          <w:rFonts w:ascii="Arial" w:cs="Arial" w:eastAsia="Arial" w:hAnsi="Arial"/>
          <w:sz w:val="13"/>
          <w:szCs w:val="13"/>
          <w:i w:val="1"/>
          <w:iCs w:val="1"/>
          <w:color w:val="auto"/>
        </w:rPr>
      </w:pPr>
    </w:p>
    <w:p>
      <w:pPr>
        <w:ind w:left="283" w:right="420" w:hanging="283"/>
        <w:spacing w:after="0" w:line="254" w:lineRule="auto"/>
        <w:tabs>
          <w:tab w:leader="none" w:pos="288" w:val="left"/>
        </w:tabs>
        <w:numPr>
          <w:ilvl w:val="0"/>
          <w:numId w:val="89"/>
        </w:numPr>
        <w:rPr>
          <w:rFonts w:ascii="Arial" w:cs="Arial" w:eastAsia="Arial" w:hAnsi="Arial"/>
          <w:sz w:val="13"/>
          <w:szCs w:val="13"/>
          <w:i w:val="1"/>
          <w:iCs w:val="1"/>
          <w:color w:val="auto"/>
        </w:rPr>
      </w:pPr>
      <w:r>
        <w:rPr>
          <w:rFonts w:ascii="Arial" w:cs="Arial" w:eastAsia="Arial" w:hAnsi="Arial"/>
          <w:sz w:val="13"/>
          <w:szCs w:val="13"/>
          <w:i w:val="1"/>
          <w:iCs w:val="1"/>
          <w:color w:val="auto"/>
        </w:rPr>
        <w:t>As reported on Schedule 13G/A filed with the SEC on February 9, 2023, William Blair Investment Management LLP ("William Blair") has beneficial ownership of 6,249,032 shares of our common stock. According to the Schedule 13G/A, William Blair has sole voting power with respect to 5,405,698 shares of our common stock and sole dispositive power with respect to 6,249,032 shares of our common stock.</w:t>
      </w:r>
    </w:p>
    <w:p>
      <w:pPr>
        <w:ind w:left="283" w:right="440" w:hanging="283"/>
        <w:spacing w:after="0" w:line="291" w:lineRule="auto"/>
        <w:tabs>
          <w:tab w:leader="none" w:pos="288" w:val="left"/>
        </w:tabs>
        <w:numPr>
          <w:ilvl w:val="0"/>
          <w:numId w:val="89"/>
        </w:numPr>
        <w:rPr>
          <w:rFonts w:ascii="Arial" w:cs="Arial" w:eastAsia="Arial" w:hAnsi="Arial"/>
          <w:sz w:val="12"/>
          <w:szCs w:val="12"/>
          <w:i w:val="1"/>
          <w:iCs w:val="1"/>
          <w:color w:val="auto"/>
        </w:rPr>
      </w:pPr>
      <w:r>
        <w:rPr>
          <w:rFonts w:ascii="Arial" w:cs="Arial" w:eastAsia="Arial" w:hAnsi="Arial"/>
          <w:sz w:val="12"/>
          <w:szCs w:val="12"/>
          <w:i w:val="1"/>
          <w:iCs w:val="1"/>
          <w:color w:val="auto"/>
        </w:rPr>
        <w:t>As reported on Schedule 13G/A filed with the SEC on February 1, 2023, BlackRock, Inc. has beneficial ownership of 5,131,709 shares of our common stock. According to the Schedule 13G/A, BlackRock has sole voting power with respect to 4,871,944 shares of our common stock and sole dispositive power with respect to 5,131,709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81915</wp:posOffset>
            </wp:positionV>
            <wp:extent cx="7171055" cy="406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3"/>
          </w:cols>
          <w:pgMar w:left="317" w:top="123" w:right="319" w:bottom="1440" w:gutter="0" w:footer="0" w:header="0"/>
        </w:sectPr>
      </w:pPr>
    </w:p>
    <w:bookmarkStart w:id="67" w:name="page68"/>
    <w:bookmarkEnd w:id="67"/>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AUDIT AND FINANCE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09930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099300" cy="76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AUDIT AND FINANCE COMMITTEE REPORT</w:t>
      </w:r>
    </w:p>
    <w:p>
      <w:pPr>
        <w:spacing w:after="0" w:line="107"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i w:val="1"/>
          <w:iCs w:val="1"/>
          <w:color w:val="auto"/>
        </w:rPr>
        <w:t>The following report of the Audit and Finance Committee shall not be deemed to be “soliciting material” or to otherwise be considered “filed” with the SEC or be subject to Regulation 14A or 14C (other than as provided in Item 407 of Regulation S-K) or to the liabilities of Section 18 of the Exchange Act, nor shall such information be incorporated by reference into any future filing under the Securities Act of 1933, as amended, or the Exchange Act, except to the extent that BWXT specifically incorporates it by reference into such filing.</w:t>
      </w:r>
    </w:p>
    <w:p>
      <w:pPr>
        <w:spacing w:after="0" w:line="10"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As described more fully in its charter, the purpose of the Audit and Finance Committee is to assist the Board in its oversight of BWXT’s financial reporting process, internal control system and audit functions. The Audit and Finance Committee also provides oversight of (i) BWXT’s compliance with legal and regulatory financial requirements; (ii) BWXT’s guidelines, policies and processes to assess and manage the Company’s exposure to risks in general, including financial risks; (iii) BWXT’s financial strategies and capital structure; and (iv) BWXT’s ethics and compliance program. The Committee’s principal responsibility is one of oversight. BWXT’s management is responsible for the preparation, presentation and integrity of its financial statements. Deloitte &amp; Touche LLP (“Deloitte”), BWXT’s independent registered public accounting firm, is responsible for auditing and reviewing those financial statements. Deloitte reports directly to the Audit and Finance Committee, which is responsible for the appointment, compensation, retention and oversight of the independent registered public accounting firm.</w:t>
      </w:r>
    </w:p>
    <w:p>
      <w:pPr>
        <w:spacing w:after="0" w:line="68"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The Audit and Finance Committee discussed with Deloitte the scope and plan for its audit and approved the terms of Deloitte’s engagement letter for the 2022 audit. In addition, the Audit and Finance Committee reviewed and approved the internal audit plan for 2022. The Audit and Finance Committee met and discussed with management, internal audit and Deloitte each quarter during the year, among other things:</w:t>
      </w:r>
    </w:p>
    <w:p>
      <w:pPr>
        <w:spacing w:after="0" w:line="3" w:lineRule="exact"/>
        <w:rPr>
          <w:sz w:val="20"/>
          <w:szCs w:val="20"/>
          <w:color w:val="auto"/>
        </w:rPr>
      </w:pPr>
    </w:p>
    <w:p>
      <w:pPr>
        <w:ind w:left="580" w:right="460" w:hanging="290"/>
        <w:spacing w:after="0" w:line="285" w:lineRule="auto"/>
        <w:tabs>
          <w:tab w:leader="none" w:pos="5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clarity and completeness of the presentation of the Company’s financial statements, its financial position and performance for the reporting period;</w:t>
      </w:r>
    </w:p>
    <w:p>
      <w:pPr>
        <w:spacing w:after="0" w:line="1" w:lineRule="exact"/>
        <w:rPr>
          <w:rFonts w:ascii="Arial" w:cs="Arial" w:eastAsia="Arial" w:hAnsi="Arial"/>
          <w:sz w:val="16"/>
          <w:szCs w:val="16"/>
          <w:color w:val="auto"/>
        </w:rPr>
      </w:pPr>
    </w:p>
    <w:p>
      <w:pPr>
        <w:ind w:left="580" w:hanging="290"/>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assessment of the Company’s internal control over financial reporting;</w:t>
      </w:r>
    </w:p>
    <w:p>
      <w:pPr>
        <w:spacing w:after="0" w:line="59" w:lineRule="exact"/>
        <w:rPr>
          <w:rFonts w:ascii="Arial" w:cs="Arial" w:eastAsia="Arial" w:hAnsi="Arial"/>
          <w:sz w:val="16"/>
          <w:szCs w:val="16"/>
          <w:color w:val="auto"/>
        </w:rPr>
      </w:pPr>
    </w:p>
    <w:p>
      <w:pPr>
        <w:ind w:left="580" w:right="100" w:hanging="290"/>
        <w:spacing w:after="0" w:line="285" w:lineRule="auto"/>
        <w:tabs>
          <w:tab w:leader="none" w:pos="576" w:val="left"/>
        </w:tabs>
        <w:numPr>
          <w:ilvl w:val="0"/>
          <w:numId w:val="90"/>
        </w:numPr>
        <w:rPr>
          <w:rFonts w:ascii="Arial" w:cs="Arial" w:eastAsia="Arial" w:hAnsi="Arial"/>
          <w:sz w:val="16"/>
          <w:szCs w:val="16"/>
          <w:color w:val="auto"/>
        </w:rPr>
      </w:pPr>
      <w:r>
        <w:rPr>
          <w:rFonts w:ascii="Arial" w:cs="Arial" w:eastAsia="Arial" w:hAnsi="Arial"/>
          <w:sz w:val="16"/>
          <w:szCs w:val="16"/>
          <w:color w:val="auto"/>
        </w:rPr>
        <w:t>critical accounting policies, including key accounting decisions and judgments, critical accounting estimates and underlying assumptions, significant changes in the selection or application of accounting principles, alternative accounting treatments, and critical audit matter disclosure;</w:t>
      </w:r>
    </w:p>
    <w:p>
      <w:pPr>
        <w:spacing w:after="0" w:line="1" w:lineRule="exact"/>
        <w:rPr>
          <w:rFonts w:ascii="Arial" w:cs="Arial" w:eastAsia="Arial" w:hAnsi="Arial"/>
          <w:sz w:val="16"/>
          <w:szCs w:val="16"/>
          <w:color w:val="auto"/>
        </w:rPr>
      </w:pPr>
    </w:p>
    <w:p>
      <w:pPr>
        <w:ind w:left="580" w:hanging="290"/>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effect of regulatory and accounting initiatives on the Company’s financial statements;</w:t>
      </w:r>
    </w:p>
    <w:p>
      <w:pPr>
        <w:spacing w:after="0" w:line="59" w:lineRule="exact"/>
        <w:rPr>
          <w:rFonts w:ascii="Arial" w:cs="Arial" w:eastAsia="Arial" w:hAnsi="Arial"/>
          <w:sz w:val="16"/>
          <w:szCs w:val="16"/>
          <w:color w:val="auto"/>
        </w:rPr>
      </w:pPr>
    </w:p>
    <w:p>
      <w:pPr>
        <w:ind w:left="580" w:hanging="290"/>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unadjusted audit differences noted or proposed by Deloitte during its audit; and</w:t>
      </w:r>
    </w:p>
    <w:p>
      <w:pPr>
        <w:spacing w:after="0" w:line="59" w:lineRule="exact"/>
        <w:rPr>
          <w:rFonts w:ascii="Arial" w:cs="Arial" w:eastAsia="Arial" w:hAnsi="Arial"/>
          <w:sz w:val="16"/>
          <w:szCs w:val="16"/>
          <w:color w:val="auto"/>
        </w:rPr>
      </w:pPr>
    </w:p>
    <w:p>
      <w:pPr>
        <w:ind w:left="580" w:hanging="290"/>
        <w:spacing w:after="0"/>
        <w:tabs>
          <w:tab w:leader="none" w:pos="5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any material written communications between management and Deloitte.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In this context, the Audit and Finance Committee reviewed and discussed BWXT’s audited consolidated financial statements for the year ended</w:t>
      </w:r>
    </w:p>
    <w:p>
      <w:pPr>
        <w:spacing w:after="0" w:line="27"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December 31, 2022 with BWXT’s management and Deloitte. This review included discussions with Deloitte regarding those matters required to be discussed by the applicable requirements of the Public Company Accounting Oversight Board (“PCAOB”) and the SEC. In addition, the Committee received from Deloitte the written disclosures and letter required by the applicable PCAOB standards and rules concerning Deloitte’s independence and discussed with Deloitte their independence from BWXT and management. The Committee also considered whether the provision of non-audit services to BWXT is compatible with Deloitte’s independence.</w:t>
      </w:r>
    </w:p>
    <w:p>
      <w:pPr>
        <w:spacing w:after="0" w:line="14"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The Audit and Finance Committee reviewed and discussed with management its assessment and report on the effectiveness of BWXT’s internal control over financial reporting as of December 31, 2022, which it made using the criteria set forth by the Committee of Sponsoring Organizations of the Treadway Commission in “Internal Control - Integrated Framework” (2013 framework). We have also reviewed and discussed with Deloitte its review and report on BWXT’s internal control over financial reporting.</w:t>
      </w:r>
    </w:p>
    <w:p>
      <w:pPr>
        <w:spacing w:after="0" w:line="58"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Based on these reviews and discussions and the reports of Deloitte, the Audit and Finance Committee recommended to the Board that the audited financial statements be included in BWXT’s Annual Report on Form 10-K for the year ended December 31, 2022, for filing with the SEC.</w:t>
      </w:r>
    </w:p>
    <w:p>
      <w:pPr>
        <w:spacing w:after="0" w:line="61" w:lineRule="exact"/>
        <w:rPr>
          <w:sz w:val="20"/>
          <w:szCs w:val="20"/>
          <w:color w:val="auto"/>
        </w:rPr>
      </w:pPr>
    </w:p>
    <w:p>
      <w:pPr>
        <w:ind w:left="6400"/>
        <w:spacing w:after="0"/>
        <w:rPr>
          <w:sz w:val="20"/>
          <w:szCs w:val="20"/>
          <w:color w:val="auto"/>
        </w:rPr>
      </w:pPr>
      <w:r>
        <w:rPr>
          <w:rFonts w:ascii="Arial" w:cs="Arial" w:eastAsia="Arial" w:hAnsi="Arial"/>
          <w:sz w:val="16"/>
          <w:szCs w:val="16"/>
          <w:b w:val="1"/>
          <w:bCs w:val="1"/>
          <w:color w:val="auto"/>
        </w:rPr>
        <w:t>THE AUDIT AND FINANCE COMMITTEE</w:t>
      </w:r>
    </w:p>
    <w:p>
      <w:pPr>
        <w:spacing w:after="0" w:line="108"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Barbara A. Niland, Chair</w:t>
      </w:r>
    </w:p>
    <w:p>
      <w:pPr>
        <w:spacing w:after="0" w:line="31"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James M. Jaska</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Robert L. Nardelli</w:t>
      </w:r>
    </w:p>
    <w:p>
      <w:pPr>
        <w:spacing w:after="0" w:line="23"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John M. Richardson</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56 </w:t>
      </w:r>
      <w:r>
        <w:rPr>
          <w:sz w:val="1"/>
          <w:szCs w:val="1"/>
          <w:color w:val="auto"/>
        </w:rPr>
        <w:drawing>
          <wp:inline distT="0" distB="0" distL="0" distR="0">
            <wp:extent cx="401955" cy="16256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68" w:name="page69"/>
    <w:bookmarkEnd w:id="68"/>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3440"/>
        <w:spacing w:after="0"/>
        <w:rPr>
          <w:sz w:val="20"/>
          <w:szCs w:val="20"/>
          <w:color w:val="auto"/>
        </w:rPr>
      </w:pPr>
      <w:r>
        <w:rPr>
          <w:rFonts w:ascii="Arial" w:cs="Arial" w:eastAsia="Arial" w:hAnsi="Arial"/>
          <w:sz w:val="13"/>
          <w:szCs w:val="13"/>
          <w:color w:val="auto"/>
        </w:rPr>
        <w:t>PROPOSAL 4: RATIFICATION OF APPOINTMENT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right="1480"/>
        <w:spacing w:after="0" w:line="285" w:lineRule="auto"/>
        <w:rPr>
          <w:sz w:val="20"/>
          <w:szCs w:val="20"/>
          <w:color w:val="auto"/>
        </w:rPr>
      </w:pPr>
      <w:r>
        <w:rPr>
          <w:rFonts w:ascii="Arial" w:cs="Arial" w:eastAsia="Arial" w:hAnsi="Arial"/>
          <w:sz w:val="23"/>
          <w:szCs w:val="23"/>
          <w:b w:val="1"/>
          <w:bCs w:val="1"/>
          <w:color w:val="auto"/>
        </w:rPr>
        <w:t>PROPOSAL 4: RATIFICATION OF APPOINTMENT OF INDEPENDENT REGISTERED PUBLIC ACCOUNTING FIRM FOR YEAR ENDING DECEMBER 31, 2023</w:t>
      </w:r>
    </w:p>
    <w:p>
      <w:pPr>
        <w:spacing w:after="0" w:line="21"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Our Board of Directors has ratified the decision of the Audit and Finance Committee to appoint Deloitte &amp; Touche LLP (“Deloitte”) to serve as the independent registered public accounting firm to audit our financial statements for the year ending December 31, 2023. Although stockholder approval of this appointment is not required, we intend to seek stockholder approval of our registered public accounting firm annually. No determination has been made as to what action the Audit and Finance Committee and the Board of Directors would take if our stockholders fail to ratify the appointment. Even if the appointment is ratified, the Audit and Finance Committee retains discretion to appoint a new independent registered public accounting firm at any time if the Audit and Finance Committee concludes such a change would be in our best interests. We expect that representatives of Deloitte will be present at the Annual Meeting and will have an opportunity to make a statement if they so desire and to respond to appropriate questions.</w:t>
      </w:r>
    </w:p>
    <w:p>
      <w:pPr>
        <w:spacing w:after="0" w:line="115"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For the years ended December 31, 2022 and 2021, we paid Deloitte fees, including expenses and taxes, totaling $2,935,636 and $2,807,969, respectively, which are categorized below.</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shd w:val="clear" w:color="auto" w:fill="000000"/>
          </w:tcPr>
          <w:p>
            <w:pPr>
              <w:spacing w:after="0"/>
              <w:rPr>
                <w:sz w:val="18"/>
                <w:szCs w:val="18"/>
                <w:color w:val="auto"/>
              </w:rPr>
            </w:pPr>
          </w:p>
        </w:tc>
        <w:tc>
          <w:tcPr>
            <w:tcW w:w="360" w:type="dxa"/>
            <w:vAlign w:val="bottom"/>
            <w:shd w:val="clear" w:color="auto" w:fill="000000"/>
          </w:tcPr>
          <w:p>
            <w:pPr>
              <w:spacing w:after="0"/>
              <w:rPr>
                <w:sz w:val="18"/>
                <w:szCs w:val="18"/>
                <w:color w:val="auto"/>
              </w:rPr>
            </w:pPr>
          </w:p>
        </w:tc>
        <w:tc>
          <w:tcPr>
            <w:tcW w:w="1160" w:type="dxa"/>
            <w:vAlign w:val="bottom"/>
            <w:shd w:val="clear" w:color="auto" w:fill="000000"/>
          </w:tcPr>
          <w:p>
            <w:pPr>
              <w:jc w:val="right"/>
              <w:ind w:right="528"/>
              <w:spacing w:after="0"/>
              <w:rPr>
                <w:sz w:val="20"/>
                <w:szCs w:val="20"/>
                <w:color w:val="auto"/>
              </w:rPr>
            </w:pPr>
            <w:r>
              <w:rPr>
                <w:rFonts w:ascii="Arial" w:cs="Arial" w:eastAsia="Arial" w:hAnsi="Arial"/>
                <w:sz w:val="13"/>
                <w:szCs w:val="13"/>
                <w:b w:val="1"/>
                <w:bCs w:val="1"/>
                <w:color w:val="FFFFFF"/>
              </w:rPr>
              <w:t>2022</w:t>
            </w:r>
          </w:p>
        </w:tc>
        <w:tc>
          <w:tcPr>
            <w:tcW w:w="360" w:type="dxa"/>
            <w:vAlign w:val="bottom"/>
            <w:shd w:val="clear" w:color="auto" w:fill="000000"/>
          </w:tcPr>
          <w:p>
            <w:pPr>
              <w:spacing w:after="0"/>
              <w:rPr>
                <w:sz w:val="18"/>
                <w:szCs w:val="18"/>
                <w:color w:val="auto"/>
              </w:rPr>
            </w:pPr>
          </w:p>
        </w:tc>
        <w:tc>
          <w:tcPr>
            <w:tcW w:w="1160" w:type="dxa"/>
            <w:vAlign w:val="bottom"/>
            <w:shd w:val="clear" w:color="auto" w:fill="000000"/>
          </w:tcPr>
          <w:p>
            <w:pPr>
              <w:jc w:val="right"/>
              <w:ind w:right="528"/>
              <w:spacing w:after="0"/>
              <w:rPr>
                <w:sz w:val="20"/>
                <w:szCs w:val="20"/>
                <w:color w:val="auto"/>
              </w:rPr>
            </w:pPr>
            <w:r>
              <w:rPr>
                <w:rFonts w:ascii="Arial" w:cs="Arial" w:eastAsia="Arial" w:hAnsi="Arial"/>
                <w:sz w:val="13"/>
                <w:szCs w:val="13"/>
                <w:b w:val="1"/>
                <w:bCs w:val="1"/>
                <w:color w:val="FFFFFF"/>
              </w:rPr>
              <w:t>2021</w:t>
            </w:r>
          </w:p>
        </w:tc>
        <w:tc>
          <w:tcPr>
            <w:tcW w:w="20" w:type="dxa"/>
            <w:vAlign w:val="bottom"/>
            <w:shd w:val="clear" w:color="auto" w:fill="000000"/>
          </w:tcPr>
          <w:p>
            <w:pPr>
              <w:spacing w:after="0"/>
              <w:rPr>
                <w:sz w:val="18"/>
                <w:szCs w:val="18"/>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Audit</w:t>
            </w: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2,808,591</w:t>
            </w: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2,657,595</w:t>
            </w:r>
          </w:p>
        </w:tc>
        <w:tc>
          <w:tcPr>
            <w:tcW w:w="20" w:type="dxa"/>
            <w:vAlign w:val="bottom"/>
          </w:tcPr>
          <w:p>
            <w:pPr>
              <w:spacing w:after="0"/>
              <w:rPr>
                <w:sz w:val="16"/>
                <w:szCs w:val="16"/>
                <w:color w:val="auto"/>
              </w:rPr>
            </w:pPr>
          </w:p>
        </w:tc>
      </w:tr>
      <w:tr>
        <w:trPr>
          <w:trHeight w:val="146"/>
        </w:trPr>
        <w:tc>
          <w:tcPr>
            <w:tcW w:w="8180" w:type="dxa"/>
            <w:vAlign w:val="bottom"/>
          </w:tcPr>
          <w:p>
            <w:pPr>
              <w:ind w:left="20"/>
              <w:spacing w:after="0" w:line="146" w:lineRule="exact"/>
              <w:rPr>
                <w:sz w:val="20"/>
                <w:szCs w:val="20"/>
                <w:color w:val="auto"/>
              </w:rPr>
            </w:pPr>
            <w:r>
              <w:rPr>
                <w:rFonts w:ascii="Arial" w:cs="Arial" w:eastAsia="Arial" w:hAnsi="Arial"/>
                <w:sz w:val="15"/>
                <w:szCs w:val="15"/>
                <w:color w:val="auto"/>
                <w:w w:val="97"/>
              </w:rPr>
              <w:t>The Audit fees for the years ended December 31, 2022 and 2021 were for professional services rendered for the audits of the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8180" w:type="dxa"/>
            <w:vAlign w:val="bottom"/>
          </w:tcPr>
          <w:p>
            <w:pPr>
              <w:ind w:left="20"/>
              <w:spacing w:after="0" w:line="146" w:lineRule="exact"/>
              <w:rPr>
                <w:sz w:val="20"/>
                <w:szCs w:val="20"/>
                <w:color w:val="auto"/>
              </w:rPr>
            </w:pPr>
            <w:r>
              <w:rPr>
                <w:rFonts w:ascii="Arial" w:cs="Arial" w:eastAsia="Arial" w:hAnsi="Arial"/>
                <w:sz w:val="15"/>
                <w:szCs w:val="15"/>
                <w:color w:val="auto"/>
              </w:rPr>
              <w:t>consolidated financial statements of BWXT, the audit of BWXT’s internal control over financial reporting, reviews of the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6"/>
        </w:trPr>
        <w:tc>
          <w:tcPr>
            <w:tcW w:w="8180" w:type="dxa"/>
            <w:vAlign w:val="bottom"/>
          </w:tcPr>
          <w:p>
            <w:pPr>
              <w:ind w:left="20"/>
              <w:spacing w:after="0" w:line="146" w:lineRule="exact"/>
              <w:rPr>
                <w:sz w:val="20"/>
                <w:szCs w:val="20"/>
                <w:color w:val="auto"/>
              </w:rPr>
            </w:pPr>
            <w:r>
              <w:rPr>
                <w:rFonts w:ascii="Arial" w:cs="Arial" w:eastAsia="Arial" w:hAnsi="Arial"/>
                <w:sz w:val="15"/>
                <w:szCs w:val="15"/>
                <w:color w:val="auto"/>
              </w:rPr>
              <w:t>quarterly combined and consolidated financial statements of BWXT and assistance with review of documents filed with the</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5"/>
                <w:szCs w:val="15"/>
                <w:color w:val="auto"/>
              </w:rPr>
              <w:t>SEC.</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18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Audit-Related</w:t>
            </w: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45,000</w:t>
            </w: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37,429</w:t>
            </w:r>
          </w:p>
        </w:tc>
        <w:tc>
          <w:tcPr>
            <w:tcW w:w="20" w:type="dxa"/>
            <w:vAlign w:val="bottom"/>
          </w:tcPr>
          <w:p>
            <w:pPr>
              <w:spacing w:after="0"/>
              <w:rPr>
                <w:sz w:val="17"/>
                <w:szCs w:val="17"/>
                <w:color w:val="auto"/>
              </w:rPr>
            </w:pPr>
          </w:p>
        </w:tc>
      </w:tr>
      <w:tr>
        <w:trPr>
          <w:trHeight w:val="146"/>
        </w:trPr>
        <w:tc>
          <w:tcPr>
            <w:tcW w:w="8180" w:type="dxa"/>
            <w:vAlign w:val="bottom"/>
            <w:shd w:val="clear" w:color="auto" w:fill="DBDBDB"/>
          </w:tcPr>
          <w:p>
            <w:pPr>
              <w:ind w:left="20"/>
              <w:spacing w:after="0" w:line="146" w:lineRule="exact"/>
              <w:rPr>
                <w:sz w:val="20"/>
                <w:szCs w:val="20"/>
                <w:color w:val="auto"/>
              </w:rPr>
            </w:pPr>
            <w:r>
              <w:rPr>
                <w:rFonts w:ascii="Arial" w:cs="Arial" w:eastAsia="Arial" w:hAnsi="Arial"/>
                <w:sz w:val="15"/>
                <w:szCs w:val="15"/>
                <w:color w:val="auto"/>
              </w:rPr>
              <w:t>There were Audit-Related fees for the year ended December 31, 2022 for a compliance audit for one of the Company's</w:t>
            </w:r>
          </w:p>
        </w:tc>
        <w:tc>
          <w:tcPr>
            <w:tcW w:w="3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8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subsidiaries and for the year ended December 31, 2021 related to the Company's debt offerings in 2021.</w:t>
            </w: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Tax</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78,750</w:t>
            </w: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110,250</w:t>
            </w:r>
          </w:p>
        </w:tc>
        <w:tc>
          <w:tcPr>
            <w:tcW w:w="20" w:type="dxa"/>
            <w:vAlign w:val="bottom"/>
          </w:tcPr>
          <w:p>
            <w:pPr>
              <w:spacing w:after="0"/>
              <w:rPr>
                <w:sz w:val="16"/>
                <w:szCs w:val="16"/>
                <w:color w:val="auto"/>
              </w:rPr>
            </w:pPr>
          </w:p>
        </w:tc>
      </w:tr>
      <w:tr>
        <w:trPr>
          <w:trHeight w:val="146"/>
        </w:trPr>
        <w:tc>
          <w:tcPr>
            <w:tcW w:w="8180" w:type="dxa"/>
            <w:vAlign w:val="bottom"/>
          </w:tcPr>
          <w:p>
            <w:pPr>
              <w:ind w:left="20"/>
              <w:spacing w:after="0" w:line="146" w:lineRule="exact"/>
              <w:rPr>
                <w:sz w:val="20"/>
                <w:szCs w:val="20"/>
                <w:color w:val="auto"/>
              </w:rPr>
            </w:pPr>
            <w:r>
              <w:rPr>
                <w:rFonts w:ascii="Arial" w:cs="Arial" w:eastAsia="Arial" w:hAnsi="Arial"/>
                <w:sz w:val="15"/>
                <w:szCs w:val="15"/>
                <w:color w:val="auto"/>
                <w:w w:val="98"/>
              </w:rPr>
              <w:t>The Tax fees for the years ended December 31, 2022 and 2021 were for professional services rendered for consultations on</w:t>
            </w: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5"/>
                <w:szCs w:val="15"/>
                <w:color w:val="auto"/>
              </w:rPr>
              <w:t>various U.S. federal and state tax compliance assistance.</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8180" w:type="dxa"/>
            <w:vAlign w:val="bottom"/>
            <w:shd w:val="clear" w:color="auto" w:fill="DBDBDB"/>
          </w:tcPr>
          <w:p>
            <w:pPr>
              <w:ind w:left="20"/>
              <w:spacing w:after="0"/>
              <w:rPr>
                <w:sz w:val="20"/>
                <w:szCs w:val="20"/>
                <w:color w:val="auto"/>
              </w:rPr>
            </w:pPr>
            <w:r>
              <w:rPr>
                <w:rFonts w:ascii="Arial" w:cs="Arial" w:eastAsia="Arial" w:hAnsi="Arial"/>
                <w:sz w:val="15"/>
                <w:szCs w:val="15"/>
                <w:b w:val="1"/>
                <w:bCs w:val="1"/>
                <w:color w:val="auto"/>
              </w:rPr>
              <w:t>All Other</w:t>
            </w: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3,295</w:t>
            </w:r>
          </w:p>
        </w:tc>
        <w:tc>
          <w:tcPr>
            <w:tcW w:w="360" w:type="dxa"/>
            <w:vAlign w:val="bottom"/>
            <w:shd w:val="clear" w:color="auto" w:fill="DBDBDB"/>
          </w:tcPr>
          <w:p>
            <w:pPr>
              <w:spacing w:after="0"/>
              <w:rPr>
                <w:sz w:val="17"/>
                <w:szCs w:val="17"/>
                <w:color w:val="auto"/>
              </w:rPr>
            </w:pPr>
          </w:p>
        </w:tc>
        <w:tc>
          <w:tcPr>
            <w:tcW w:w="1160" w:type="dxa"/>
            <w:vAlign w:val="bottom"/>
            <w:shd w:val="clear" w:color="auto" w:fill="DBDBDB"/>
          </w:tcPr>
          <w:p>
            <w:pPr>
              <w:jc w:val="right"/>
              <w:spacing w:after="0"/>
              <w:rPr>
                <w:sz w:val="20"/>
                <w:szCs w:val="20"/>
                <w:color w:val="auto"/>
              </w:rPr>
            </w:pPr>
            <w:r>
              <w:rPr>
                <w:rFonts w:ascii="Arial" w:cs="Arial" w:eastAsia="Arial" w:hAnsi="Arial"/>
                <w:sz w:val="15"/>
                <w:szCs w:val="15"/>
                <w:color w:val="auto"/>
              </w:rPr>
              <w:t>2,695</w:t>
            </w:r>
          </w:p>
        </w:tc>
        <w:tc>
          <w:tcPr>
            <w:tcW w:w="20" w:type="dxa"/>
            <w:vAlign w:val="bottom"/>
          </w:tcPr>
          <w:p>
            <w:pPr>
              <w:spacing w:after="0"/>
              <w:rPr>
                <w:sz w:val="17"/>
                <w:szCs w:val="17"/>
                <w:color w:val="auto"/>
              </w:rPr>
            </w:pPr>
          </w:p>
        </w:tc>
      </w:tr>
      <w:tr>
        <w:trPr>
          <w:trHeight w:val="146"/>
        </w:trPr>
        <w:tc>
          <w:tcPr>
            <w:tcW w:w="8180" w:type="dxa"/>
            <w:vAlign w:val="bottom"/>
            <w:shd w:val="clear" w:color="auto" w:fill="DBDBDB"/>
          </w:tcPr>
          <w:p>
            <w:pPr>
              <w:ind w:left="20"/>
              <w:spacing w:after="0" w:line="146" w:lineRule="exact"/>
              <w:rPr>
                <w:sz w:val="20"/>
                <w:szCs w:val="20"/>
                <w:color w:val="auto"/>
              </w:rPr>
            </w:pPr>
            <w:r>
              <w:rPr>
                <w:rFonts w:ascii="Arial" w:cs="Arial" w:eastAsia="Arial" w:hAnsi="Arial"/>
                <w:sz w:val="15"/>
                <w:szCs w:val="15"/>
                <w:color w:val="auto"/>
                <w:w w:val="97"/>
              </w:rPr>
              <w:t>The fees for all other services for the years ended December 31, 2022 and 2021 were for an online research tool subscription</w:t>
            </w:r>
          </w:p>
        </w:tc>
        <w:tc>
          <w:tcPr>
            <w:tcW w:w="3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360" w:type="dxa"/>
            <w:vAlign w:val="bottom"/>
            <w:shd w:val="clear" w:color="auto" w:fill="DBDBDB"/>
          </w:tcPr>
          <w:p>
            <w:pPr>
              <w:spacing w:after="0"/>
              <w:rPr>
                <w:sz w:val="12"/>
                <w:szCs w:val="12"/>
                <w:color w:val="auto"/>
              </w:rPr>
            </w:pPr>
          </w:p>
        </w:tc>
        <w:tc>
          <w:tcPr>
            <w:tcW w:w="1160" w:type="dxa"/>
            <w:vAlign w:val="bottom"/>
            <w:shd w:val="clear" w:color="auto" w:fill="DBDBDB"/>
          </w:tcPr>
          <w:p>
            <w:pPr>
              <w:spacing w:after="0"/>
              <w:rPr>
                <w:sz w:val="12"/>
                <w:szCs w:val="12"/>
                <w:color w:val="auto"/>
              </w:rPr>
            </w:pPr>
          </w:p>
        </w:tc>
        <w:tc>
          <w:tcPr>
            <w:tcW w:w="20" w:type="dxa"/>
            <w:vAlign w:val="bottom"/>
          </w:tcPr>
          <w:p>
            <w:pPr>
              <w:spacing w:after="0"/>
              <w:rPr>
                <w:sz w:val="12"/>
                <w:szCs w:val="12"/>
                <w:color w:val="auto"/>
              </w:rPr>
            </w:pPr>
          </w:p>
        </w:tc>
      </w:tr>
      <w:tr>
        <w:trPr>
          <w:trHeight w:val="195"/>
        </w:trPr>
        <w:tc>
          <w:tcPr>
            <w:tcW w:w="8180" w:type="dxa"/>
            <w:vAlign w:val="bottom"/>
            <w:shd w:val="clear" w:color="auto" w:fill="DBDBDB"/>
          </w:tcPr>
          <w:p>
            <w:pPr>
              <w:ind w:left="20"/>
              <w:spacing w:after="0"/>
              <w:rPr>
                <w:sz w:val="20"/>
                <w:szCs w:val="20"/>
                <w:color w:val="auto"/>
              </w:rPr>
            </w:pPr>
            <w:r>
              <w:rPr>
                <w:rFonts w:ascii="Arial" w:cs="Arial" w:eastAsia="Arial" w:hAnsi="Arial"/>
                <w:sz w:val="15"/>
                <w:szCs w:val="15"/>
                <w:color w:val="auto"/>
              </w:rPr>
              <w:t>service.</w:t>
            </w: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160" w:type="dxa"/>
            <w:vAlign w:val="bottom"/>
            <w:shd w:val="clear" w:color="auto" w:fill="DBDBDB"/>
          </w:tcPr>
          <w:p>
            <w:pPr>
              <w:spacing w:after="0"/>
              <w:rPr>
                <w:sz w:val="16"/>
                <w:szCs w:val="16"/>
                <w:color w:val="auto"/>
              </w:rPr>
            </w:pPr>
          </w:p>
        </w:tc>
        <w:tc>
          <w:tcPr>
            <w:tcW w:w="20" w:type="dxa"/>
            <w:vAlign w:val="bottom"/>
          </w:tcPr>
          <w:p>
            <w:pPr>
              <w:spacing w:after="0"/>
              <w:rPr>
                <w:sz w:val="16"/>
                <w:szCs w:val="16"/>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5"/>
                <w:szCs w:val="15"/>
                <w:b w:val="1"/>
                <w:bCs w:val="1"/>
                <w:color w:val="auto"/>
              </w:rPr>
              <w:t>Total</w:t>
            </w: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2,935,636</w:t>
            </w:r>
          </w:p>
        </w:tc>
        <w:tc>
          <w:tcPr>
            <w:tcW w:w="360" w:type="dxa"/>
            <w:vAlign w:val="bottom"/>
          </w:tcPr>
          <w:p>
            <w:pPr>
              <w:jc w:val="right"/>
              <w:ind w:right="187"/>
              <w:spacing w:after="0"/>
              <w:rPr>
                <w:sz w:val="20"/>
                <w:szCs w:val="20"/>
                <w:color w:val="auto"/>
              </w:rPr>
            </w:pPr>
            <w:r>
              <w:rPr>
                <w:rFonts w:ascii="Arial" w:cs="Arial" w:eastAsia="Arial" w:hAnsi="Arial"/>
                <w:sz w:val="15"/>
                <w:szCs w:val="15"/>
                <w:color w:val="auto"/>
                <w:w w:val="95"/>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2,807,969</w:t>
            </w:r>
          </w:p>
        </w:tc>
        <w:tc>
          <w:tcPr>
            <w:tcW w:w="20" w:type="dxa"/>
            <w:vAlign w:val="bottom"/>
          </w:tcPr>
          <w:p>
            <w:pPr>
              <w:spacing w:after="0"/>
              <w:rPr>
                <w:sz w:val="17"/>
                <w:szCs w:val="17"/>
                <w:color w:val="auto"/>
              </w:rPr>
            </w:pPr>
          </w:p>
        </w:tc>
      </w:tr>
    </w:tbl>
    <w:p>
      <w:pPr>
        <w:spacing w:after="0" w:line="161"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It is the policy of our Audit and Finance Committee to pre-approve all audit engagement fees, terms and services and permissible non-audit services to be performed by our independent registered public accounting firm.</w:t>
      </w:r>
    </w:p>
    <w:p>
      <w:pPr>
        <w:spacing w:after="0" w:line="2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 xml:space="preserve">The independent registered public accounting firm and the Vice President, Finance and Chief Accounting Officer annually present to the Audit and Finance Committee the anticipated services to be performed by the firm during the year. The Audit and Finance Committee reviews and, as it deems appropriate, pre-approves those services. The separate Audit, Audit-Related, Tax and All Other services and estimated fees are presented to the Audit and Finance Committee for consideration. The Audit and Finance Committee reviews on at least a quarterly basis the proposed services and fees for additional services that have occurred and are outside the scope of the services and fees initially pre-approved by the Audit and Finance Committee. In order to respond to time-sensitive requests for services that may arise between regularly scheduled meetings, the Audit and Finance Committee has pre-approved specific audit, audit-related, tax and other services and individual and aggregate fees for such services. The Audit and Finance Committee did not approve any audit, audit-related, tax or other services pursuant to the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exception described in Section 10A(i)(1)(B) of the Exchange Act.</w:t>
      </w:r>
    </w:p>
    <w:p>
      <w:pPr>
        <w:spacing w:after="0" w:line="104"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BF2115"/>
        </w:rPr>
        <w:t>RECOMMENDATION AND VOTE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0415" cy="5721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0415" cy="572135"/>
                    </a:xfrm>
                    <a:prstGeom prst="rect">
                      <a:avLst/>
                    </a:prstGeom>
                    <a:noFill/>
                  </pic:spPr>
                </pic:pic>
              </a:graphicData>
            </a:graphic>
          </wp:anchor>
        </w:drawing>
      </w:r>
    </w:p>
    <w:p>
      <w:pPr>
        <w:spacing w:after="0" w:line="19" w:lineRule="exact"/>
        <w:rPr>
          <w:sz w:val="20"/>
          <w:szCs w:val="20"/>
          <w:color w:val="auto"/>
        </w:rPr>
      </w:pPr>
    </w:p>
    <w:p>
      <w:pPr>
        <w:jc w:val="both"/>
        <w:ind w:left="160" w:right="200"/>
        <w:spacing w:after="0" w:line="211" w:lineRule="auto"/>
        <w:rPr>
          <w:sz w:val="20"/>
          <w:szCs w:val="20"/>
          <w:color w:val="auto"/>
        </w:rPr>
      </w:pPr>
      <w:r>
        <w:rPr>
          <w:rFonts w:ascii="Arial" w:cs="Arial" w:eastAsia="Arial" w:hAnsi="Arial"/>
          <w:sz w:val="16"/>
          <w:szCs w:val="16"/>
          <w:b w:val="1"/>
          <w:bCs w:val="1"/>
          <w:color w:val="auto"/>
        </w:rPr>
        <w:t>Our Board of Directors recommends that stockholders vote “FOR” the ratification of the appointment of Deloitte as our independent registered public accounting firm for the year ending December 31, 2023. The proxy holders will vote all proxies received "FOR" approval of this proposal unless instructed otherwise. Approval of this proposal requires the affirmative vote of a majority of the votes cast on the</w:t>
      </w:r>
    </w:p>
    <w:p>
      <w:pPr>
        <w:spacing w:after="0" w:line="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matter. Because abstentions will not be considered cast on this matter, they will not have any effect on the proposal.</w:t>
      </w:r>
    </w:p>
    <w:p>
      <w:pPr>
        <w:spacing w:after="0" w:line="200" w:lineRule="exact"/>
        <w:rPr>
          <w:sz w:val="20"/>
          <w:szCs w:val="20"/>
          <w:color w:val="auto"/>
        </w:rPr>
      </w:pPr>
    </w:p>
    <w:p>
      <w:pPr>
        <w:spacing w:after="0" w:line="299"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69" w:name="page70"/>
    <w:bookmarkEnd w:id="69"/>
    <w:p>
      <w:pPr>
        <w:ind w:left="80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3"/>
          <w:szCs w:val="13"/>
          <w:color w:val="auto"/>
        </w:rPr>
        <w:t>CERTAIN RELATIONSHIPS AND RELATED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9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CERTAIN RELATIONSHIPS AND RELATED TRANSACTIONS</w:t>
      </w:r>
    </w:p>
    <w:p>
      <w:pPr>
        <w:spacing w:after="0" w:line="10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Pursuant to our Code of Business Conduct, all employees (including our Named Executives) who have, or whose immediate family members have, any direct or indirect financial or other participation in any business that competes with us, supplies goods or services to us, or is our customer, are required to disclose to us and receive written approval from our Corporate Ethics and Compliance department prior to transacting such business. Our employees are expected to make reasoned and impartial decisions in the workplace. As a result, approval of the business is denied if we believe that the employee’s interest in such business could influence decisions relative to our business, or have the potential to adversely affect our business or the objective performance of the employee’s work. Our Corporate Ethics and Compliance department implements our Code of Business Conduct and related policies and the Audit and Finance Committee of our Board is responsible for overseeing our Ethics and Compliance Program, including compliance with our Code of Business Conduct. Our Board members are also responsible for complying with our Code of Business Conduct. Additionally, our Governance Committee is responsible for reviewing the professional occupations and associations of our Board members. Our Audit and Finance Committee also reviews transactions between us and other companies with which our Board members are affiliated. For information on how to obtain a copy of our Code of Business Conduct, please see the “Corporate Governance” section above in this proxy statement. During 2022, there were no transactions in which (i) a related person had a direct or indirect material interest, (ii) the amount involved exceeded $120,000, and (iii) the Company was a participant.</w:t>
      </w:r>
    </w:p>
    <w:p>
      <w:pPr>
        <w:spacing w:after="0" w:line="59"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have entered into an indemnification agreement with each of our directors and executive officers. Under the terms of each indemnification agreement, we agree to indemnify the indemnified person, to the fullest extent permitted by Delaware law, from claims and losses arising from their service to the Company (other than certain claims brought by the indemnified party against us or any of our officers and directors). The agreement also provides each indemnified person with expense advancement to the extent the expenses arise from, or might reasonably be expected to arise from, an indemnifiable claim and contains additional terms meant to facilitate a determination of the indemnified person’s entitlement to such benefits.</w:t>
      </w:r>
    </w:p>
    <w:p>
      <w:pPr>
        <w:spacing w:after="0" w:line="357" w:lineRule="exact"/>
        <w:rPr>
          <w:sz w:val="20"/>
          <w:szCs w:val="20"/>
          <w:color w:val="auto"/>
        </w:rPr>
      </w:pPr>
    </w:p>
    <w:p>
      <w:pPr>
        <w:spacing w:after="0"/>
        <w:rPr>
          <w:sz w:val="20"/>
          <w:szCs w:val="20"/>
          <w:color w:val="auto"/>
        </w:rPr>
      </w:pPr>
      <w:r>
        <w:rPr>
          <w:rFonts w:ascii="Arial" w:cs="Arial" w:eastAsia="Arial" w:hAnsi="Arial"/>
          <w:sz w:val="16"/>
          <w:szCs w:val="16"/>
          <w:b w:val="1"/>
          <w:bCs w:val="1"/>
          <w:color w:val="2C2C2C"/>
        </w:rPr>
        <w:t xml:space="preserve">58 </w:t>
      </w:r>
      <w:r>
        <w:rPr>
          <w:sz w:val="1"/>
          <w:szCs w:val="1"/>
          <w:color w:val="auto"/>
        </w:rPr>
        <w:drawing>
          <wp:inline distT="0" distB="0" distL="0" distR="0">
            <wp:extent cx="401955" cy="16256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415" w:right="359" w:bottom="1440" w:gutter="0" w:footer="0" w:header="0"/>
        </w:sectPr>
      </w:pPr>
    </w:p>
    <w:bookmarkStart w:id="70" w:name="page71"/>
    <w:bookmarkEnd w:id="70"/>
    <w:p>
      <w:pPr>
        <w:ind w:left="922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320"/>
        <w:spacing w:after="0"/>
        <w:rPr>
          <w:sz w:val="20"/>
          <w:szCs w:val="20"/>
          <w:color w:val="auto"/>
        </w:rPr>
      </w:pPr>
      <w:r>
        <w:rPr>
          <w:rFonts w:ascii="Arial" w:cs="Arial" w:eastAsia="Arial" w:hAnsi="Arial"/>
          <w:sz w:val="13"/>
          <w:szCs w:val="13"/>
          <w:color w:val="auto"/>
        </w:rPr>
        <w:t>STOCKHOLDERS'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31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STOCKHOLDERS’ PROPOSALS</w:t>
      </w:r>
    </w:p>
    <w:p>
      <w:pPr>
        <w:spacing w:after="0" w:line="105" w:lineRule="exact"/>
        <w:rPr>
          <w:sz w:val="20"/>
          <w:szCs w:val="20"/>
          <w:color w:val="auto"/>
        </w:rPr>
      </w:pPr>
    </w:p>
    <w:p>
      <w:pPr>
        <w:jc w:val="both"/>
        <w:ind w:right="120"/>
        <w:spacing w:after="0" w:line="267" w:lineRule="auto"/>
        <w:rPr>
          <w:sz w:val="20"/>
          <w:szCs w:val="20"/>
          <w:color w:val="auto"/>
        </w:rPr>
      </w:pPr>
      <w:r>
        <w:rPr>
          <w:rFonts w:ascii="Arial" w:cs="Arial" w:eastAsia="Arial" w:hAnsi="Arial"/>
          <w:sz w:val="16"/>
          <w:szCs w:val="16"/>
          <w:color w:val="auto"/>
        </w:rPr>
        <w:t>Any stockholder who wishes to have a qualified proposal considered for inclusion in our proxy statement for our 2024 Annual Meeting of Stockholders must send notice of the proposal to our Corporate Secretary at our principal executive office no later than November 15, 2023. If you make such a proposal, you must provide your name, address, the number of shares of common stock you hold of record or beneficially, the date or dates on which such common stock was acquired and documentary support for any claim of beneficial ownership.</w:t>
      </w:r>
    </w:p>
    <w:p>
      <w:pPr>
        <w:spacing w:after="0" w:line="180" w:lineRule="exact"/>
        <w:rPr>
          <w:sz w:val="20"/>
          <w:szCs w:val="20"/>
          <w:color w:val="auto"/>
        </w:rPr>
      </w:pPr>
    </w:p>
    <w:p>
      <w:pPr>
        <w:ind w:right="260"/>
        <w:spacing w:after="0" w:line="264" w:lineRule="auto"/>
        <w:rPr>
          <w:sz w:val="20"/>
          <w:szCs w:val="20"/>
          <w:color w:val="auto"/>
        </w:rPr>
      </w:pPr>
      <w:r>
        <w:rPr>
          <w:rFonts w:ascii="Arial" w:cs="Arial" w:eastAsia="Arial" w:hAnsi="Arial"/>
          <w:sz w:val="16"/>
          <w:szCs w:val="16"/>
          <w:color w:val="auto"/>
        </w:rPr>
        <w:t xml:space="preserve">In addition, any stockholder who intends to submit a proposal for consideration at our 2024 Annual Meeting, but not for inclusion in our proxy materials, or who intends to submit nominees for election as directors at the meeting must notify our Corporate Secretary. Under our Bylaws, such notice must (i) be received at our principal executive offices no earlier than close of business on January 3, 2024 or later than February 2, 2024 and (ii) satisfy specified requirements set forth in our Bylaws. A copy of the pertinent bylaw provisions can be found on our website at </w:t>
      </w:r>
      <w:r>
        <w:rPr>
          <w:rFonts w:ascii="Arial" w:cs="Arial" w:eastAsia="Arial" w:hAnsi="Arial"/>
          <w:sz w:val="16"/>
          <w:szCs w:val="16"/>
          <w:u w:val="single" w:color="auto"/>
          <w:color w:val="auto"/>
        </w:rPr>
        <w:t>www.bwxt.com</w:t>
      </w:r>
      <w:r>
        <w:rPr>
          <w:rFonts w:ascii="Arial" w:cs="Arial" w:eastAsia="Arial" w:hAnsi="Arial"/>
          <w:sz w:val="16"/>
          <w:szCs w:val="16"/>
          <w:color w:val="auto"/>
        </w:rPr>
        <w:t xml:space="preserve"> at “Investors — Corporate Governance — Highlights.”</w:t>
      </w:r>
    </w:p>
    <w:p>
      <w:pPr>
        <w:spacing w:after="0" w:line="182" w:lineRule="exact"/>
        <w:rPr>
          <w:sz w:val="20"/>
          <w:szCs w:val="20"/>
          <w:color w:val="auto"/>
        </w:rPr>
      </w:pPr>
    </w:p>
    <w:p>
      <w:pPr>
        <w:jc w:val="both"/>
        <w:ind w:right="240"/>
        <w:spacing w:after="0" w:line="274" w:lineRule="auto"/>
        <w:rPr>
          <w:sz w:val="20"/>
          <w:szCs w:val="20"/>
          <w:color w:val="auto"/>
        </w:rPr>
      </w:pPr>
      <w:r>
        <w:rPr>
          <w:rFonts w:ascii="Arial" w:cs="Arial" w:eastAsia="Arial" w:hAnsi="Arial"/>
          <w:sz w:val="16"/>
          <w:szCs w:val="16"/>
          <w:color w:val="auto"/>
        </w:rPr>
        <w:t>In addition to satisfying the foregoing requirements under our Bylaws, stockholders who intend to solicit proxies in support of director nominees other than the Company's director nominees in compliance with the universal proxy rules under the Exchange Act must provide notice that sets forth the information required in Rule 14a-19 under the Exchange Act no later than March 3, 2024.</w:t>
      </w:r>
    </w:p>
    <w:p>
      <w:pPr>
        <w:spacing w:after="0" w:line="344"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4375785</wp:posOffset>
            </wp:positionH>
            <wp:positionV relativeFrom="paragraph">
              <wp:posOffset>17780</wp:posOffset>
            </wp:positionV>
            <wp:extent cx="1167765" cy="45656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67765" cy="45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Ronald O. Whitford, Jr.</w:t>
      </w:r>
    </w:p>
    <w:p>
      <w:pPr>
        <w:spacing w:after="0" w:line="26" w:lineRule="exact"/>
        <w:rPr>
          <w:sz w:val="20"/>
          <w:szCs w:val="20"/>
          <w:color w:val="auto"/>
        </w:rPr>
      </w:pPr>
    </w:p>
    <w:p>
      <w:pPr>
        <w:ind w:left="6900"/>
        <w:spacing w:after="0"/>
        <w:rPr>
          <w:sz w:val="20"/>
          <w:szCs w:val="20"/>
          <w:color w:val="auto"/>
        </w:rPr>
      </w:pPr>
      <w:r>
        <w:rPr>
          <w:rFonts w:ascii="Arial" w:cs="Arial" w:eastAsia="Arial" w:hAnsi="Arial"/>
          <w:sz w:val="16"/>
          <w:szCs w:val="16"/>
          <w:color w:val="auto"/>
        </w:rPr>
        <w:t>Senior Vice President, General Counsel,</w:t>
      </w:r>
    </w:p>
    <w:p>
      <w:pPr>
        <w:ind w:left="6900"/>
        <w:spacing w:after="0"/>
        <w:rPr>
          <w:sz w:val="20"/>
          <w:szCs w:val="20"/>
          <w:color w:val="auto"/>
        </w:rPr>
      </w:pPr>
      <w:r>
        <w:rPr>
          <w:rFonts w:ascii="Arial" w:cs="Arial" w:eastAsia="Arial" w:hAnsi="Arial"/>
          <w:sz w:val="16"/>
          <w:szCs w:val="16"/>
          <w:color w:val="auto"/>
        </w:rPr>
        <w:t>Chief Compliance Officer and Secretary</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Dated: March 15, 2023</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sz w:val="1"/>
          <w:szCs w:val="1"/>
          <w:color w:val="auto"/>
        </w:rPr>
        <w:drawing>
          <wp:inline distT="0" distB="0" distL="0" distR="0">
            <wp:extent cx="440690" cy="185420"/>
            <wp:effectExtent l="0" t="0" r="0" b="0"/>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40690" cy="185420"/>
                    </a:xfrm>
                    <a:prstGeom prst="rect">
                      <a:avLst/>
                    </a:prstGeom>
                    <a:noFill/>
                    <a:ln>
                      <a:noFill/>
                    </a:ln>
                  </pic:spPr>
                </pic:pic>
              </a:graphicData>
            </a:graphic>
          </wp:inline>
        </w:drawing>
      </w:r>
      <w:r>
        <w:rPr>
          <w:rFonts w:ascii="Arial" w:cs="Arial" w:eastAsia="Arial" w:hAnsi="Arial"/>
          <w:sz w:val="16"/>
          <w:szCs w:val="16"/>
          <w:color w:val="auto"/>
        </w:rPr>
        <w:t xml:space="preserve"> 2023 PROXY STATEMENT </w:t>
      </w:r>
      <w:r>
        <w:rPr>
          <w:rFonts w:ascii="Arial" w:cs="Arial" w:eastAsia="Arial" w:hAnsi="Arial"/>
          <w:sz w:val="16"/>
          <w:szCs w:val="16"/>
          <w:b w:val="1"/>
          <w:bCs w:val="1"/>
          <w:color w:val="2C2C2C"/>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89535</wp:posOffset>
            </wp:positionV>
            <wp:extent cx="7171055"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9"/>
          </w:tcPr>
          <w:p>
            <w:pPr>
              <w:ind w:left="120"/>
              <w:spacing w:after="0"/>
              <w:rPr>
                <w:sz w:val="20"/>
                <w:szCs w:val="20"/>
                <w:color w:val="auto"/>
              </w:rPr>
            </w:pPr>
            <w:r>
              <w:rPr>
                <w:rFonts w:ascii="Times New Roman" w:cs="Times New Roman" w:eastAsia="Times New Roman" w:hAnsi="Times New Roman"/>
                <w:sz w:val="16"/>
                <w:szCs w:val="16"/>
                <w:color w:val="0000FF"/>
              </w:rPr>
              <w:t>Table of Contents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0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7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4"/>
          </w:tcPr>
          <w:p>
            <w:pPr>
              <w:jc w:val="right"/>
              <w:ind w:right="28"/>
              <w:spacing w:after="0"/>
              <w:rPr>
                <w:sz w:val="20"/>
                <w:szCs w:val="20"/>
                <w:color w:val="auto"/>
              </w:rPr>
            </w:pPr>
            <w:r>
              <w:rPr>
                <w:rFonts w:ascii="Times New Roman" w:cs="Times New Roman" w:eastAsia="Times New Roman" w:hAnsi="Times New Roman"/>
                <w:sz w:val="13"/>
                <w:szCs w:val="13"/>
                <w:color w:val="auto"/>
              </w:rPr>
              <w:t>APPENDIX</w:t>
            </w: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100" w:type="dxa"/>
            <w:vAlign w:val="bottom"/>
            <w:tcBorders>
              <w:bottom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4"/>
        </w:trPr>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6"/>
                <w:szCs w:val="16"/>
                <w:b w:val="1"/>
                <w:bCs w:val="1"/>
                <w:color w:val="auto"/>
              </w:rPr>
              <w:t>APPENDIX A</w:t>
            </w:r>
          </w:p>
        </w:tc>
        <w:tc>
          <w:tcPr>
            <w:tcW w:w="0" w:type="dxa"/>
            <w:vAlign w:val="bottom"/>
          </w:tcPr>
          <w:p>
            <w:pPr>
              <w:spacing w:after="0"/>
              <w:rPr>
                <w:sz w:val="1"/>
                <w:szCs w:val="1"/>
                <w:color w:val="auto"/>
              </w:rPr>
            </w:pPr>
          </w:p>
        </w:tc>
      </w:tr>
      <w:tr>
        <w:trPr>
          <w:trHeight w:val="395"/>
        </w:trPr>
        <w:tc>
          <w:tcPr>
            <w:tcW w:w="100" w:type="dxa"/>
            <w:vAlign w:val="bottom"/>
          </w:tcPr>
          <w:p>
            <w:pPr>
              <w:spacing w:after="0"/>
              <w:rPr>
                <w:sz w:val="24"/>
                <w:szCs w:val="24"/>
                <w:color w:val="auto"/>
              </w:rPr>
            </w:pPr>
          </w:p>
        </w:tc>
        <w:tc>
          <w:tcPr>
            <w:tcW w:w="9840" w:type="dxa"/>
            <w:vAlign w:val="bottom"/>
            <w:gridSpan w:val="34"/>
          </w:tcPr>
          <w:p>
            <w:pPr>
              <w:jc w:val="center"/>
              <w:ind w:left="1155"/>
              <w:spacing w:after="0"/>
              <w:rPr>
                <w:sz w:val="20"/>
                <w:szCs w:val="20"/>
                <w:color w:val="auto"/>
              </w:rPr>
            </w:pPr>
            <w:r>
              <w:rPr>
                <w:rFonts w:ascii="Arial" w:cs="Arial" w:eastAsia="Arial" w:hAnsi="Arial"/>
                <w:sz w:val="16"/>
                <w:szCs w:val="16"/>
                <w:b w:val="1"/>
                <w:bCs w:val="1"/>
                <w:color w:val="auto"/>
                <w:w w:val="99"/>
              </w:rPr>
              <w:t>RECONCILIATION OF REPORTED (GAAP) OPERATING INCOME AND EARNINGS PER SHARE</w:t>
            </w:r>
            <w:r>
              <w:rPr>
                <w:rFonts w:ascii="Arial" w:cs="Arial" w:eastAsia="Arial" w:hAnsi="Arial"/>
                <w:sz w:val="21"/>
                <w:szCs w:val="21"/>
                <w:b w:val="1"/>
                <w:bCs w:val="1"/>
                <w:color w:val="auto"/>
                <w:w w:val="99"/>
                <w:vertAlign w:val="superscript"/>
              </w:rPr>
              <w:t>(1)(2)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60" w:type="dxa"/>
            <w:vAlign w:val="bottom"/>
            <w:gridSpan w:val="12"/>
          </w:tcPr>
          <w:p>
            <w:pPr>
              <w:jc w:val="center"/>
              <w:spacing w:after="0"/>
              <w:rPr>
                <w:sz w:val="20"/>
                <w:szCs w:val="20"/>
                <w:color w:val="auto"/>
              </w:rPr>
            </w:pPr>
            <w:r>
              <w:rPr>
                <w:rFonts w:ascii="Arial" w:cs="Arial" w:eastAsia="Arial" w:hAnsi="Arial"/>
                <w:sz w:val="13"/>
                <w:szCs w:val="13"/>
                <w:b w:val="1"/>
                <w:bCs w:val="1"/>
                <w:color w:val="auto"/>
                <w:w w:val="99"/>
              </w:rPr>
              <w:t>(In millions, except per share amounts)</w:t>
            </w: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60" w:type="dxa"/>
            <w:vAlign w:val="bottom"/>
            <w:gridSpan w:val="11"/>
          </w:tcPr>
          <w:p>
            <w:pPr>
              <w:jc w:val="center"/>
              <w:ind w:right="80"/>
              <w:spacing w:after="0"/>
              <w:rPr>
                <w:sz w:val="20"/>
                <w:szCs w:val="20"/>
                <w:color w:val="auto"/>
              </w:rPr>
            </w:pPr>
            <w:r>
              <w:rPr>
                <w:rFonts w:ascii="Arial" w:cs="Arial" w:eastAsia="Arial" w:hAnsi="Arial"/>
                <w:sz w:val="13"/>
                <w:szCs w:val="13"/>
                <w:b w:val="1"/>
                <w:bCs w:val="1"/>
                <w:color w:val="auto"/>
                <w:w w:val="99"/>
              </w:rPr>
              <w:t>Year Ended December 31, 2022</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80" w:type="dxa"/>
            <w:vAlign w:val="bottom"/>
            <w:gridSpan w:val="3"/>
            <w:vMerge w:val="restart"/>
          </w:tcPr>
          <w:p>
            <w:pPr>
              <w:ind w:left="340"/>
              <w:spacing w:after="0"/>
              <w:rPr>
                <w:sz w:val="20"/>
                <w:szCs w:val="20"/>
                <w:color w:val="auto"/>
              </w:rPr>
            </w:pPr>
            <w:r>
              <w:rPr>
                <w:rFonts w:ascii="Arial" w:cs="Arial" w:eastAsia="Arial" w:hAnsi="Arial"/>
                <w:sz w:val="13"/>
                <w:szCs w:val="13"/>
                <w:b w:val="1"/>
                <w:bCs w:val="1"/>
                <w:color w:val="auto"/>
              </w:rPr>
              <w:t>GAAP</w:t>
            </w:r>
          </w:p>
        </w:tc>
        <w:tc>
          <w:tcPr>
            <w:tcW w:w="100" w:type="dxa"/>
            <w:vAlign w:val="bottom"/>
            <w:gridSpan w:val="2"/>
            <w:vMerge w:val="restart"/>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gridSpan w:val="5"/>
          </w:tcPr>
          <w:p>
            <w:pPr>
              <w:ind w:left="40"/>
              <w:spacing w:after="0" w:line="122" w:lineRule="exact"/>
              <w:rPr>
                <w:sz w:val="20"/>
                <w:szCs w:val="20"/>
                <w:color w:val="auto"/>
              </w:rPr>
            </w:pPr>
            <w:r>
              <w:rPr>
                <w:rFonts w:ascii="Arial" w:cs="Arial" w:eastAsia="Arial" w:hAnsi="Arial"/>
                <w:sz w:val="13"/>
                <w:szCs w:val="13"/>
                <w:b w:val="1"/>
                <w:bCs w:val="1"/>
                <w:color w:val="auto"/>
              </w:rPr>
              <w:t>Pension &amp; OPEB</w:t>
            </w:r>
          </w:p>
        </w:tc>
        <w:tc>
          <w:tcPr>
            <w:tcW w:w="130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w w:val="99"/>
              </w:rPr>
              <w:t>Restructuring Costs</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00" w:type="dxa"/>
            <w:vAlign w:val="bottom"/>
            <w:gridSpan w:val="9"/>
          </w:tcPr>
          <w:p>
            <w:pPr>
              <w:jc w:val="center"/>
              <w:ind w:right="80"/>
              <w:spacing w:after="0" w:line="122" w:lineRule="exact"/>
              <w:rPr>
                <w:sz w:val="20"/>
                <w:szCs w:val="20"/>
                <w:color w:val="auto"/>
              </w:rPr>
            </w:pPr>
            <w:r>
              <w:rPr>
                <w:rFonts w:ascii="Arial" w:cs="Arial" w:eastAsia="Arial" w:hAnsi="Arial"/>
                <w:sz w:val="13"/>
                <w:szCs w:val="13"/>
                <w:b w:val="1"/>
                <w:bCs w:val="1"/>
                <w:color w:val="auto"/>
              </w:rPr>
              <w:t>Acquisition-related</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tcPr>
          <w:p>
            <w:pPr>
              <w:ind w:left="20"/>
              <w:spacing w:after="0" w:line="122" w:lineRule="exact"/>
              <w:rPr>
                <w:sz w:val="20"/>
                <w:szCs w:val="20"/>
                <w:color w:val="auto"/>
              </w:rPr>
            </w:pPr>
            <w:r>
              <w:rPr>
                <w:rFonts w:ascii="Arial" w:cs="Arial" w:eastAsia="Arial" w:hAnsi="Arial"/>
                <w:sz w:val="13"/>
                <w:szCs w:val="13"/>
                <w:b w:val="1"/>
                <w:bCs w:val="1"/>
                <w:color w:val="auto"/>
              </w:rPr>
              <w:t>Loss on Asset</w:t>
            </w: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Non-GAAP</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vMerge w:val="continue"/>
          </w:tcPr>
          <w:p>
            <w:pPr>
              <w:spacing w:after="0"/>
              <w:rPr>
                <w:sz w:val="14"/>
                <w:szCs w:val="14"/>
                <w:color w:val="auto"/>
              </w:rPr>
            </w:pPr>
          </w:p>
        </w:tc>
        <w:tc>
          <w:tcPr>
            <w:tcW w:w="100" w:type="dxa"/>
            <w:vAlign w:val="bottom"/>
            <w:gridSpan w:val="2"/>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w w:val="99"/>
              </w:rPr>
              <w:t>MTM (Gain) / Loss</w:t>
            </w:r>
          </w:p>
        </w:tc>
        <w:tc>
          <w:tcPr>
            <w:tcW w:w="100" w:type="dxa"/>
            <w:vAlign w:val="bottom"/>
            <w:gridSpan w:val="2"/>
          </w:tcPr>
          <w:p>
            <w:pPr>
              <w:spacing w:after="0"/>
              <w:rPr>
                <w:sz w:val="14"/>
                <w:szCs w:val="14"/>
                <w:color w:val="auto"/>
              </w:rPr>
            </w:pPr>
          </w:p>
        </w:tc>
        <w:tc>
          <w:tcPr>
            <w:tcW w:w="1300" w:type="dxa"/>
            <w:vAlign w:val="bottom"/>
            <w:tcBorders>
              <w:bottom w:val="single" w:sz="8" w:color="auto"/>
            </w:tcBorders>
            <w:gridSpan w:val="3"/>
            <w:vMerge w:val="continue"/>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3"/>
                <w:szCs w:val="13"/>
                <w:b w:val="1"/>
                <w:bCs w:val="1"/>
                <w:color w:val="auto"/>
                <w:w w:val="99"/>
              </w:rPr>
              <w:t>Costs</w:t>
            </w:r>
          </w:p>
        </w:tc>
        <w:tc>
          <w:tcPr>
            <w:tcW w:w="6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ind w:left="60"/>
              <w:spacing w:after="0"/>
              <w:rPr>
                <w:sz w:val="20"/>
                <w:szCs w:val="20"/>
                <w:color w:val="auto"/>
              </w:rPr>
            </w:pPr>
            <w:r>
              <w:rPr>
                <w:rFonts w:ascii="Arial" w:cs="Arial" w:eastAsia="Arial" w:hAnsi="Arial"/>
                <w:sz w:val="13"/>
                <w:szCs w:val="13"/>
                <w:b w:val="1"/>
                <w:bCs w:val="1"/>
                <w:color w:val="auto"/>
              </w:rPr>
              <w:t>Disposal</w:t>
            </w: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Operating Income</w:t>
            </w:r>
          </w:p>
        </w:tc>
        <w:tc>
          <w:tcPr>
            <w:tcW w:w="180" w:type="dxa"/>
            <w:vAlign w:val="bottom"/>
          </w:tcPr>
          <w:p>
            <w:pPr>
              <w:spacing w:after="0"/>
              <w:rPr>
                <w:sz w:val="24"/>
                <w:szCs w:val="24"/>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348.6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3"/>
                <w:szCs w:val="13"/>
                <w:color w:val="auto"/>
              </w:rPr>
              <w:t>—</w:t>
            </w: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8.2</w:t>
            </w:r>
          </w:p>
        </w:tc>
        <w:tc>
          <w:tcPr>
            <w:tcW w:w="240" w:type="dxa"/>
            <w:vAlign w:val="bottom"/>
            <w:gridSpan w:val="4"/>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365.6</w:t>
            </w:r>
          </w:p>
        </w:tc>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 w:type="dxa"/>
            <w:vAlign w:val="bottom"/>
            <w:tcBorders>
              <w:right w:val="single" w:sz="8" w:color="DBDBDB"/>
            </w:tcBorders>
          </w:tcPr>
          <w:p>
            <w:pPr>
              <w:spacing w:after="0"/>
              <w:rPr>
                <w:sz w:val="16"/>
                <w:szCs w:val="16"/>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Other Income (Expense)</w:t>
            </w:r>
          </w:p>
        </w:tc>
        <w:tc>
          <w:tcPr>
            <w:tcW w:w="1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4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(34.2)</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46.6</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66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880" w:type="dxa"/>
            <w:vAlign w:val="bottom"/>
            <w:gridSpan w:val="5"/>
            <w:shd w:val="clear" w:color="auto" w:fill="DBDBDB"/>
          </w:tcPr>
          <w:p>
            <w:pPr>
              <w:jc w:val="right"/>
              <w:ind w:right="120"/>
              <w:spacing w:after="0"/>
              <w:rPr>
                <w:sz w:val="20"/>
                <w:szCs w:val="20"/>
                <w:color w:val="auto"/>
              </w:rPr>
            </w:pPr>
            <w:r>
              <w:rPr>
                <w:rFonts w:ascii="Arial" w:cs="Arial" w:eastAsia="Arial" w:hAnsi="Arial"/>
                <w:sz w:val="13"/>
                <w:szCs w:val="13"/>
                <w:color w:val="auto"/>
              </w:rPr>
              <w:t>—</w:t>
            </w: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20" w:type="dxa"/>
            <w:vAlign w:val="bottom"/>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12.4</w:t>
            </w:r>
          </w:p>
        </w:tc>
        <w:tc>
          <w:tcPr>
            <w:tcW w:w="40" w:type="dxa"/>
            <w:vAlign w:val="bottom"/>
            <w:tcBorders>
              <w:right w:val="single" w:sz="8" w:color="auto"/>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Income before Provision for Income Taxes</w:t>
            </w:r>
          </w:p>
        </w:tc>
        <w:tc>
          <w:tcPr>
            <w:tcW w:w="1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314.4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46.6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8.2</w:t>
            </w:r>
          </w:p>
        </w:tc>
        <w:tc>
          <w:tcPr>
            <w:tcW w:w="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6.2</w:t>
            </w:r>
          </w:p>
        </w:tc>
        <w:tc>
          <w:tcPr>
            <w:tcW w:w="40" w:type="dxa"/>
            <w:vAlign w:val="bottom"/>
            <w:tcBorders>
              <w:top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378.0</w:t>
            </w:r>
          </w:p>
        </w:tc>
        <w:tc>
          <w:tcPr>
            <w:tcW w:w="40" w:type="dxa"/>
            <w:vAlign w:val="bottom"/>
            <w:tcBorders>
              <w:top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tcBorders>
              <w:right w:val="single" w:sz="8" w:color="DBDBDB"/>
            </w:tcBorders>
          </w:tcPr>
          <w:p>
            <w:pPr>
              <w:spacing w:after="0"/>
              <w:rPr>
                <w:sz w:val="16"/>
                <w:szCs w:val="16"/>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Provision for Income Taxes</w:t>
            </w:r>
          </w:p>
        </w:tc>
        <w:tc>
          <w:tcPr>
            <w:tcW w:w="18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(75.8)</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(10.9)</w:t>
            </w: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(1.9)</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(0.4)</w:t>
            </w: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3"/>
                <w:szCs w:val="13"/>
                <w:color w:val="auto"/>
              </w:rPr>
              <w:t>(1.6)</w:t>
            </w: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(90.5)</w:t>
            </w:r>
          </w:p>
        </w:tc>
        <w:tc>
          <w:tcPr>
            <w:tcW w:w="40" w:type="dxa"/>
            <w:vAlign w:val="bottom"/>
            <w:tcBorders>
              <w:bottom w:val="single" w:sz="8" w:color="auto"/>
              <w:right w:val="single" w:sz="8" w:color="auto"/>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Borders>
              <w:bottom w:val="single" w:sz="8" w:color="DBDBDB"/>
            </w:tcBorders>
          </w:tcPr>
          <w:p>
            <w:pPr>
              <w:ind w:left="10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DBDBDB"/>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238.6</w:t>
            </w:r>
          </w:p>
        </w:tc>
        <w:tc>
          <w:tcPr>
            <w:tcW w:w="20" w:type="dxa"/>
            <w:vAlign w:val="bottom"/>
            <w:tcBorders>
              <w:bottom w:val="single" w:sz="8" w:color="DBDBDB"/>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35.7</w:t>
            </w:r>
          </w:p>
        </w:tc>
        <w:tc>
          <w:tcPr>
            <w:tcW w:w="20" w:type="dxa"/>
            <w:vAlign w:val="bottom"/>
            <w:tcBorders>
              <w:bottom w:val="single" w:sz="8" w:color="DBDBDB"/>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40" w:type="dxa"/>
            <w:vAlign w:val="bottom"/>
            <w:tcBorders>
              <w:bottom w:val="single" w:sz="8" w:color="DBDBDB"/>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w:t>
            </w: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DBDBDB"/>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287.5</w:t>
            </w:r>
          </w:p>
        </w:tc>
        <w:tc>
          <w:tcPr>
            <w:tcW w:w="40" w:type="dxa"/>
            <w:vAlign w:val="bottom"/>
            <w:tcBorders>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DBDBDB"/>
            </w:tcBorders>
          </w:tcPr>
          <w:p>
            <w:pPr>
              <w:spacing w:after="0"/>
              <w:rPr>
                <w:sz w:val="15"/>
                <w:szCs w:val="15"/>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 Attributable to Noncontrolling Interest</w:t>
            </w:r>
          </w:p>
        </w:tc>
        <w:tc>
          <w:tcPr>
            <w:tcW w:w="18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20" w:type="dxa"/>
            <w:vAlign w:val="bottom"/>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2"/>
            <w:shd w:val="clear" w:color="auto" w:fill="DBDBDB"/>
          </w:tcPr>
          <w:p>
            <w:pPr>
              <w:spacing w:after="0"/>
              <w:rPr>
                <w:sz w:val="15"/>
                <w:szCs w:val="15"/>
                <w:color w:val="auto"/>
              </w:rPr>
            </w:pPr>
          </w:p>
        </w:tc>
        <w:tc>
          <w:tcPr>
            <w:tcW w:w="54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60" w:type="dxa"/>
            <w:vAlign w:val="bottom"/>
            <w:gridSpan w:val="3"/>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40" w:type="dxa"/>
            <w:vAlign w:val="bottom"/>
            <w:tcBorders>
              <w:bottom w:val="single" w:sz="8" w:color="auto"/>
              <w:right w:val="single" w:sz="8" w:color="auto"/>
            </w:tcBorders>
            <w:shd w:val="clear" w:color="auto" w:fill="DBDBDB"/>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Net Income Attributable to BWXT</w:t>
            </w:r>
          </w:p>
        </w:tc>
        <w:tc>
          <w:tcPr>
            <w:tcW w:w="18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238.2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35.7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6.3</w:t>
            </w:r>
          </w:p>
        </w:tc>
        <w:tc>
          <w:tcPr>
            <w:tcW w:w="240" w:type="dxa"/>
            <w:vAlign w:val="bottom"/>
            <w:gridSpan w:val="4"/>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4.7</w:t>
            </w:r>
          </w:p>
        </w:tc>
        <w:tc>
          <w:tcPr>
            <w:tcW w:w="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287.1</w:t>
            </w: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 w:type="dxa"/>
            <w:vAlign w:val="bottom"/>
            <w:tcBorders>
              <w:right w:val="single" w:sz="8" w:color="DBDBDB"/>
            </w:tcBorders>
          </w:tcPr>
          <w:p>
            <w:pPr>
              <w:spacing w:after="0"/>
              <w:rPr>
                <w:sz w:val="14"/>
                <w:szCs w:val="14"/>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Diluted Shares Outstanding</w:t>
            </w:r>
          </w:p>
        </w:tc>
        <w:tc>
          <w:tcPr>
            <w:tcW w:w="1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91.7</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0" w:type="dxa"/>
            <w:vAlign w:val="bottom"/>
            <w:tcBorders>
              <w:right w:val="single" w:sz="8" w:color="auto"/>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91.7</w:t>
            </w:r>
          </w:p>
        </w:tc>
        <w:tc>
          <w:tcPr>
            <w:tcW w:w="40" w:type="dxa"/>
            <w:vAlign w:val="bottom"/>
            <w:tcBorders>
              <w:right w:val="single" w:sz="8" w:color="auto"/>
            </w:tcBorders>
            <w:shd w:val="clear" w:color="auto" w:fill="DBDBDB"/>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Diluted Earnings per Common Share</w:t>
            </w:r>
          </w:p>
        </w:tc>
        <w:tc>
          <w:tcPr>
            <w:tcW w:w="18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2.60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0.39</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0.07</w:t>
            </w:r>
          </w:p>
        </w:tc>
        <w:tc>
          <w:tcPr>
            <w:tcW w:w="240" w:type="dxa"/>
            <w:vAlign w:val="bottom"/>
            <w:gridSpan w:val="4"/>
          </w:tcPr>
          <w:p>
            <w:pPr>
              <w:ind w:left="12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gridSpan w:val="3"/>
          </w:tcPr>
          <w:p>
            <w:pPr>
              <w:jc w:val="right"/>
              <w:ind w:right="15"/>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0.05</w:t>
            </w:r>
          </w:p>
        </w:tc>
        <w:tc>
          <w:tcPr>
            <w:tcW w:w="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w:t>
            </w:r>
          </w:p>
        </w:tc>
        <w:tc>
          <w:tcPr>
            <w:tcW w:w="40" w:type="dxa"/>
            <w:vAlign w:val="bottom"/>
            <w:tcBorders>
              <w:bottom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2"/>
        </w:trPr>
        <w:tc>
          <w:tcPr>
            <w:tcW w:w="100" w:type="dxa"/>
            <w:vAlign w:val="bottom"/>
          </w:tcPr>
          <w:p>
            <w:pPr>
              <w:spacing w:after="0"/>
              <w:rPr>
                <w:sz w:val="23"/>
                <w:szCs w:val="23"/>
                <w:color w:val="auto"/>
              </w:rPr>
            </w:pPr>
          </w:p>
        </w:tc>
        <w:tc>
          <w:tcPr>
            <w:tcW w:w="34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360" w:type="dxa"/>
            <w:vAlign w:val="bottom"/>
            <w:gridSpan w:val="11"/>
          </w:tcPr>
          <w:p>
            <w:pPr>
              <w:jc w:val="center"/>
              <w:ind w:right="80"/>
              <w:spacing w:after="0"/>
              <w:rPr>
                <w:sz w:val="20"/>
                <w:szCs w:val="20"/>
                <w:color w:val="auto"/>
              </w:rPr>
            </w:pPr>
            <w:r>
              <w:rPr>
                <w:rFonts w:ascii="Arial" w:cs="Arial" w:eastAsia="Arial" w:hAnsi="Arial"/>
                <w:sz w:val="13"/>
                <w:szCs w:val="13"/>
                <w:b w:val="1"/>
                <w:bCs w:val="1"/>
                <w:color w:val="auto"/>
                <w:w w:val="99"/>
              </w:rPr>
              <w:t>Year Ended December 31, 2021</w:t>
            </w: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300" w:type="dxa"/>
            <w:vAlign w:val="bottom"/>
            <w:gridSpan w:val="9"/>
          </w:tcPr>
          <w:p>
            <w:pPr>
              <w:jc w:val="center"/>
              <w:ind w:right="40"/>
              <w:spacing w:after="0" w:line="136" w:lineRule="exact"/>
              <w:rPr>
                <w:sz w:val="20"/>
                <w:szCs w:val="20"/>
                <w:color w:val="auto"/>
              </w:rPr>
            </w:pPr>
            <w:r>
              <w:rPr>
                <w:rFonts w:ascii="Times New Roman" w:cs="Times New Roman" w:eastAsia="Times New Roman" w:hAnsi="Times New Roman"/>
                <w:sz w:val="13"/>
                <w:szCs w:val="13"/>
                <w:b w:val="1"/>
                <w:bCs w:val="1"/>
                <w:color w:val="auto"/>
              </w:rPr>
              <w:t>Costs Associated with</w:t>
            </w: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gridSpan w:val="4"/>
            <w:vMerge w:val="restart"/>
          </w:tcPr>
          <w:p>
            <w:pPr>
              <w:ind w:left="360"/>
              <w:spacing w:after="0"/>
              <w:rPr>
                <w:sz w:val="20"/>
                <w:szCs w:val="20"/>
                <w:color w:val="auto"/>
              </w:rPr>
            </w:pPr>
            <w:r>
              <w:rPr>
                <w:rFonts w:ascii="Arial" w:cs="Arial" w:eastAsia="Arial" w:hAnsi="Arial"/>
                <w:sz w:val="13"/>
                <w:szCs w:val="13"/>
                <w:b w:val="1"/>
                <w:bCs w:val="1"/>
                <w:color w:val="auto"/>
              </w:rPr>
              <w:t>GAAP</w:t>
            </w:r>
          </w:p>
        </w:tc>
        <w:tc>
          <w:tcPr>
            <w:tcW w:w="8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ind w:left="60"/>
              <w:spacing w:after="0"/>
              <w:rPr>
                <w:sz w:val="20"/>
                <w:szCs w:val="20"/>
                <w:color w:val="auto"/>
              </w:rPr>
            </w:pPr>
            <w:r>
              <w:rPr>
                <w:rFonts w:ascii="Arial" w:cs="Arial" w:eastAsia="Arial" w:hAnsi="Arial"/>
                <w:sz w:val="13"/>
                <w:szCs w:val="13"/>
                <w:b w:val="1"/>
                <w:bCs w:val="1"/>
                <w:color w:val="auto"/>
              </w:rPr>
              <w:t>Pension &amp; OPEB</w:t>
            </w:r>
          </w:p>
        </w:tc>
        <w:tc>
          <w:tcPr>
            <w:tcW w:w="1300" w:type="dxa"/>
            <w:vAlign w:val="bottom"/>
            <w:gridSpan w:val="3"/>
          </w:tcPr>
          <w:p>
            <w:pPr>
              <w:jc w:val="right"/>
              <w:ind w:right="15"/>
              <w:spacing w:after="0"/>
              <w:rPr>
                <w:sz w:val="20"/>
                <w:szCs w:val="20"/>
                <w:color w:val="auto"/>
              </w:rPr>
            </w:pPr>
            <w:r>
              <w:rPr>
                <w:rFonts w:ascii="Arial" w:cs="Arial" w:eastAsia="Arial" w:hAnsi="Arial"/>
                <w:sz w:val="13"/>
                <w:szCs w:val="13"/>
                <w:b w:val="1"/>
                <w:bCs w:val="1"/>
                <w:color w:val="auto"/>
              </w:rPr>
              <w:t>Restructuring and</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6"/>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rPr>
              <w:t>Early Bond</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Borders>
              <w:right w:val="single" w:sz="8" w:color="auto"/>
            </w:tcBorders>
            <w:gridSpan w:val="2"/>
            <w:vMerge w:val="restart"/>
          </w:tcPr>
          <w:p>
            <w:pPr>
              <w:ind w:left="80"/>
              <w:spacing w:after="0"/>
              <w:rPr>
                <w:sz w:val="20"/>
                <w:szCs w:val="20"/>
                <w:color w:val="auto"/>
              </w:rPr>
            </w:pPr>
            <w:r>
              <w:rPr>
                <w:rFonts w:ascii="Arial" w:cs="Arial" w:eastAsia="Arial" w:hAnsi="Arial"/>
                <w:sz w:val="13"/>
                <w:szCs w:val="13"/>
                <w:b w:val="1"/>
                <w:bCs w:val="1"/>
                <w:color w:val="auto"/>
              </w:rPr>
              <w:t>Non-GAAP</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auto"/>
            </w:tcBorders>
            <w:gridSpan w:val="4"/>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w w:val="99"/>
              </w:rPr>
              <w:t>MTM (Gain) / Loss</w:t>
            </w:r>
          </w:p>
        </w:tc>
        <w:tc>
          <w:tcPr>
            <w:tcW w:w="80" w:type="dxa"/>
            <w:vAlign w:val="bottom"/>
          </w:tcPr>
          <w:p>
            <w:pPr>
              <w:spacing w:after="0"/>
              <w:rPr>
                <w:sz w:val="14"/>
                <w:szCs w:val="14"/>
                <w:color w:val="auto"/>
              </w:rPr>
            </w:pPr>
          </w:p>
        </w:tc>
        <w:tc>
          <w:tcPr>
            <w:tcW w:w="130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3"/>
                <w:szCs w:val="13"/>
                <w:b w:val="1"/>
                <w:bCs w:val="1"/>
                <w:color w:val="auto"/>
              </w:rPr>
              <w:t>Other Costs</w:t>
            </w:r>
          </w:p>
        </w:tc>
        <w:tc>
          <w:tcPr>
            <w:tcW w:w="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Operating Income</w:t>
            </w:r>
          </w:p>
        </w:tc>
        <w:tc>
          <w:tcPr>
            <w:tcW w:w="180" w:type="dxa"/>
            <w:vAlign w:val="bottom"/>
          </w:tcPr>
          <w:p>
            <w:pPr>
              <w:spacing w:after="0"/>
              <w:rPr>
                <w:sz w:val="24"/>
                <w:szCs w:val="24"/>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345.8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240" w:type="dxa"/>
            <w:vAlign w:val="bottom"/>
            <w:gridSpan w:val="4"/>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5"/>
          </w:tcPr>
          <w:p>
            <w:pPr>
              <w:jc w:val="right"/>
              <w:ind w:right="100"/>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349.0</w:t>
            </w:r>
          </w:p>
        </w:tc>
        <w:tc>
          <w:tcPr>
            <w:tcW w:w="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 w:type="dxa"/>
            <w:vAlign w:val="bottom"/>
            <w:tcBorders>
              <w:right w:val="single" w:sz="8" w:color="DBDBDB"/>
            </w:tcBorders>
          </w:tcPr>
          <w:p>
            <w:pPr>
              <w:spacing w:after="0"/>
              <w:rPr>
                <w:sz w:val="16"/>
                <w:szCs w:val="16"/>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Other Income (Expense)</w:t>
            </w:r>
          </w:p>
        </w:tc>
        <w:tc>
          <w:tcPr>
            <w:tcW w:w="1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49.9</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(39.6)</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15.0</w:t>
            </w:r>
          </w:p>
        </w:tc>
        <w:tc>
          <w:tcPr>
            <w:tcW w:w="4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25.3</w:t>
            </w:r>
          </w:p>
        </w:tc>
        <w:tc>
          <w:tcPr>
            <w:tcW w:w="40" w:type="dxa"/>
            <w:vAlign w:val="bottom"/>
            <w:tcBorders>
              <w:bottom w:val="single" w:sz="8" w:color="auto"/>
              <w:right w:val="single" w:sz="8" w:color="auto"/>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Income before Provision for Income Taxes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395.7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(39.6)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15.0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374.3</w:t>
            </w:r>
          </w:p>
        </w:tc>
        <w:tc>
          <w:tcPr>
            <w:tcW w:w="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tcBorders>
              <w:right w:val="single" w:sz="8" w:color="DBDBDB"/>
            </w:tcBorders>
          </w:tcPr>
          <w:p>
            <w:pPr>
              <w:spacing w:after="0"/>
              <w:rPr>
                <w:sz w:val="16"/>
                <w:szCs w:val="16"/>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Provision for Income Taxes</w:t>
            </w:r>
          </w:p>
        </w:tc>
        <w:tc>
          <w:tcPr>
            <w:tcW w:w="1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620" w:type="dxa"/>
            <w:vAlign w:val="bottom"/>
            <w:tcBorders>
              <w:bottom w:val="single" w:sz="8" w:color="auto"/>
            </w:tcBorders>
            <w:shd w:val="clear" w:color="auto" w:fill="DBDBDB"/>
          </w:tcPr>
          <w:p>
            <w:pPr>
              <w:spacing w:after="0"/>
              <w:rPr>
                <w:sz w:val="16"/>
                <w:szCs w:val="16"/>
                <w:color w:val="auto"/>
              </w:rPr>
            </w:pPr>
          </w:p>
        </w:tc>
        <w:tc>
          <w:tcPr>
            <w:tcW w:w="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(89.4)</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3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9.1</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(0.8)</w:t>
            </w: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(3.5)</w:t>
            </w:r>
          </w:p>
        </w:tc>
        <w:tc>
          <w:tcPr>
            <w:tcW w:w="20" w:type="dxa"/>
            <w:vAlign w:val="bottom"/>
            <w:tcBorders>
              <w:bottom w:val="single" w:sz="8" w:color="auto"/>
            </w:tcBorders>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(84.6)</w:t>
            </w:r>
          </w:p>
        </w:tc>
        <w:tc>
          <w:tcPr>
            <w:tcW w:w="40" w:type="dxa"/>
            <w:vAlign w:val="bottom"/>
            <w:tcBorders>
              <w:bottom w:val="single" w:sz="8" w:color="auto"/>
              <w:right w:val="single" w:sz="8" w:color="auto"/>
            </w:tcBorders>
            <w:shd w:val="clear" w:color="auto" w:fill="DBDBDB"/>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Borders>
              <w:bottom w:val="single" w:sz="8" w:color="DBDBDB"/>
            </w:tcBorders>
          </w:tcPr>
          <w:p>
            <w:pPr>
              <w:ind w:left="10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306.3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(30.5)</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11.5</w:t>
            </w: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4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0" w:type="dxa"/>
            <w:vAlign w:val="bottom"/>
            <w:tcBorders>
              <w:bottom w:val="single" w:sz="8" w:color="DBDBDB"/>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289.6</w:t>
            </w:r>
          </w:p>
        </w:tc>
        <w:tc>
          <w:tcPr>
            <w:tcW w:w="40" w:type="dxa"/>
            <w:vAlign w:val="bottom"/>
            <w:tcBorders>
              <w:bottom w:val="single" w:sz="8" w:color="auto"/>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Borders>
              <w:right w:val="single" w:sz="8" w:color="DBDBDB"/>
            </w:tcBorders>
          </w:tcPr>
          <w:p>
            <w:pPr>
              <w:spacing w:after="0"/>
              <w:rPr>
                <w:sz w:val="15"/>
                <w:szCs w:val="15"/>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Net Income Attributable to Noncontrolling Interest</w:t>
            </w:r>
          </w:p>
        </w:tc>
        <w:tc>
          <w:tcPr>
            <w:tcW w:w="1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620" w:type="dxa"/>
            <w:vAlign w:val="bottom"/>
            <w:tcBorders>
              <w:bottom w:val="single" w:sz="8" w:color="auto"/>
            </w:tcBorders>
            <w:shd w:val="clear" w:color="auto" w:fill="DBDBDB"/>
          </w:tcPr>
          <w:p>
            <w:pPr>
              <w:spacing w:after="0"/>
              <w:rPr>
                <w:sz w:val="15"/>
                <w:szCs w:val="15"/>
                <w:color w:val="auto"/>
              </w:rPr>
            </w:pPr>
          </w:p>
        </w:tc>
        <w:tc>
          <w:tcPr>
            <w:tcW w:w="46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80" w:type="dxa"/>
            <w:vAlign w:val="bottom"/>
            <w:shd w:val="clear" w:color="auto" w:fill="DBDBDB"/>
          </w:tcPr>
          <w:p>
            <w:pPr>
              <w:spacing w:after="0"/>
              <w:rPr>
                <w:sz w:val="15"/>
                <w:szCs w:val="15"/>
                <w:color w:val="auto"/>
              </w:rPr>
            </w:pPr>
          </w:p>
        </w:tc>
        <w:tc>
          <w:tcPr>
            <w:tcW w:w="54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gridSpan w:val="3"/>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40" w:type="dxa"/>
            <w:vAlign w:val="bottom"/>
            <w:gridSpan w:val="2"/>
            <w:shd w:val="clear" w:color="auto" w:fill="DBDBDB"/>
          </w:tcPr>
          <w:p>
            <w:pPr>
              <w:spacing w:after="0"/>
              <w:rPr>
                <w:sz w:val="15"/>
                <w:szCs w:val="15"/>
                <w:color w:val="auto"/>
              </w:rPr>
            </w:pPr>
          </w:p>
        </w:tc>
        <w:tc>
          <w:tcPr>
            <w:tcW w:w="40" w:type="dxa"/>
            <w:vAlign w:val="bottom"/>
            <w:shd w:val="clear" w:color="auto" w:fill="DBDBDB"/>
          </w:tcPr>
          <w:p>
            <w:pPr>
              <w:spacing w:after="0"/>
              <w:rPr>
                <w:sz w:val="15"/>
                <w:szCs w:val="15"/>
                <w:color w:val="auto"/>
              </w:rPr>
            </w:pPr>
          </w:p>
        </w:tc>
        <w:tc>
          <w:tcPr>
            <w:tcW w:w="20" w:type="dxa"/>
            <w:vAlign w:val="bottom"/>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spacing w:after="0"/>
              <w:rPr>
                <w:sz w:val="15"/>
                <w:szCs w:val="15"/>
                <w:color w:val="auto"/>
              </w:rPr>
            </w:pPr>
          </w:p>
        </w:tc>
        <w:tc>
          <w:tcPr>
            <w:tcW w:w="40" w:type="dxa"/>
            <w:vAlign w:val="bottom"/>
            <w:tcBorders>
              <w:bottom w:val="single" w:sz="8" w:color="auto"/>
            </w:tcBorders>
            <w:shd w:val="clear" w:color="auto" w:fill="DBDBDB"/>
          </w:tcPr>
          <w:p>
            <w:pPr>
              <w:spacing w:after="0"/>
              <w:rPr>
                <w:sz w:val="15"/>
                <w:szCs w:val="15"/>
                <w:color w:val="auto"/>
              </w:rPr>
            </w:pPr>
          </w:p>
        </w:tc>
        <w:tc>
          <w:tcPr>
            <w:tcW w:w="200" w:type="dxa"/>
            <w:vAlign w:val="bottom"/>
            <w:tcBorders>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40" w:type="dxa"/>
            <w:vAlign w:val="bottom"/>
            <w:tcBorders>
              <w:bottom w:val="single" w:sz="8" w:color="auto"/>
              <w:right w:val="single" w:sz="8" w:color="auto"/>
            </w:tcBorders>
            <w:shd w:val="clear" w:color="auto" w:fill="DBDBDB"/>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Net Income Attributable to BWXT</w:t>
            </w:r>
          </w:p>
        </w:tc>
        <w:tc>
          <w:tcPr>
            <w:tcW w:w="1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305.9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2.4</w:t>
            </w:r>
          </w:p>
        </w:tc>
        <w:tc>
          <w:tcPr>
            <w:tcW w:w="240" w:type="dxa"/>
            <w:vAlign w:val="bottom"/>
            <w:gridSpan w:val="4"/>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11.5</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289.2</w:t>
            </w:r>
          </w:p>
        </w:tc>
        <w:tc>
          <w:tcPr>
            <w:tcW w:w="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60" w:type="dxa"/>
            <w:vAlign w:val="bottom"/>
            <w:tcBorders>
              <w:bottom w:val="single" w:sz="8" w:color="DBDBDB"/>
            </w:tcBorders>
          </w:tcPr>
          <w:p>
            <w:pPr>
              <w:spacing w:after="0" w:line="20" w:lineRule="exact"/>
              <w:rPr>
                <w:sz w:val="1"/>
                <w:szCs w:val="1"/>
                <w:color w:val="auto"/>
              </w:rPr>
            </w:pPr>
          </w:p>
        </w:tc>
        <w:tc>
          <w:tcPr>
            <w:tcW w:w="1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 w:type="dxa"/>
            <w:vAlign w:val="bottom"/>
            <w:tcBorders>
              <w:right w:val="single" w:sz="8" w:color="DBDBDB"/>
            </w:tcBorders>
          </w:tcPr>
          <w:p>
            <w:pPr>
              <w:spacing w:after="0"/>
              <w:rPr>
                <w:sz w:val="14"/>
                <w:szCs w:val="14"/>
                <w:color w:val="auto"/>
              </w:rPr>
            </w:pPr>
          </w:p>
        </w:tc>
        <w:tc>
          <w:tcPr>
            <w:tcW w:w="3460" w:type="dxa"/>
            <w:vAlign w:val="bottom"/>
            <w:shd w:val="clear" w:color="auto" w:fill="DBDBDB"/>
          </w:tcPr>
          <w:p>
            <w:pPr>
              <w:ind w:left="100"/>
              <w:spacing w:after="0"/>
              <w:rPr>
                <w:sz w:val="20"/>
                <w:szCs w:val="20"/>
                <w:color w:val="auto"/>
              </w:rPr>
            </w:pPr>
            <w:r>
              <w:rPr>
                <w:rFonts w:ascii="Arial" w:cs="Arial" w:eastAsia="Arial" w:hAnsi="Arial"/>
                <w:sz w:val="13"/>
                <w:szCs w:val="13"/>
                <w:color w:val="auto"/>
              </w:rPr>
              <w:t>Diluted Shares Outstanding</w:t>
            </w:r>
          </w:p>
        </w:tc>
        <w:tc>
          <w:tcPr>
            <w:tcW w:w="1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620" w:type="dxa"/>
            <w:vAlign w:val="bottom"/>
            <w:shd w:val="clear" w:color="auto" w:fill="DBDBDB"/>
          </w:tcPr>
          <w:p>
            <w:pPr>
              <w:spacing w:after="0"/>
              <w:rPr>
                <w:sz w:val="14"/>
                <w:szCs w:val="14"/>
                <w:color w:val="auto"/>
              </w:rPr>
            </w:pPr>
          </w:p>
        </w:tc>
        <w:tc>
          <w:tcPr>
            <w:tcW w:w="46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94.5</w:t>
            </w: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0" w:type="dxa"/>
            <w:vAlign w:val="bottom"/>
            <w:tcBorders>
              <w:right w:val="single" w:sz="8" w:color="auto"/>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94.5</w:t>
            </w:r>
          </w:p>
        </w:tc>
        <w:tc>
          <w:tcPr>
            <w:tcW w:w="40" w:type="dxa"/>
            <w:vAlign w:val="bottom"/>
            <w:tcBorders>
              <w:right w:val="single" w:sz="8" w:color="auto"/>
            </w:tcBorders>
            <w:shd w:val="clear" w:color="auto" w:fill="DBDBDB"/>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460" w:type="dxa"/>
            <w:vAlign w:val="bottom"/>
          </w:tcPr>
          <w:p>
            <w:pPr>
              <w:ind w:left="100"/>
              <w:spacing w:after="0"/>
              <w:rPr>
                <w:sz w:val="20"/>
                <w:szCs w:val="20"/>
                <w:color w:val="auto"/>
              </w:rPr>
            </w:pPr>
            <w:r>
              <w:rPr>
                <w:rFonts w:ascii="Arial" w:cs="Arial" w:eastAsia="Arial" w:hAnsi="Arial"/>
                <w:sz w:val="13"/>
                <w:szCs w:val="13"/>
                <w:color w:val="auto"/>
              </w:rPr>
              <w:t>Diluted Earnings per Common Share</w:t>
            </w:r>
          </w:p>
        </w:tc>
        <w:tc>
          <w:tcPr>
            <w:tcW w:w="18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spacing w:after="0"/>
              <w:rPr>
                <w:sz w:val="20"/>
                <w:szCs w:val="20"/>
                <w:color w:val="auto"/>
              </w:rPr>
            </w:pPr>
            <w:r>
              <w:rPr>
                <w:rFonts w:ascii="Arial" w:cs="Arial" w:eastAsia="Arial" w:hAnsi="Arial"/>
                <w:sz w:val="13"/>
                <w:szCs w:val="13"/>
                <w:color w:val="auto"/>
              </w:rPr>
              <w:t>3.24</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(0.32)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ind w:left="2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0.03</w:t>
            </w:r>
          </w:p>
        </w:tc>
        <w:tc>
          <w:tcPr>
            <w:tcW w:w="240" w:type="dxa"/>
            <w:vAlign w:val="bottom"/>
            <w:gridSpan w:val="4"/>
          </w:tcPr>
          <w:p>
            <w:pPr>
              <w:ind w:lef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0.12</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3.06</w:t>
            </w:r>
          </w:p>
        </w:tc>
        <w:tc>
          <w:tcPr>
            <w:tcW w:w="40" w:type="dxa"/>
            <w:vAlign w:val="bottom"/>
            <w:tcBorders>
              <w:bottom w:val="single" w:sz="8" w:color="auto"/>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60" w:type="dxa"/>
            <w:vAlign w:val="bottom"/>
            <w:gridSpan w:val="11"/>
          </w:tcPr>
          <w:p>
            <w:pPr>
              <w:jc w:val="center"/>
              <w:ind w:right="80"/>
              <w:spacing w:after="0"/>
              <w:rPr>
                <w:sz w:val="20"/>
                <w:szCs w:val="20"/>
                <w:color w:val="auto"/>
              </w:rPr>
            </w:pPr>
            <w:r>
              <w:rPr>
                <w:rFonts w:ascii="Arial" w:cs="Arial" w:eastAsia="Arial" w:hAnsi="Arial"/>
                <w:sz w:val="13"/>
                <w:szCs w:val="13"/>
                <w:b w:val="1"/>
                <w:bCs w:val="1"/>
                <w:color w:val="auto"/>
                <w:w w:val="99"/>
              </w:rPr>
              <w:t>Year Ended December 31, 2020</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6"/>
        </w:trPr>
        <w:tc>
          <w:tcPr>
            <w:tcW w:w="10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6"/>
            <w:vMerge w:val="restart"/>
          </w:tcPr>
          <w:p>
            <w:pPr>
              <w:jc w:val="center"/>
              <w:ind w:right="120"/>
              <w:spacing w:after="0"/>
              <w:rPr>
                <w:sz w:val="20"/>
                <w:szCs w:val="20"/>
                <w:color w:val="auto"/>
              </w:rPr>
            </w:pPr>
            <w:r>
              <w:rPr>
                <w:rFonts w:ascii="Arial" w:cs="Arial" w:eastAsia="Arial" w:hAnsi="Arial"/>
                <w:sz w:val="13"/>
                <w:szCs w:val="13"/>
                <w:b w:val="1"/>
                <w:bCs w:val="1"/>
                <w:color w:val="auto"/>
              </w:rPr>
              <w:t>Pension &amp;</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gridSpan w:val="6"/>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Costs Associated</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b w:val="1"/>
                <w:bCs w:val="1"/>
                <w:color w:val="auto"/>
              </w:rPr>
              <w:t>On-time</w:t>
            </w:r>
          </w:p>
        </w:tc>
        <w:tc>
          <w:tcPr>
            <w:tcW w:w="20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3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gridSpan w:val="6"/>
            <w:vMerge w:val="continue"/>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gridSpan w:val="6"/>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with Sale of</w:t>
            </w:r>
          </w:p>
        </w:tc>
        <w:tc>
          <w:tcPr>
            <w:tcW w:w="100" w:type="dxa"/>
            <w:vAlign w:val="bottom"/>
          </w:tcPr>
          <w:p>
            <w:pPr>
              <w:spacing w:after="0"/>
              <w:rPr>
                <w:sz w:val="3"/>
                <w:szCs w:val="3"/>
                <w:color w:val="auto"/>
              </w:rPr>
            </w:pPr>
          </w:p>
        </w:tc>
        <w:tc>
          <w:tcPr>
            <w:tcW w:w="1000" w:type="dxa"/>
            <w:vAlign w:val="bottom"/>
            <w:gridSpan w:val="6"/>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Debt Issuance</w:t>
            </w: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960" w:type="dxa"/>
            <w:vAlign w:val="bottom"/>
            <w:gridSpan w:val="3"/>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Franchise Tax</w:t>
            </w:r>
          </w:p>
        </w:tc>
        <w:tc>
          <w:tcPr>
            <w:tcW w:w="200" w:type="dxa"/>
            <w:vAlign w:val="bottom"/>
            <w:tcBorders>
              <w:right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Borders>
              <w:right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10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GAAP</w:t>
            </w:r>
          </w:p>
        </w:tc>
        <w:tc>
          <w:tcPr>
            <w:tcW w:w="100" w:type="dxa"/>
            <w:vAlign w:val="bottom"/>
          </w:tcPr>
          <w:p>
            <w:pPr>
              <w:spacing w:after="0"/>
              <w:rPr>
                <w:sz w:val="10"/>
                <w:szCs w:val="10"/>
                <w:color w:val="auto"/>
              </w:rPr>
            </w:pPr>
          </w:p>
        </w:tc>
        <w:tc>
          <w:tcPr>
            <w:tcW w:w="960" w:type="dxa"/>
            <w:vAlign w:val="bottom"/>
            <w:gridSpan w:val="6"/>
          </w:tcPr>
          <w:p>
            <w:pPr>
              <w:jc w:val="center"/>
              <w:ind w:right="100"/>
              <w:spacing w:after="0" w:line="124" w:lineRule="exact"/>
              <w:rPr>
                <w:sz w:val="20"/>
                <w:szCs w:val="20"/>
                <w:color w:val="auto"/>
              </w:rPr>
            </w:pPr>
            <w:r>
              <w:rPr>
                <w:rFonts w:ascii="Arial" w:cs="Arial" w:eastAsia="Arial" w:hAnsi="Arial"/>
                <w:sz w:val="13"/>
                <w:szCs w:val="13"/>
                <w:b w:val="1"/>
                <w:bCs w:val="1"/>
                <w:color w:val="auto"/>
                <w:w w:val="99"/>
              </w:rPr>
              <w:t>OPEB MTM</w:t>
            </w:r>
          </w:p>
        </w:tc>
        <w:tc>
          <w:tcPr>
            <w:tcW w:w="1300" w:type="dxa"/>
            <w:vAlign w:val="bottom"/>
            <w:gridSpan w:val="4"/>
            <w:vMerge w:val="restart"/>
          </w:tcPr>
          <w:p>
            <w:pPr>
              <w:jc w:val="right"/>
              <w:spacing w:after="0"/>
              <w:rPr>
                <w:sz w:val="20"/>
                <w:szCs w:val="20"/>
                <w:color w:val="auto"/>
              </w:rPr>
            </w:pPr>
            <w:r>
              <w:rPr>
                <w:rFonts w:ascii="Arial" w:cs="Arial" w:eastAsia="Arial" w:hAnsi="Arial"/>
                <w:sz w:val="13"/>
                <w:szCs w:val="13"/>
                <w:b w:val="1"/>
                <w:bCs w:val="1"/>
                <w:color w:val="auto"/>
              </w:rPr>
              <w:t>Restructuring Costs</w:t>
            </w:r>
          </w:p>
        </w:tc>
        <w:tc>
          <w:tcPr>
            <w:tcW w:w="100" w:type="dxa"/>
            <w:vAlign w:val="bottom"/>
            <w:vMerge w:val="restart"/>
          </w:tcPr>
          <w:p>
            <w:pPr>
              <w:spacing w:after="0"/>
              <w:rPr>
                <w:sz w:val="10"/>
                <w:szCs w:val="10"/>
                <w:color w:val="auto"/>
              </w:rPr>
            </w:pPr>
          </w:p>
        </w:tc>
        <w:tc>
          <w:tcPr>
            <w:tcW w:w="98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6"/>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continue"/>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135"/>
              <w:spacing w:after="0"/>
              <w:rPr>
                <w:sz w:val="20"/>
                <w:szCs w:val="20"/>
                <w:color w:val="auto"/>
              </w:rPr>
            </w:pPr>
            <w:r>
              <w:rPr>
                <w:rFonts w:ascii="Arial" w:cs="Arial" w:eastAsia="Arial" w:hAnsi="Arial"/>
                <w:sz w:val="13"/>
                <w:szCs w:val="13"/>
                <w:b w:val="1"/>
                <w:bCs w:val="1"/>
                <w:color w:val="auto"/>
              </w:rPr>
              <w:t>Non-GAAP</w:t>
            </w: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gridSpan w:val="5"/>
          </w:tcPr>
          <w:p>
            <w:pPr>
              <w:jc w:val="center"/>
              <w:spacing w:after="0"/>
              <w:rPr>
                <w:sz w:val="20"/>
                <w:szCs w:val="20"/>
                <w:color w:val="auto"/>
              </w:rPr>
            </w:pPr>
            <w:r>
              <w:rPr>
                <w:rFonts w:ascii="Arial" w:cs="Arial" w:eastAsia="Arial" w:hAnsi="Arial"/>
                <w:sz w:val="13"/>
                <w:szCs w:val="13"/>
                <w:b w:val="1"/>
                <w:bCs w:val="1"/>
                <w:color w:val="auto"/>
                <w:w w:val="98"/>
              </w:rPr>
              <w:t>(Gain) / Loss</w:t>
            </w:r>
          </w:p>
        </w:tc>
        <w:tc>
          <w:tcPr>
            <w:tcW w:w="100" w:type="dxa"/>
            <w:vAlign w:val="bottom"/>
          </w:tcPr>
          <w:p>
            <w:pPr>
              <w:spacing w:after="0"/>
              <w:rPr>
                <w:sz w:val="15"/>
                <w:szCs w:val="15"/>
                <w:color w:val="auto"/>
              </w:rPr>
            </w:pPr>
          </w:p>
        </w:tc>
        <w:tc>
          <w:tcPr>
            <w:tcW w:w="1300" w:type="dxa"/>
            <w:vAlign w:val="bottom"/>
            <w:tcBorders>
              <w:bottom w:val="single" w:sz="8" w:color="auto"/>
            </w:tcBorders>
            <w:gridSpan w:val="4"/>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98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Business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3"/>
                <w:szCs w:val="13"/>
                <w:b w:val="1"/>
                <w:bCs w:val="1"/>
                <w:color w:val="auto"/>
              </w:rPr>
              <w:t>Costs</w:t>
            </w:r>
          </w:p>
        </w:tc>
        <w:tc>
          <w:tcPr>
            <w:tcW w:w="100" w:type="dxa"/>
            <w:vAlign w:val="bottom"/>
            <w:gridSpan w:val="4"/>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Audit Expense</w:t>
            </w:r>
          </w:p>
        </w:tc>
        <w:tc>
          <w:tcPr>
            <w:tcW w:w="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right w:val="single" w:sz="8" w:color="auto"/>
            </w:tcBorders>
            <w:vMerge w:val="continue"/>
          </w:tcPr>
          <w:p>
            <w:pPr>
              <w:spacing w:after="0"/>
              <w:rPr>
                <w:sz w:val="15"/>
                <w:szCs w:val="15"/>
                <w:color w:val="auto"/>
              </w:rPr>
            </w:pPr>
          </w:p>
        </w:tc>
        <w:tc>
          <w:tcPr>
            <w:tcW w:w="1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342"/>
        </w:trPr>
        <w:tc>
          <w:tcPr>
            <w:tcW w:w="100" w:type="dxa"/>
            <w:vAlign w:val="bottom"/>
          </w:tcPr>
          <w:p>
            <w:pPr>
              <w:spacing w:after="0"/>
              <w:rPr>
                <w:sz w:val="24"/>
                <w:szCs w:val="24"/>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Operating Income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358.6</w:t>
            </w:r>
          </w:p>
        </w:tc>
        <w:tc>
          <w:tcPr>
            <w:tcW w:w="460" w:type="dxa"/>
            <w:vAlign w:val="bottom"/>
            <w:gridSpan w:val="2"/>
          </w:tcPr>
          <w:p>
            <w:pPr>
              <w:jc w:val="right"/>
              <w:ind w:right="2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24"/>
                <w:szCs w:val="24"/>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320" w:type="dxa"/>
            <w:vAlign w:val="bottom"/>
            <w:gridSpan w:val="5"/>
          </w:tcPr>
          <w:p>
            <w:pPr>
              <w:jc w:val="right"/>
              <w:ind w:right="60"/>
              <w:spacing w:after="0"/>
              <w:rPr>
                <w:sz w:val="20"/>
                <w:szCs w:val="20"/>
                <w:color w:val="auto"/>
              </w:rPr>
            </w:pPr>
            <w:r>
              <w:rPr>
                <w:rFonts w:ascii="Arial" w:cs="Arial" w:eastAsia="Arial" w:hAnsi="Arial"/>
                <w:sz w:val="13"/>
                <w:szCs w:val="13"/>
                <w:color w:val="auto"/>
              </w:rPr>
              <w:t>2.9</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5"/>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5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100" w:type="dxa"/>
            <w:vAlign w:val="bottom"/>
          </w:tcPr>
          <w:p>
            <w:pPr>
              <w:jc w:val="right"/>
              <w:ind w:right="8"/>
              <w:spacing w:after="0"/>
              <w:rPr>
                <w:sz w:val="20"/>
                <w:szCs w:val="20"/>
                <w:color w:val="auto"/>
              </w:rPr>
            </w:pPr>
            <w:r>
              <w:rPr>
                <w:rFonts w:ascii="Arial" w:cs="Arial" w:eastAsia="Arial" w:hAnsi="Arial"/>
                <w:sz w:val="5"/>
                <w:szCs w:val="5"/>
                <w:color w:val="auto"/>
                <w:w w:val="70"/>
              </w:rPr>
              <w:t>$</w:t>
            </w:r>
          </w:p>
        </w:tc>
        <w:tc>
          <w:tcPr>
            <w:tcW w:w="92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366.3</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4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Other Income (Expense)</w:t>
            </w:r>
          </w:p>
        </w:tc>
        <w:tc>
          <w:tcPr>
            <w:tcW w:w="1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3.6</w:t>
            </w:r>
          </w:p>
        </w:tc>
        <w:tc>
          <w:tcPr>
            <w:tcW w:w="10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4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6.4</w:t>
            </w:r>
          </w:p>
        </w:tc>
        <w:tc>
          <w:tcPr>
            <w:tcW w:w="100" w:type="dxa"/>
            <w:vAlign w:val="bottom"/>
            <w:shd w:val="clear" w:color="auto" w:fill="DBDBDB"/>
          </w:tcPr>
          <w:p>
            <w:pPr>
              <w:spacing w:after="0"/>
              <w:rPr>
                <w:sz w:val="16"/>
                <w:szCs w:val="16"/>
                <w:color w:val="auto"/>
              </w:rPr>
            </w:pPr>
          </w:p>
        </w:tc>
        <w:tc>
          <w:tcPr>
            <w:tcW w:w="6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640" w:type="dxa"/>
            <w:vAlign w:val="bottom"/>
            <w:gridSpan w:val="2"/>
            <w:shd w:val="clear" w:color="auto" w:fill="DBDBDB"/>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820" w:type="dxa"/>
            <w:vAlign w:val="bottom"/>
            <w:gridSpan w:val="2"/>
            <w:shd w:val="clear" w:color="auto" w:fill="DBDBDB"/>
          </w:tcPr>
          <w:p>
            <w:pPr>
              <w:jc w:val="right"/>
              <w:ind w:right="100"/>
              <w:spacing w:after="0"/>
              <w:rPr>
                <w:sz w:val="20"/>
                <w:szCs w:val="20"/>
                <w:color w:val="auto"/>
              </w:rPr>
            </w:pPr>
            <w:r>
              <w:rPr>
                <w:rFonts w:ascii="Arial" w:cs="Arial" w:eastAsia="Arial" w:hAnsi="Arial"/>
                <w:sz w:val="13"/>
                <w:szCs w:val="13"/>
                <w:color w:val="auto"/>
              </w:rPr>
              <w:t>—</w:t>
            </w: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shd w:val="clear" w:color="auto" w:fill="DBDBDB"/>
          </w:tcPr>
          <w:p>
            <w:pPr>
              <w:spacing w:after="0"/>
              <w:rPr>
                <w:sz w:val="16"/>
                <w:szCs w:val="16"/>
                <w:color w:val="auto"/>
              </w:rPr>
            </w:pPr>
          </w:p>
        </w:tc>
        <w:tc>
          <w:tcPr>
            <w:tcW w:w="920" w:type="dxa"/>
            <w:vAlign w:val="bottom"/>
            <w:tcBorders>
              <w:right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10.5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Income before Provision for Income Taxes</w:t>
            </w:r>
          </w:p>
        </w:tc>
        <w:tc>
          <w:tcPr>
            <w:tcW w:w="18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362.2</w:t>
            </w:r>
          </w:p>
        </w:tc>
        <w:tc>
          <w:tcPr>
            <w:tcW w:w="100" w:type="dxa"/>
            <w:vAlign w:val="bottom"/>
          </w:tcPr>
          <w:p>
            <w:pPr>
              <w:spacing w:after="0"/>
              <w:rPr>
                <w:sz w:val="14"/>
                <w:szCs w:val="14"/>
                <w:color w:val="auto"/>
              </w:rPr>
            </w:pPr>
          </w:p>
        </w:tc>
        <w:tc>
          <w:tcPr>
            <w:tcW w:w="3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gridSpan w:val="2"/>
          </w:tcPr>
          <w:p>
            <w:pPr>
              <w:jc w:val="right"/>
              <w:spacing w:after="0"/>
              <w:rPr>
                <w:sz w:val="20"/>
                <w:szCs w:val="20"/>
                <w:color w:val="auto"/>
              </w:rPr>
            </w:pPr>
            <w:r>
              <w:rPr>
                <w:rFonts w:ascii="Arial" w:cs="Arial" w:eastAsia="Arial" w:hAnsi="Arial"/>
                <w:sz w:val="13"/>
                <w:szCs w:val="13"/>
                <w:color w:val="auto"/>
              </w:rPr>
              <w:t>6.4</w:t>
            </w: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w:t>
            </w:r>
          </w:p>
        </w:tc>
        <w:tc>
          <w:tcPr>
            <w:tcW w:w="10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320" w:type="dxa"/>
            <w:vAlign w:val="bottom"/>
            <w:tcBorders>
              <w:top w:val="single" w:sz="8" w:color="auto"/>
            </w:tcBorders>
            <w:gridSpan w:val="5"/>
          </w:tcPr>
          <w:p>
            <w:pPr>
              <w:jc w:val="right"/>
              <w:ind w:right="60"/>
              <w:spacing w:after="0"/>
              <w:rPr>
                <w:sz w:val="20"/>
                <w:szCs w:val="20"/>
                <w:color w:val="auto"/>
              </w:rPr>
            </w:pPr>
            <w:r>
              <w:rPr>
                <w:rFonts w:ascii="Arial" w:cs="Arial" w:eastAsia="Arial" w:hAnsi="Arial"/>
                <w:sz w:val="13"/>
                <w:szCs w:val="13"/>
                <w:color w:val="auto"/>
              </w:rPr>
              <w:t>2.9</w:t>
            </w: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2.6</w:t>
            </w:r>
          </w:p>
        </w:tc>
        <w:tc>
          <w:tcPr>
            <w:tcW w:w="40" w:type="dxa"/>
            <w:vAlign w:val="bottom"/>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right"/>
              <w:ind w:right="15"/>
              <w:spacing w:after="0"/>
              <w:rPr>
                <w:sz w:val="20"/>
                <w:szCs w:val="20"/>
                <w:color w:val="auto"/>
              </w:rPr>
            </w:pPr>
            <w:r>
              <w:rPr>
                <w:rFonts w:ascii="Arial" w:cs="Arial" w:eastAsia="Arial" w:hAnsi="Arial"/>
                <w:sz w:val="13"/>
                <w:szCs w:val="13"/>
                <w:color w:val="auto"/>
              </w:rPr>
              <w:t>376.8</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00" w:type="dxa"/>
            <w:vAlign w:val="bottom"/>
          </w:tcPr>
          <w:p>
            <w:pPr>
              <w:spacing w:after="0"/>
              <w:rPr>
                <w:sz w:val="16"/>
                <w:szCs w:val="16"/>
                <w:color w:val="auto"/>
              </w:rPr>
            </w:pPr>
          </w:p>
        </w:tc>
        <w:tc>
          <w:tcPr>
            <w:tcW w:w="34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Provision for Income Taxes</w:t>
            </w:r>
          </w:p>
        </w:tc>
        <w:tc>
          <w:tcPr>
            <w:tcW w:w="180" w:type="dxa"/>
            <w:vAlign w:val="bottom"/>
            <w:tcBorders>
              <w:bottom w:val="single" w:sz="8" w:color="auto"/>
            </w:tcBorders>
            <w:shd w:val="clear" w:color="auto" w:fill="DBDBDB"/>
          </w:tcPr>
          <w:p>
            <w:pPr>
              <w:spacing w:after="0"/>
              <w:rPr>
                <w:sz w:val="16"/>
                <w:szCs w:val="16"/>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(83.0)</w:t>
            </w:r>
          </w:p>
        </w:tc>
        <w:tc>
          <w:tcPr>
            <w:tcW w:w="100" w:type="dxa"/>
            <w:vAlign w:val="bottom"/>
            <w:shd w:val="clear" w:color="auto" w:fill="DBDBDB"/>
          </w:tcPr>
          <w:p>
            <w:pPr>
              <w:spacing w:after="0"/>
              <w:rPr>
                <w:sz w:val="16"/>
                <w:szCs w:val="16"/>
                <w:color w:val="auto"/>
              </w:rPr>
            </w:pPr>
          </w:p>
        </w:tc>
        <w:tc>
          <w:tcPr>
            <w:tcW w:w="36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4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(1.6)</w:t>
            </w:r>
          </w:p>
        </w:tc>
        <w:tc>
          <w:tcPr>
            <w:tcW w:w="100" w:type="dxa"/>
            <w:vAlign w:val="bottom"/>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80" w:type="dxa"/>
            <w:vAlign w:val="bottom"/>
            <w:tcBorders>
              <w:bottom w:val="single" w:sz="8" w:color="auto"/>
            </w:tcBorders>
            <w:shd w:val="clear" w:color="auto" w:fill="DBDBDB"/>
          </w:tcPr>
          <w:p>
            <w:pPr>
              <w:spacing w:after="0"/>
              <w:rPr>
                <w:sz w:val="16"/>
                <w:szCs w:val="16"/>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DBDBDB"/>
          </w:tcPr>
          <w:p>
            <w:pPr>
              <w:spacing w:after="0"/>
              <w:rPr>
                <w:sz w:val="16"/>
                <w:szCs w:val="16"/>
                <w:color w:val="auto"/>
              </w:rPr>
            </w:pPr>
          </w:p>
        </w:tc>
        <w:tc>
          <w:tcPr>
            <w:tcW w:w="660" w:type="dxa"/>
            <w:vAlign w:val="bottom"/>
            <w:tcBorders>
              <w:bottom w:val="single" w:sz="8" w:color="auto"/>
            </w:tcBorders>
            <w:shd w:val="clear" w:color="auto" w:fill="DBDBDB"/>
          </w:tcPr>
          <w:p>
            <w:pPr>
              <w:spacing w:after="0"/>
              <w:rPr>
                <w:sz w:val="16"/>
                <w:szCs w:val="16"/>
                <w:color w:val="auto"/>
              </w:rPr>
            </w:pPr>
          </w:p>
        </w:tc>
        <w:tc>
          <w:tcPr>
            <w:tcW w:w="320" w:type="dxa"/>
            <w:vAlign w:val="bottom"/>
            <w:tcBorders>
              <w:bottom w:val="single" w:sz="8" w:color="auto"/>
            </w:tcBorders>
            <w:gridSpan w:val="5"/>
            <w:shd w:val="clear" w:color="auto" w:fill="DBDBDB"/>
          </w:tcPr>
          <w:p>
            <w:pPr>
              <w:jc w:val="right"/>
              <w:ind w:right="20"/>
              <w:spacing w:after="0"/>
              <w:rPr>
                <w:sz w:val="20"/>
                <w:szCs w:val="20"/>
                <w:color w:val="auto"/>
              </w:rPr>
            </w:pPr>
            <w:r>
              <w:rPr>
                <w:rFonts w:ascii="Arial" w:cs="Arial" w:eastAsia="Arial" w:hAnsi="Arial"/>
                <w:sz w:val="13"/>
                <w:szCs w:val="13"/>
                <w:color w:val="auto"/>
              </w:rPr>
              <w:t>(0.7)</w:t>
            </w:r>
          </w:p>
        </w:tc>
        <w:tc>
          <w:tcPr>
            <w:tcW w:w="10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(0.1)</w:t>
            </w:r>
          </w:p>
        </w:tc>
        <w:tc>
          <w:tcPr>
            <w:tcW w:w="4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20" w:type="dxa"/>
            <w:vAlign w:val="bottom"/>
            <w:shd w:val="clear" w:color="auto" w:fill="DBDBDB"/>
          </w:tcPr>
          <w:p>
            <w:pPr>
              <w:spacing w:after="0"/>
              <w:rPr>
                <w:sz w:val="16"/>
                <w:szCs w:val="16"/>
                <w:color w:val="auto"/>
              </w:rPr>
            </w:pPr>
          </w:p>
        </w:tc>
        <w:tc>
          <w:tcPr>
            <w:tcW w:w="40" w:type="dxa"/>
            <w:vAlign w:val="bottom"/>
            <w:tcBorders>
              <w:bottom w:val="single" w:sz="8" w:color="auto"/>
            </w:tcBorders>
            <w:shd w:val="clear" w:color="auto" w:fill="DBDBDB"/>
          </w:tcPr>
          <w:p>
            <w:pPr>
              <w:spacing w:after="0"/>
              <w:rPr>
                <w:sz w:val="16"/>
                <w:szCs w:val="16"/>
                <w:color w:val="auto"/>
              </w:rPr>
            </w:pPr>
          </w:p>
        </w:tc>
        <w:tc>
          <w:tcPr>
            <w:tcW w:w="20" w:type="dxa"/>
            <w:vAlign w:val="bottom"/>
            <w:tcBorders>
              <w:bottom w:val="single" w:sz="8" w:color="auto"/>
            </w:tcBorders>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(0.6)</w:t>
            </w:r>
          </w:p>
        </w:tc>
        <w:tc>
          <w:tcPr>
            <w:tcW w:w="40" w:type="dxa"/>
            <w:vAlign w:val="bottom"/>
            <w:shd w:val="clear" w:color="auto" w:fill="DBDBDB"/>
          </w:tcPr>
          <w:p>
            <w:pPr>
              <w:spacing w:after="0"/>
              <w:rPr>
                <w:sz w:val="16"/>
                <w:szCs w:val="16"/>
                <w:color w:val="auto"/>
              </w:rPr>
            </w:pPr>
          </w:p>
        </w:tc>
        <w:tc>
          <w:tcPr>
            <w:tcW w:w="200" w:type="dxa"/>
            <w:vAlign w:val="bottom"/>
            <w:tcBorders>
              <w:right w:val="single" w:sz="8" w:color="auto"/>
            </w:tcBorders>
            <w:shd w:val="clear" w:color="auto" w:fill="DBDBDB"/>
          </w:tcPr>
          <w:p>
            <w:pPr>
              <w:spacing w:after="0"/>
              <w:rPr>
                <w:sz w:val="16"/>
                <w:szCs w:val="16"/>
                <w:color w:val="auto"/>
              </w:rPr>
            </w:pPr>
          </w:p>
        </w:tc>
        <w:tc>
          <w:tcPr>
            <w:tcW w:w="100" w:type="dxa"/>
            <w:vAlign w:val="bottom"/>
            <w:tcBorders>
              <w:bottom w:val="single" w:sz="8" w:color="auto"/>
            </w:tcBorders>
            <w:shd w:val="clear" w:color="auto" w:fill="DBDBDB"/>
          </w:tcPr>
          <w:p>
            <w:pPr>
              <w:spacing w:after="0"/>
              <w:rPr>
                <w:sz w:val="16"/>
                <w:szCs w:val="16"/>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(86.5)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3460" w:type="dxa"/>
            <w:vAlign w:val="bottom"/>
            <w:tcBorders>
              <w:bottom w:val="single" w:sz="8" w:color="DBDBDB"/>
            </w:tcBorders>
          </w:tcPr>
          <w:p>
            <w:pPr>
              <w:ind w:left="140"/>
              <w:spacing w:after="0"/>
              <w:rPr>
                <w:sz w:val="20"/>
                <w:szCs w:val="20"/>
                <w:color w:val="auto"/>
              </w:rPr>
            </w:pPr>
            <w:r>
              <w:rPr>
                <w:rFonts w:ascii="Arial" w:cs="Arial" w:eastAsia="Arial" w:hAnsi="Arial"/>
                <w:sz w:val="13"/>
                <w:szCs w:val="13"/>
                <w:color w:val="auto"/>
              </w:rPr>
              <w:t>Net Income</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279.2</w:t>
            </w:r>
          </w:p>
        </w:tc>
        <w:tc>
          <w:tcPr>
            <w:tcW w:w="100" w:type="dxa"/>
            <w:vAlign w:val="bottom"/>
            <w:tcBorders>
              <w:bottom w:val="single" w:sz="8" w:color="DBDBDB"/>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color w:val="auto"/>
              </w:rPr>
              <w:t>4.8</w:t>
            </w:r>
          </w:p>
        </w:tc>
        <w:tc>
          <w:tcPr>
            <w:tcW w:w="100" w:type="dxa"/>
            <w:vAlign w:val="bottom"/>
            <w:tcBorders>
              <w:bottom w:val="single" w:sz="8" w:color="DBDBDB"/>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w:t>
            </w:r>
          </w:p>
        </w:tc>
        <w:tc>
          <w:tcPr>
            <w:tcW w:w="100" w:type="dxa"/>
            <w:vAlign w:val="bottom"/>
            <w:tcBorders>
              <w:bottom w:val="single" w:sz="8" w:color="DBDBDB"/>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3"/>
                <w:szCs w:val="13"/>
                <w:color w:val="auto"/>
              </w:rPr>
              <w:t>2.2</w:t>
            </w:r>
          </w:p>
        </w:tc>
        <w:tc>
          <w:tcPr>
            <w:tcW w:w="100" w:type="dxa"/>
            <w:vAlign w:val="bottom"/>
            <w:tcBorders>
              <w:bottom w:val="single" w:sz="8" w:color="DBDBDB"/>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0.4</w:t>
            </w:r>
          </w:p>
        </w:tc>
        <w:tc>
          <w:tcPr>
            <w:tcW w:w="4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20" w:type="dxa"/>
            <w:vAlign w:val="bottom"/>
            <w:tcBorders>
              <w:bottom w:val="single" w:sz="8" w:color="DBDBDB"/>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w:t>
            </w:r>
          </w:p>
        </w:tc>
        <w:tc>
          <w:tcPr>
            <w:tcW w:w="40" w:type="dxa"/>
            <w:vAlign w:val="bottom"/>
            <w:tcBorders>
              <w:bottom w:val="single" w:sz="8" w:color="DBDBDB"/>
            </w:tcBorders>
          </w:tcPr>
          <w:p>
            <w:pPr>
              <w:spacing w:after="0"/>
              <w:rPr>
                <w:sz w:val="14"/>
                <w:szCs w:val="14"/>
                <w:color w:val="auto"/>
              </w:rPr>
            </w:pPr>
          </w:p>
        </w:tc>
        <w:tc>
          <w:tcPr>
            <w:tcW w:w="200" w:type="dxa"/>
            <w:vAlign w:val="bottom"/>
            <w:tcBorders>
              <w:bottom w:val="single" w:sz="8" w:color="DBDBDB"/>
              <w:right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3"/>
                <w:szCs w:val="13"/>
                <w:color w:val="auto"/>
              </w:rPr>
              <w:t>290.3</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00" w:type="dxa"/>
            <w:vAlign w:val="bottom"/>
          </w:tcPr>
          <w:p>
            <w:pPr>
              <w:spacing w:after="0"/>
              <w:rPr>
                <w:sz w:val="15"/>
                <w:szCs w:val="15"/>
                <w:color w:val="auto"/>
              </w:rPr>
            </w:pPr>
          </w:p>
        </w:tc>
        <w:tc>
          <w:tcPr>
            <w:tcW w:w="34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Net Income Attributable to Noncontrolling Interest</w:t>
            </w:r>
          </w:p>
        </w:tc>
        <w:tc>
          <w:tcPr>
            <w:tcW w:w="180" w:type="dxa"/>
            <w:vAlign w:val="bottom"/>
            <w:tcBorders>
              <w:bottom w:val="single" w:sz="8" w:color="auto"/>
            </w:tcBorders>
            <w:shd w:val="clear" w:color="auto" w:fill="DBDBDB"/>
          </w:tcPr>
          <w:p>
            <w:pPr>
              <w:spacing w:after="0"/>
              <w:rPr>
                <w:sz w:val="15"/>
                <w:szCs w:val="15"/>
                <w:color w:val="auto"/>
              </w:rPr>
            </w:pPr>
          </w:p>
        </w:tc>
        <w:tc>
          <w:tcPr>
            <w:tcW w:w="64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DBDBDB"/>
          </w:tcPr>
          <w:p>
            <w:pPr>
              <w:spacing w:after="0"/>
              <w:rPr>
                <w:sz w:val="15"/>
                <w:szCs w:val="15"/>
                <w:color w:val="auto"/>
              </w:rPr>
            </w:pPr>
          </w:p>
        </w:tc>
        <w:tc>
          <w:tcPr>
            <w:tcW w:w="36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66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8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20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3"/>
                <w:szCs w:val="13"/>
                <w:color w:val="auto"/>
              </w:rPr>
              <w:t>—</w:t>
            </w:r>
          </w:p>
        </w:tc>
        <w:tc>
          <w:tcPr>
            <w:tcW w:w="10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100" w:type="dxa"/>
            <w:vAlign w:val="bottom"/>
            <w:gridSpan w:val="4"/>
            <w:shd w:val="clear" w:color="auto" w:fill="DBDBDB"/>
          </w:tcPr>
          <w:p>
            <w:pPr>
              <w:spacing w:after="0"/>
              <w:rPr>
                <w:sz w:val="15"/>
                <w:szCs w:val="15"/>
                <w:color w:val="auto"/>
              </w:rPr>
            </w:pPr>
          </w:p>
        </w:tc>
        <w:tc>
          <w:tcPr>
            <w:tcW w:w="40" w:type="dxa"/>
            <w:vAlign w:val="bottom"/>
            <w:tcBorders>
              <w:bottom w:val="single" w:sz="8" w:color="auto"/>
            </w:tcBorders>
            <w:shd w:val="clear" w:color="auto" w:fill="DBDBDB"/>
          </w:tcPr>
          <w:p>
            <w:pPr>
              <w:spacing w:after="0"/>
              <w:rPr>
                <w:sz w:val="15"/>
                <w:szCs w:val="15"/>
                <w:color w:val="auto"/>
              </w:rPr>
            </w:pPr>
          </w:p>
        </w:tc>
        <w:tc>
          <w:tcPr>
            <w:tcW w:w="20" w:type="dxa"/>
            <w:vAlign w:val="bottom"/>
            <w:tcBorders>
              <w:bottom w:val="single" w:sz="8" w:color="auto"/>
            </w:tcBorders>
            <w:shd w:val="clear" w:color="auto" w:fill="DBDBDB"/>
          </w:tcPr>
          <w:p>
            <w:pPr>
              <w:spacing w:after="0"/>
              <w:rPr>
                <w:sz w:val="15"/>
                <w:szCs w:val="15"/>
                <w:color w:val="auto"/>
              </w:rPr>
            </w:pPr>
          </w:p>
        </w:tc>
        <w:tc>
          <w:tcPr>
            <w:tcW w:w="14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40" w:type="dxa"/>
            <w:vAlign w:val="bottom"/>
            <w:shd w:val="clear" w:color="auto" w:fill="DBDBDB"/>
          </w:tcPr>
          <w:p>
            <w:pPr>
              <w:spacing w:after="0"/>
              <w:rPr>
                <w:sz w:val="15"/>
                <w:szCs w:val="15"/>
                <w:color w:val="auto"/>
              </w:rPr>
            </w:pPr>
          </w:p>
        </w:tc>
        <w:tc>
          <w:tcPr>
            <w:tcW w:w="200" w:type="dxa"/>
            <w:vAlign w:val="bottom"/>
            <w:tcBorders>
              <w:right w:val="single" w:sz="8" w:color="auto"/>
            </w:tcBorders>
            <w:shd w:val="clear" w:color="auto" w:fill="DBDBDB"/>
          </w:tcPr>
          <w:p>
            <w:pPr>
              <w:spacing w:after="0"/>
              <w:rPr>
                <w:sz w:val="15"/>
                <w:szCs w:val="15"/>
                <w:color w:val="auto"/>
              </w:rPr>
            </w:pPr>
          </w:p>
        </w:tc>
        <w:tc>
          <w:tcPr>
            <w:tcW w:w="10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right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(0.5)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0" w:type="dxa"/>
            <w:vAlign w:val="bottom"/>
          </w:tcPr>
          <w:p>
            <w:pPr>
              <w:spacing w:after="0"/>
              <w:rPr>
                <w:sz w:val="15"/>
                <w:szCs w:val="15"/>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Net Income Attributable to BWXT</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278.7</w:t>
            </w:r>
          </w:p>
        </w:tc>
        <w:tc>
          <w:tcPr>
            <w:tcW w:w="460" w:type="dxa"/>
            <w:vAlign w:val="bottom"/>
            <w:gridSpan w:val="2"/>
          </w:tcPr>
          <w:p>
            <w:pPr>
              <w:jc w:val="right"/>
              <w:ind w:right="2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4.8</w:t>
            </w:r>
          </w:p>
        </w:tc>
        <w:tc>
          <w:tcPr>
            <w:tcW w:w="100" w:type="dxa"/>
            <w:vAlign w:val="bottom"/>
          </w:tcPr>
          <w:p>
            <w:pPr>
              <w:spacing w:after="0"/>
              <w:rPr>
                <w:sz w:val="15"/>
                <w:szCs w:val="15"/>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1.7</w:t>
            </w:r>
          </w:p>
        </w:tc>
        <w:tc>
          <w:tcPr>
            <w:tcW w:w="100" w:type="dxa"/>
            <w:vAlign w:val="bottom"/>
          </w:tcPr>
          <w:p>
            <w:pPr>
              <w:spacing w:after="0"/>
              <w:rPr>
                <w:sz w:val="15"/>
                <w:szCs w:val="15"/>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320" w:type="dxa"/>
            <w:vAlign w:val="bottom"/>
            <w:gridSpan w:val="5"/>
          </w:tcPr>
          <w:p>
            <w:pPr>
              <w:jc w:val="right"/>
              <w:ind w:right="60"/>
              <w:spacing w:after="0"/>
              <w:rPr>
                <w:sz w:val="20"/>
                <w:szCs w:val="20"/>
                <w:color w:val="auto"/>
              </w:rPr>
            </w:pPr>
            <w:r>
              <w:rPr>
                <w:rFonts w:ascii="Arial" w:cs="Arial" w:eastAsia="Arial" w:hAnsi="Arial"/>
                <w:sz w:val="13"/>
                <w:szCs w:val="13"/>
                <w:color w:val="auto"/>
              </w:rPr>
              <w:t>2.2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gridSpan w:val="3"/>
          </w:tcPr>
          <w:p>
            <w:pPr>
              <w:jc w:val="right"/>
              <w:ind w:right="5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2.0</w:t>
            </w:r>
          </w:p>
        </w:tc>
        <w:tc>
          <w:tcPr>
            <w:tcW w:w="40" w:type="dxa"/>
            <w:vAlign w:val="bottom"/>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289.8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3460" w:type="dxa"/>
            <w:vAlign w:val="bottom"/>
            <w:tcBorders>
              <w:bottom w:val="single" w:sz="8" w:color="DBDBDB"/>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20" w:type="dxa"/>
            <w:vAlign w:val="bottom"/>
            <w:tcBorders>
              <w:bottom w:val="single" w:sz="8" w:color="DBDBDB"/>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DBDBDB"/>
            </w:tcBorders>
          </w:tcPr>
          <w:p>
            <w:pPr>
              <w:spacing w:after="0" w:line="20" w:lineRule="exact"/>
              <w:rPr>
                <w:sz w:val="1"/>
                <w:szCs w:val="1"/>
                <w:color w:val="auto"/>
              </w:rPr>
            </w:pPr>
          </w:p>
        </w:tc>
        <w:tc>
          <w:tcPr>
            <w:tcW w:w="200" w:type="dxa"/>
            <w:vAlign w:val="bottom"/>
            <w:tcBorders>
              <w:bottom w:val="single" w:sz="8" w:color="DBDBDB"/>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righ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100" w:type="dxa"/>
            <w:vAlign w:val="bottom"/>
          </w:tcPr>
          <w:p>
            <w:pPr>
              <w:spacing w:after="0"/>
              <w:rPr>
                <w:sz w:val="14"/>
                <w:szCs w:val="14"/>
                <w:color w:val="auto"/>
              </w:rPr>
            </w:pPr>
          </w:p>
        </w:tc>
        <w:tc>
          <w:tcPr>
            <w:tcW w:w="3460" w:type="dxa"/>
            <w:vAlign w:val="bottom"/>
            <w:shd w:val="clear" w:color="auto" w:fill="DBDBDB"/>
          </w:tcPr>
          <w:p>
            <w:pPr>
              <w:ind w:left="140"/>
              <w:spacing w:after="0"/>
              <w:rPr>
                <w:sz w:val="20"/>
                <w:szCs w:val="20"/>
                <w:color w:val="auto"/>
              </w:rPr>
            </w:pPr>
            <w:r>
              <w:rPr>
                <w:rFonts w:ascii="Arial" w:cs="Arial" w:eastAsia="Arial" w:hAnsi="Arial"/>
                <w:sz w:val="13"/>
                <w:szCs w:val="13"/>
                <w:color w:val="auto"/>
              </w:rPr>
              <w:t>Diluted Shares Outstanding</w:t>
            </w:r>
          </w:p>
        </w:tc>
        <w:tc>
          <w:tcPr>
            <w:tcW w:w="180" w:type="dxa"/>
            <w:vAlign w:val="bottom"/>
            <w:shd w:val="clear" w:color="auto" w:fill="DBDBDB"/>
          </w:tcPr>
          <w:p>
            <w:pPr>
              <w:spacing w:after="0"/>
              <w:rPr>
                <w:sz w:val="14"/>
                <w:szCs w:val="14"/>
                <w:color w:val="auto"/>
              </w:rPr>
            </w:pPr>
          </w:p>
        </w:tc>
        <w:tc>
          <w:tcPr>
            <w:tcW w:w="64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95.7</w:t>
            </w:r>
          </w:p>
        </w:tc>
        <w:tc>
          <w:tcPr>
            <w:tcW w:w="10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80" w:type="dxa"/>
            <w:vAlign w:val="bottom"/>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12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 w:type="dxa"/>
            <w:vAlign w:val="bottom"/>
            <w:shd w:val="clear" w:color="auto" w:fill="DBDBDB"/>
          </w:tcPr>
          <w:p>
            <w:pPr>
              <w:spacing w:after="0"/>
              <w:rPr>
                <w:sz w:val="14"/>
                <w:szCs w:val="14"/>
                <w:color w:val="auto"/>
              </w:rPr>
            </w:pPr>
          </w:p>
        </w:tc>
        <w:tc>
          <w:tcPr>
            <w:tcW w:w="140" w:type="dxa"/>
            <w:vAlign w:val="bottom"/>
            <w:shd w:val="clear" w:color="auto" w:fill="DBDBDB"/>
          </w:tcPr>
          <w:p>
            <w:pPr>
              <w:spacing w:after="0"/>
              <w:rPr>
                <w:sz w:val="14"/>
                <w:szCs w:val="14"/>
                <w:color w:val="auto"/>
              </w:rPr>
            </w:pPr>
          </w:p>
        </w:tc>
        <w:tc>
          <w:tcPr>
            <w:tcW w:w="780" w:type="dxa"/>
            <w:vAlign w:val="bottom"/>
            <w:shd w:val="clear" w:color="auto" w:fill="DBDBDB"/>
          </w:tcPr>
          <w:p>
            <w:pPr>
              <w:spacing w:after="0"/>
              <w:rPr>
                <w:sz w:val="14"/>
                <w:szCs w:val="14"/>
                <w:color w:val="auto"/>
              </w:rPr>
            </w:pPr>
          </w:p>
        </w:tc>
        <w:tc>
          <w:tcPr>
            <w:tcW w:w="40" w:type="dxa"/>
            <w:vAlign w:val="bottom"/>
            <w:shd w:val="clear" w:color="auto" w:fill="DBDBDB"/>
          </w:tcPr>
          <w:p>
            <w:pPr>
              <w:spacing w:after="0"/>
              <w:rPr>
                <w:sz w:val="14"/>
                <w:szCs w:val="14"/>
                <w:color w:val="auto"/>
              </w:rPr>
            </w:pPr>
          </w:p>
        </w:tc>
        <w:tc>
          <w:tcPr>
            <w:tcW w:w="200" w:type="dxa"/>
            <w:vAlign w:val="bottom"/>
            <w:tcBorders>
              <w:right w:val="single" w:sz="8" w:color="auto"/>
            </w:tcBorders>
            <w:shd w:val="clear" w:color="auto" w:fill="DBDBDB"/>
          </w:tcPr>
          <w:p>
            <w:pPr>
              <w:spacing w:after="0"/>
              <w:rPr>
                <w:sz w:val="14"/>
                <w:szCs w:val="14"/>
                <w:color w:val="auto"/>
              </w:rPr>
            </w:pPr>
          </w:p>
        </w:tc>
        <w:tc>
          <w:tcPr>
            <w:tcW w:w="100" w:type="dxa"/>
            <w:vAlign w:val="bottom"/>
            <w:shd w:val="clear" w:color="auto" w:fill="DBDBDB"/>
          </w:tcPr>
          <w:p>
            <w:pPr>
              <w:spacing w:after="0"/>
              <w:rPr>
                <w:sz w:val="14"/>
                <w:szCs w:val="14"/>
                <w:color w:val="auto"/>
              </w:rPr>
            </w:pPr>
          </w:p>
        </w:tc>
        <w:tc>
          <w:tcPr>
            <w:tcW w:w="920" w:type="dxa"/>
            <w:vAlign w:val="bottom"/>
            <w:tcBorders>
              <w:right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95.7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00" w:type="dxa"/>
            <w:vAlign w:val="bottom"/>
          </w:tcPr>
          <w:p>
            <w:pPr>
              <w:spacing w:after="0"/>
              <w:rPr>
                <w:sz w:val="16"/>
                <w:szCs w:val="16"/>
                <w:color w:val="auto"/>
              </w:rPr>
            </w:pPr>
          </w:p>
        </w:tc>
        <w:tc>
          <w:tcPr>
            <w:tcW w:w="3460" w:type="dxa"/>
            <w:vAlign w:val="bottom"/>
          </w:tcPr>
          <w:p>
            <w:pPr>
              <w:ind w:left="140"/>
              <w:spacing w:after="0"/>
              <w:rPr>
                <w:sz w:val="20"/>
                <w:szCs w:val="20"/>
                <w:color w:val="auto"/>
              </w:rPr>
            </w:pPr>
            <w:r>
              <w:rPr>
                <w:rFonts w:ascii="Arial" w:cs="Arial" w:eastAsia="Arial" w:hAnsi="Arial"/>
                <w:sz w:val="13"/>
                <w:szCs w:val="13"/>
                <w:color w:val="auto"/>
              </w:rPr>
              <w:t>Diluted Earnings per Common Share</w:t>
            </w:r>
          </w:p>
        </w:tc>
        <w:tc>
          <w:tcPr>
            <w:tcW w:w="180" w:type="dxa"/>
            <w:vAlign w:val="bottom"/>
          </w:tcPr>
          <w:p>
            <w:pPr>
              <w:jc w:val="right"/>
              <w:ind w:right="35"/>
              <w:spacing w:after="0"/>
              <w:rPr>
                <w:sz w:val="20"/>
                <w:szCs w:val="20"/>
                <w:color w:val="auto"/>
              </w:rPr>
            </w:pPr>
            <w:r>
              <w:rPr>
                <w:rFonts w:ascii="Arial" w:cs="Arial" w:eastAsia="Arial" w:hAnsi="Arial"/>
                <w:sz w:val="13"/>
                <w:szCs w:val="13"/>
                <w:color w:val="auto"/>
                <w:w w:val="82"/>
              </w:rPr>
              <w:t>$</w:t>
            </w:r>
          </w:p>
        </w:tc>
        <w:tc>
          <w:tcPr>
            <w:tcW w:w="640" w:type="dxa"/>
            <w:vAlign w:val="bottom"/>
            <w:gridSpan w:val="2"/>
          </w:tcPr>
          <w:p>
            <w:pPr>
              <w:jc w:val="right"/>
              <w:spacing w:after="0"/>
              <w:rPr>
                <w:sz w:val="20"/>
                <w:szCs w:val="20"/>
                <w:color w:val="auto"/>
              </w:rPr>
            </w:pPr>
            <w:r>
              <w:rPr>
                <w:rFonts w:ascii="Arial" w:cs="Arial" w:eastAsia="Arial" w:hAnsi="Arial"/>
                <w:sz w:val="13"/>
                <w:szCs w:val="13"/>
                <w:color w:val="auto"/>
              </w:rPr>
              <w:t>2.91</w:t>
            </w:r>
          </w:p>
        </w:tc>
        <w:tc>
          <w:tcPr>
            <w:tcW w:w="460" w:type="dxa"/>
            <w:vAlign w:val="bottom"/>
            <w:gridSpan w:val="2"/>
          </w:tcPr>
          <w:p>
            <w:pPr>
              <w:jc w:val="right"/>
              <w:ind w:right="21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0.05</w:t>
            </w:r>
          </w:p>
        </w:tc>
        <w:tc>
          <w:tcPr>
            <w:tcW w:w="100" w:type="dxa"/>
            <w:vAlign w:val="bottom"/>
          </w:tcPr>
          <w:p>
            <w:pPr>
              <w:spacing w:after="0"/>
              <w:rPr>
                <w:sz w:val="16"/>
                <w:szCs w:val="16"/>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0.02</w:t>
            </w:r>
          </w:p>
        </w:tc>
        <w:tc>
          <w:tcPr>
            <w:tcW w:w="100" w:type="dxa"/>
            <w:vAlign w:val="bottom"/>
          </w:tcPr>
          <w:p>
            <w:pPr>
              <w:spacing w:after="0"/>
              <w:rPr>
                <w:sz w:val="16"/>
                <w:szCs w:val="16"/>
                <w:color w:val="auto"/>
              </w:rPr>
            </w:pPr>
          </w:p>
        </w:tc>
        <w:tc>
          <w:tcPr>
            <w:tcW w:w="660" w:type="dxa"/>
            <w:vAlign w:val="bottom"/>
          </w:tcPr>
          <w:p>
            <w:pPr>
              <w:jc w:val="right"/>
              <w:ind w:right="515"/>
              <w:spacing w:after="0"/>
              <w:rPr>
                <w:sz w:val="20"/>
                <w:szCs w:val="20"/>
                <w:color w:val="auto"/>
              </w:rPr>
            </w:pPr>
            <w:r>
              <w:rPr>
                <w:rFonts w:ascii="Arial" w:cs="Arial" w:eastAsia="Arial" w:hAnsi="Arial"/>
                <w:sz w:val="13"/>
                <w:szCs w:val="13"/>
                <w:color w:val="auto"/>
                <w:w w:val="82"/>
              </w:rPr>
              <w:t>$</w:t>
            </w:r>
          </w:p>
        </w:tc>
        <w:tc>
          <w:tcPr>
            <w:tcW w:w="320" w:type="dxa"/>
            <w:vAlign w:val="bottom"/>
            <w:gridSpan w:val="5"/>
          </w:tcPr>
          <w:p>
            <w:pPr>
              <w:jc w:val="right"/>
              <w:ind w:right="60"/>
              <w:spacing w:after="0"/>
              <w:rPr>
                <w:sz w:val="20"/>
                <w:szCs w:val="20"/>
                <w:color w:val="auto"/>
              </w:rPr>
            </w:pPr>
            <w:r>
              <w:rPr>
                <w:rFonts w:ascii="Arial" w:cs="Arial" w:eastAsia="Arial" w:hAnsi="Arial"/>
                <w:sz w:val="13"/>
                <w:szCs w:val="13"/>
                <w:color w:val="auto"/>
                <w:w w:val="94"/>
              </w:rPr>
              <w:t>0.02</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5"/>
          </w:tcPr>
          <w:p>
            <w:pPr>
              <w:jc w:val="right"/>
              <w:ind w:right="160"/>
              <w:spacing w:after="0"/>
              <w:rPr>
                <w:sz w:val="20"/>
                <w:szCs w:val="20"/>
                <w:color w:val="auto"/>
              </w:rPr>
            </w:pPr>
            <w:r>
              <w:rPr>
                <w:rFonts w:ascii="Arial" w:cs="Arial" w:eastAsia="Arial" w:hAnsi="Arial"/>
                <w:sz w:val="13"/>
                <w:szCs w:val="13"/>
                <w:color w:val="auto"/>
              </w:rPr>
              <w:t>—</w:t>
            </w:r>
          </w:p>
        </w:tc>
        <w:tc>
          <w:tcPr>
            <w:tcW w:w="200" w:type="dxa"/>
            <w:vAlign w:val="bottom"/>
            <w:gridSpan w:val="3"/>
          </w:tcPr>
          <w:p>
            <w:pPr>
              <w:jc w:val="right"/>
              <w:ind w:right="55"/>
              <w:spacing w:after="0"/>
              <w:rPr>
                <w:sz w:val="20"/>
                <w:szCs w:val="20"/>
                <w:color w:val="auto"/>
              </w:rPr>
            </w:pPr>
            <w:r>
              <w:rPr>
                <w:rFonts w:ascii="Arial" w:cs="Arial" w:eastAsia="Arial" w:hAnsi="Arial"/>
                <w:sz w:val="13"/>
                <w:szCs w:val="13"/>
                <w:color w:val="auto"/>
                <w:w w:val="82"/>
              </w:rPr>
              <w:t>$</w:t>
            </w:r>
          </w:p>
        </w:tc>
        <w:tc>
          <w:tcPr>
            <w:tcW w:w="780" w:type="dxa"/>
            <w:vAlign w:val="bottom"/>
          </w:tcPr>
          <w:p>
            <w:pPr>
              <w:jc w:val="right"/>
              <w:spacing w:after="0"/>
              <w:rPr>
                <w:sz w:val="20"/>
                <w:szCs w:val="20"/>
                <w:color w:val="auto"/>
              </w:rPr>
            </w:pPr>
            <w:r>
              <w:rPr>
                <w:rFonts w:ascii="Arial" w:cs="Arial" w:eastAsia="Arial" w:hAnsi="Arial"/>
                <w:sz w:val="13"/>
                <w:szCs w:val="13"/>
                <w:color w:val="auto"/>
              </w:rPr>
              <w:t>0.02</w:t>
            </w:r>
          </w:p>
        </w:tc>
        <w:tc>
          <w:tcPr>
            <w:tcW w:w="4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Borders>
              <w:bottom w:val="single" w:sz="8" w:color="auto"/>
            </w:tcBorders>
          </w:tcPr>
          <w:p>
            <w:pPr>
              <w:jc w:val="right"/>
              <w:ind w:right="8"/>
              <w:spacing w:after="0"/>
              <w:rPr>
                <w:sz w:val="20"/>
                <w:szCs w:val="20"/>
                <w:color w:val="auto"/>
              </w:rPr>
            </w:pPr>
            <w:r>
              <w:rPr>
                <w:rFonts w:ascii="Arial" w:cs="Arial" w:eastAsia="Arial" w:hAnsi="Arial"/>
                <w:sz w:val="5"/>
                <w:szCs w:val="5"/>
                <w:color w:val="auto"/>
                <w:w w:val="70"/>
              </w:rPr>
              <w:t>$</w:t>
            </w:r>
          </w:p>
        </w:tc>
        <w:tc>
          <w:tcPr>
            <w:tcW w:w="920" w:type="dxa"/>
            <w:vAlign w:val="bottom"/>
            <w:tcBorders>
              <w:bottom w:val="single" w:sz="8" w:color="auto"/>
              <w:right w:val="single" w:sz="8" w:color="auto"/>
            </w:tcBorders>
          </w:tcPr>
          <w:p>
            <w:pPr>
              <w:jc w:val="right"/>
              <w:ind w:right="15"/>
              <w:spacing w:after="0"/>
              <w:rPr>
                <w:sz w:val="20"/>
                <w:szCs w:val="20"/>
                <w:color w:val="auto"/>
              </w:rPr>
            </w:pPr>
            <w:r>
              <w:rPr>
                <w:rFonts w:ascii="Arial" w:cs="Arial" w:eastAsia="Arial" w:hAnsi="Arial"/>
                <w:sz w:val="13"/>
                <w:szCs w:val="13"/>
                <w:color w:val="auto"/>
              </w:rPr>
              <w:t>3.03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4" w:lineRule="exact"/>
        <w:rPr>
          <w:sz w:val="20"/>
          <w:szCs w:val="20"/>
          <w:color w:val="auto"/>
        </w:rPr>
      </w:pPr>
    </w:p>
    <w:p>
      <w:pPr>
        <w:ind w:left="380" w:hanging="348"/>
        <w:spacing w:after="0"/>
        <w:tabs>
          <w:tab w:leader="none" w:pos="3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May not foot due to rounding.</w:t>
      </w:r>
    </w:p>
    <w:p>
      <w:pPr>
        <w:spacing w:after="0" w:line="33" w:lineRule="exact"/>
        <w:rPr>
          <w:rFonts w:ascii="Arial" w:cs="Arial" w:eastAsia="Arial" w:hAnsi="Arial"/>
          <w:sz w:val="13"/>
          <w:szCs w:val="13"/>
          <w:color w:val="auto"/>
        </w:rPr>
      </w:pPr>
    </w:p>
    <w:p>
      <w:pPr>
        <w:ind w:left="380" w:right="40" w:hanging="348"/>
        <w:spacing w:after="0" w:line="228" w:lineRule="auto"/>
        <w:tabs>
          <w:tab w:leader="none" w:pos="380" w:val="left"/>
        </w:tabs>
        <w:numPr>
          <w:ilvl w:val="0"/>
          <w:numId w:val="91"/>
        </w:numPr>
        <w:rPr>
          <w:rFonts w:ascii="Arial" w:cs="Arial" w:eastAsia="Arial" w:hAnsi="Arial"/>
          <w:sz w:val="13"/>
          <w:szCs w:val="13"/>
          <w:color w:val="auto"/>
        </w:rPr>
      </w:pPr>
      <w:r>
        <w:rPr>
          <w:rFonts w:ascii="Arial" w:cs="Arial" w:eastAsia="Arial" w:hAnsi="Arial"/>
          <w:sz w:val="13"/>
          <w:szCs w:val="13"/>
          <w:color w:val="auto"/>
        </w:rPr>
        <w:t>BWXT is providing non-GAAP information regarding certain of its historical results to supplement the results provided in accordance with GAAP and it should not be considered superior to, or as a substitute for, the comparable GAAP measures. BWXT believes the non-GAAP measures provide meaningful insight into the Company’s operational performance and provides these measures to investors to help facilitate comparisons of operating results with prior periods and to assist them in understanding BWXT’s ongoing operations.</w:t>
      </w:r>
    </w:p>
    <w:p>
      <w:pPr>
        <w:spacing w:after="0" w:line="200" w:lineRule="exact"/>
        <w:rPr>
          <w:sz w:val="20"/>
          <w:szCs w:val="20"/>
          <w:color w:val="auto"/>
        </w:rPr>
      </w:pPr>
    </w:p>
    <w:p>
      <w:pPr>
        <w:spacing w:after="0" w:line="234" w:lineRule="exact"/>
        <w:rPr>
          <w:sz w:val="20"/>
          <w:szCs w:val="20"/>
          <w:color w:val="auto"/>
        </w:rPr>
      </w:pPr>
    </w:p>
    <w:p>
      <w:pPr>
        <w:ind w:left="8300"/>
        <w:spacing w:after="0"/>
        <w:rPr>
          <w:sz w:val="20"/>
          <w:szCs w:val="20"/>
          <w:color w:val="auto"/>
        </w:rPr>
      </w:pPr>
      <w:r>
        <w:rPr>
          <w:sz w:val="1"/>
          <w:szCs w:val="1"/>
          <w:color w:val="auto"/>
        </w:rPr>
        <w:drawing>
          <wp:inline distT="0" distB="0" distL="0" distR="0">
            <wp:extent cx="401955" cy="162560"/>
            <wp:effectExtent l="0" t="0" r="0" b="0"/>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5"/>
          <w:szCs w:val="15"/>
          <w:color w:val="auto"/>
        </w:rPr>
        <w:t xml:space="preserve"> 2023 PROXY STATEMENT </w:t>
      </w:r>
      <w:r>
        <w:rPr>
          <w:rFonts w:ascii="Arial" w:cs="Arial" w:eastAsia="Arial" w:hAnsi="Arial"/>
          <w:sz w:val="15"/>
          <w:szCs w:val="15"/>
          <w:b w:val="1"/>
          <w:bCs w:val="1"/>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83185</wp:posOffset>
            </wp:positionV>
            <wp:extent cx="7171055" cy="406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72" w:name="page73"/>
    <w:bookmarkEnd w:id="72"/>
    <w:p>
      <w:pPr>
        <w:ind w:left="580"/>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56" w:lineRule="exact"/>
        <w:rPr>
          <w:sz w:val="20"/>
          <w:szCs w:val="20"/>
          <w:color w:val="auto"/>
        </w:rPr>
      </w:pPr>
    </w:p>
    <w:p>
      <w:pPr>
        <w:ind w:left="880"/>
        <w:spacing w:after="0"/>
        <w:rPr>
          <w:sz w:val="20"/>
          <w:szCs w:val="20"/>
          <w:color w:val="auto"/>
        </w:rPr>
      </w:pPr>
      <w:r>
        <w:rPr>
          <w:rFonts w:ascii="Arial" w:cs="Arial" w:eastAsia="Arial" w:hAnsi="Arial"/>
          <w:sz w:val="13"/>
          <w:szCs w:val="13"/>
          <w:color w:val="auto"/>
        </w:rPr>
        <w:t>APPENDIX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7145655" cy="76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5655" cy="7620"/>
                    </a:xfrm>
                    <a:prstGeom prst="rect">
                      <a:avLst/>
                    </a:prstGeom>
                    <a:noFill/>
                  </pic:spPr>
                </pic:pic>
              </a:graphicData>
            </a:graphic>
          </wp:anchor>
        </w:drawing>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REPORTED (GAAP) NET INCOME AND ADJUSTED EBITDA</w:t>
      </w:r>
      <w:r>
        <w:rPr>
          <w:rFonts w:ascii="Arial" w:cs="Arial" w:eastAsia="Arial" w:hAnsi="Arial"/>
          <w:sz w:val="21"/>
          <w:szCs w:val="21"/>
          <w:b w:val="1"/>
          <w:bCs w:val="1"/>
          <w:color w:val="auto"/>
          <w:vertAlign w:val="superscript"/>
        </w:rPr>
        <w:t>(1)(2)</w:t>
      </w:r>
    </w:p>
    <w:p>
      <w:pPr>
        <w:jc w:val="center"/>
        <w:ind w:right="-19"/>
        <w:spacing w:after="0"/>
        <w:rPr>
          <w:sz w:val="20"/>
          <w:szCs w:val="20"/>
          <w:color w:val="auto"/>
        </w:rPr>
      </w:pPr>
      <w:r>
        <w:rPr>
          <w:rFonts w:ascii="Arial" w:cs="Arial" w:eastAsia="Arial" w:hAnsi="Arial"/>
          <w:sz w:val="13"/>
          <w:szCs w:val="13"/>
          <w:b w:val="1"/>
          <w:bCs w:val="1"/>
          <w:color w:val="auto"/>
        </w:rPr>
        <w:t>(In millions, except per share amounts)</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80" w:type="dxa"/>
            <w:vAlign w:val="bottom"/>
            <w:gridSpan w:val="9"/>
          </w:tcPr>
          <w:p>
            <w:pPr>
              <w:spacing w:after="0"/>
              <w:rPr>
                <w:sz w:val="20"/>
                <w:szCs w:val="20"/>
                <w:color w:val="auto"/>
              </w:rPr>
            </w:pPr>
            <w:r>
              <w:rPr>
                <w:rFonts w:ascii="Arial" w:cs="Arial" w:eastAsia="Arial" w:hAnsi="Arial"/>
                <w:sz w:val="13"/>
                <w:szCs w:val="13"/>
                <w:b w:val="1"/>
                <w:bCs w:val="1"/>
                <w:color w:val="auto"/>
              </w:rPr>
              <w:t>Year Ended December 31, 2022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38"/>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center"/>
              <w:spacing w:after="0" w:line="139" w:lineRule="exact"/>
              <w:rPr>
                <w:sz w:val="20"/>
                <w:szCs w:val="20"/>
                <w:color w:val="auto"/>
              </w:rPr>
            </w:pPr>
            <w:r>
              <w:rPr>
                <w:rFonts w:ascii="Arial" w:cs="Arial" w:eastAsia="Arial" w:hAnsi="Arial"/>
                <w:sz w:val="13"/>
                <w:szCs w:val="13"/>
                <w:b w:val="1"/>
                <w:bCs w:val="1"/>
                <w:color w:val="auto"/>
                <w:w w:val="99"/>
              </w:rPr>
              <w:t>Pension &amp; OPEB</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4"/>
          </w:tcPr>
          <w:p>
            <w:pPr>
              <w:ind w:left="20"/>
              <w:spacing w:after="0" w:line="139" w:lineRule="exact"/>
              <w:rPr>
                <w:sz w:val="20"/>
                <w:szCs w:val="20"/>
                <w:color w:val="auto"/>
              </w:rPr>
            </w:pPr>
            <w:r>
              <w:rPr>
                <w:rFonts w:ascii="Arial" w:cs="Arial" w:eastAsia="Arial" w:hAnsi="Arial"/>
                <w:sz w:val="13"/>
                <w:szCs w:val="13"/>
                <w:b w:val="1"/>
                <w:bCs w:val="1"/>
                <w:color w:val="auto"/>
              </w:rPr>
              <w:t>Acquisition-related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5"/>
          </w:tcPr>
          <w:p>
            <w:pPr>
              <w:ind w:left="60"/>
              <w:spacing w:after="0" w:line="139" w:lineRule="exact"/>
              <w:rPr>
                <w:sz w:val="20"/>
                <w:szCs w:val="20"/>
                <w:color w:val="auto"/>
              </w:rPr>
            </w:pPr>
            <w:r>
              <w:rPr>
                <w:rFonts w:ascii="Arial" w:cs="Arial" w:eastAsia="Arial" w:hAnsi="Arial"/>
                <w:sz w:val="13"/>
                <w:szCs w:val="13"/>
                <w:b w:val="1"/>
                <w:bCs w:val="1"/>
                <w:color w:val="auto"/>
              </w:rPr>
              <w:t>Loss on Asset</w:t>
            </w:r>
          </w:p>
        </w:tc>
        <w:tc>
          <w:tcPr>
            <w:tcW w:w="140" w:type="dxa"/>
            <w:vAlign w:val="bottom"/>
            <w:tcBorders>
              <w:lef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r>
      <w:tr>
        <w:trPr>
          <w:trHeight w:val="184"/>
        </w:trPr>
        <w:tc>
          <w:tcPr>
            <w:tcW w:w="2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GAAP</w:t>
            </w: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MTM (Gain) / Loss</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Restructuring Costs</w:t>
            </w:r>
          </w:p>
        </w:tc>
        <w:tc>
          <w:tcPr>
            <w:tcW w:w="2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215"/>
              <w:spacing w:after="0"/>
              <w:rPr>
                <w:sz w:val="20"/>
                <w:szCs w:val="20"/>
                <w:color w:val="auto"/>
              </w:rPr>
            </w:pPr>
            <w:r>
              <w:rPr>
                <w:rFonts w:ascii="Arial" w:cs="Arial" w:eastAsia="Arial" w:hAnsi="Arial"/>
                <w:sz w:val="13"/>
                <w:szCs w:val="13"/>
                <w:b w:val="1"/>
                <w:bCs w:val="1"/>
                <w:color w:val="auto"/>
              </w:rPr>
              <w:t>Costs</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3"/>
          </w:tcPr>
          <w:p>
            <w:pPr>
              <w:spacing w:after="0"/>
              <w:rPr>
                <w:sz w:val="20"/>
                <w:szCs w:val="20"/>
                <w:color w:val="auto"/>
              </w:rPr>
            </w:pPr>
            <w:r>
              <w:rPr>
                <w:rFonts w:ascii="Arial" w:cs="Arial" w:eastAsia="Arial" w:hAnsi="Arial"/>
                <w:sz w:val="13"/>
                <w:szCs w:val="13"/>
                <w:b w:val="1"/>
                <w:bCs w:val="1"/>
                <w:color w:val="auto"/>
              </w:rPr>
              <w:t>Disposal</w:t>
            </w:r>
          </w:p>
        </w:tc>
        <w:tc>
          <w:tcPr>
            <w:tcW w:w="260" w:type="dxa"/>
            <w:vAlign w:val="bottom"/>
          </w:tcPr>
          <w:p>
            <w:pPr>
              <w:spacing w:after="0"/>
              <w:rPr>
                <w:sz w:val="15"/>
                <w:szCs w:val="15"/>
                <w:color w:val="auto"/>
              </w:rPr>
            </w:pPr>
          </w:p>
        </w:tc>
        <w:tc>
          <w:tcPr>
            <w:tcW w:w="140" w:type="dxa"/>
            <w:vAlign w:val="bottom"/>
            <w:tcBorders>
              <w:left w:val="single" w:sz="8" w:color="auto"/>
              <w:bottom w:val="single" w:sz="8" w:color="auto"/>
            </w:tcBorders>
          </w:tcPr>
          <w:p>
            <w:pPr>
              <w:spacing w:after="0"/>
              <w:rPr>
                <w:sz w:val="15"/>
                <w:szCs w:val="15"/>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Non-GAAP</w:t>
            </w:r>
          </w:p>
        </w:tc>
        <w:tc>
          <w:tcPr>
            <w:tcW w:w="20" w:type="dxa"/>
            <w:vAlign w:val="bottom"/>
            <w:tcBorders>
              <w:bottom w:val="single" w:sz="8" w:color="auto"/>
            </w:tcBorders>
            <w:shd w:val="clear" w:color="auto" w:fill="000000"/>
          </w:tcPr>
          <w:p>
            <w:pPr>
              <w:spacing w:after="0"/>
              <w:rPr>
                <w:sz w:val="15"/>
                <w:szCs w:val="15"/>
                <w:color w:val="auto"/>
              </w:rPr>
            </w:pPr>
          </w:p>
        </w:tc>
      </w:tr>
      <w:tr>
        <w:trPr>
          <w:trHeight w:val="269"/>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23"/>
                <w:szCs w:val="23"/>
                <w:color w:val="auto"/>
              </w:rPr>
            </w:pPr>
          </w:p>
        </w:tc>
        <w:tc>
          <w:tcPr>
            <w:tcW w:w="740" w:type="dxa"/>
            <w:vAlign w:val="bottom"/>
          </w:tcPr>
          <w:p>
            <w:pPr>
              <w:jc w:val="right"/>
              <w:ind w:right="595"/>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8"/>
              </w:rPr>
              <w:t>238.6</w:t>
            </w:r>
          </w:p>
        </w:tc>
        <w:tc>
          <w:tcPr>
            <w:tcW w:w="820" w:type="dxa"/>
            <w:vAlign w:val="bottom"/>
            <w:gridSpan w:val="3"/>
          </w:tcPr>
          <w:p>
            <w:pPr>
              <w:jc w:val="center"/>
              <w:ind w:right="195"/>
              <w:spacing w:after="0"/>
              <w:rPr>
                <w:sz w:val="20"/>
                <w:szCs w:val="20"/>
                <w:color w:val="auto"/>
              </w:rPr>
            </w:pPr>
            <w:r>
              <w:rPr>
                <w:rFonts w:ascii="Arial" w:cs="Arial" w:eastAsia="Arial" w:hAnsi="Arial"/>
                <w:sz w:val="13"/>
                <w:szCs w:val="13"/>
                <w:color w:val="auto"/>
              </w:rPr>
              <w:t>$</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35.7</w:t>
            </w:r>
          </w:p>
        </w:tc>
        <w:tc>
          <w:tcPr>
            <w:tcW w:w="900" w:type="dxa"/>
            <w:vAlign w:val="bottom"/>
            <w:gridSpan w:val="3"/>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6.3</w:t>
            </w:r>
          </w:p>
        </w:tc>
        <w:tc>
          <w:tcPr>
            <w:tcW w:w="220" w:type="dxa"/>
            <w:vAlign w:val="bottom"/>
          </w:tcPr>
          <w:p>
            <w:pPr>
              <w:spacing w:after="0"/>
              <w:rPr>
                <w:sz w:val="23"/>
                <w:szCs w:val="23"/>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2.2</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4.7</w:t>
            </w: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Borders>
              <w:left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287.5</w:t>
            </w:r>
          </w:p>
        </w:tc>
        <w:tc>
          <w:tcPr>
            <w:tcW w:w="20" w:type="dxa"/>
            <w:vAlign w:val="bottom"/>
            <w:shd w:val="clear" w:color="auto" w:fill="000000"/>
          </w:tcPr>
          <w:p>
            <w:pPr>
              <w:spacing w:after="0"/>
              <w:rPr>
                <w:sz w:val="23"/>
                <w:szCs w:val="23"/>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75.8</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4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10.9</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1.9</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0.4</w:t>
            </w: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DBDBDB"/>
          </w:tcPr>
          <w:p>
            <w:pPr>
              <w:spacing w:after="0"/>
              <w:rPr>
                <w:sz w:val="17"/>
                <w:szCs w:val="17"/>
                <w:color w:val="auto"/>
              </w:rPr>
            </w:pPr>
          </w:p>
        </w:tc>
        <w:tc>
          <w:tcPr>
            <w:tcW w:w="26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left w:val="single" w:sz="8" w:color="auto"/>
            </w:tcBorders>
            <w:shd w:val="clear" w:color="auto" w:fill="DBDBDB"/>
          </w:tcPr>
          <w:p>
            <w:pPr>
              <w:spacing w:after="0"/>
              <w:rPr>
                <w:sz w:val="17"/>
                <w:szCs w:val="17"/>
                <w:color w:val="auto"/>
              </w:rPr>
            </w:pPr>
          </w:p>
        </w:tc>
        <w:tc>
          <w:tcPr>
            <w:tcW w:w="10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90.5</w:t>
            </w:r>
          </w:p>
        </w:tc>
        <w:tc>
          <w:tcPr>
            <w:tcW w:w="20" w:type="dxa"/>
            <w:vAlign w:val="bottom"/>
            <w:shd w:val="clear" w:color="auto" w:fill="000000"/>
          </w:tcPr>
          <w:p>
            <w:pPr>
              <w:spacing w:after="0"/>
              <w:rPr>
                <w:sz w:val="17"/>
                <w:szCs w:val="17"/>
                <w:color w:val="auto"/>
              </w:rPr>
            </w:pPr>
          </w:p>
        </w:tc>
      </w:tr>
      <w:tr>
        <w:trPr>
          <w:trHeight w:val="185"/>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Other – net</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(1.5)</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3"/>
          </w:tcPr>
          <w:p>
            <w:pPr>
              <w:ind w:left="280"/>
              <w:spacing w:after="0"/>
              <w:rPr>
                <w:sz w:val="20"/>
                <w:szCs w:val="20"/>
                <w:color w:val="auto"/>
              </w:rPr>
            </w:pPr>
            <w:r>
              <w:rPr>
                <w:rFonts w:ascii="Arial" w:cs="Arial" w:eastAsia="Arial" w:hAnsi="Arial"/>
                <w:sz w:val="13"/>
                <w:szCs w:val="13"/>
                <w:color w:val="auto"/>
                <w:w w:val="99"/>
              </w:rPr>
              <w:t>(46.6)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(48.0)</w:t>
            </w:r>
          </w:p>
        </w:tc>
        <w:tc>
          <w:tcPr>
            <w:tcW w:w="20" w:type="dxa"/>
            <w:vAlign w:val="bottom"/>
            <w:shd w:val="clear" w:color="auto" w:fill="000000"/>
          </w:tcPr>
          <w:p>
            <w:pPr>
              <w:spacing w:after="0"/>
              <w:rPr>
                <w:sz w:val="16"/>
                <w:szCs w:val="16"/>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36.4</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2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20" w:type="dxa"/>
            <w:vAlign w:val="bottom"/>
            <w:tcBorders>
              <w:right w:val="single" w:sz="8" w:color="DBDBDB"/>
            </w:tcBorders>
            <w:gridSpan w:val="3"/>
            <w:shd w:val="clear" w:color="auto" w:fill="DBDBDB"/>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shd w:val="clear" w:color="auto" w:fill="DBDBDB"/>
          </w:tcPr>
          <w:p>
            <w:pPr>
              <w:spacing w:after="0"/>
              <w:rPr>
                <w:sz w:val="17"/>
                <w:szCs w:val="17"/>
                <w:color w:val="auto"/>
              </w:rPr>
            </w:pPr>
          </w:p>
        </w:tc>
        <w:tc>
          <w:tcPr>
            <w:tcW w:w="10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36.4</w:t>
            </w:r>
          </w:p>
        </w:tc>
        <w:tc>
          <w:tcPr>
            <w:tcW w:w="20" w:type="dxa"/>
            <w:vAlign w:val="bottom"/>
            <w:shd w:val="clear" w:color="auto" w:fill="000000"/>
          </w:tcPr>
          <w:p>
            <w:pPr>
              <w:spacing w:after="0"/>
              <w:rPr>
                <w:sz w:val="17"/>
                <w:szCs w:val="17"/>
                <w:color w:val="auto"/>
              </w:rPr>
            </w:pPr>
          </w:p>
        </w:tc>
      </w:tr>
      <w:tr>
        <w:trPr>
          <w:trHeight w:val="185"/>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Interest Income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(0.8)</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(0.8)</w:t>
            </w:r>
          </w:p>
        </w:tc>
        <w:tc>
          <w:tcPr>
            <w:tcW w:w="20" w:type="dxa"/>
            <w:vAlign w:val="bottom"/>
            <w:shd w:val="clear" w:color="auto" w:fill="000000"/>
          </w:tcPr>
          <w:p>
            <w:pPr>
              <w:spacing w:after="0"/>
              <w:rPr>
                <w:sz w:val="16"/>
                <w:szCs w:val="16"/>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Depreciation &amp; Amortization</w:t>
            </w:r>
          </w:p>
        </w:tc>
        <w:tc>
          <w:tcPr>
            <w:tcW w:w="280" w:type="dxa"/>
            <w:vAlign w:val="bottom"/>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73.8</w:t>
            </w:r>
          </w:p>
        </w:tc>
        <w:tc>
          <w:tcPr>
            <w:tcW w:w="22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left w:val="single" w:sz="8" w:color="auto"/>
              <w:bottom w:val="single" w:sz="8" w:color="auto"/>
            </w:tcBorders>
            <w:shd w:val="clear" w:color="auto" w:fill="DBDBDB"/>
          </w:tcPr>
          <w:p>
            <w:pPr>
              <w:spacing w:after="0"/>
              <w:rPr>
                <w:sz w:val="17"/>
                <w:szCs w:val="17"/>
                <w:color w:val="auto"/>
              </w:rPr>
            </w:pPr>
          </w:p>
        </w:tc>
        <w:tc>
          <w:tcPr>
            <w:tcW w:w="10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73.8</w:t>
            </w:r>
          </w:p>
        </w:tc>
        <w:tc>
          <w:tcPr>
            <w:tcW w:w="20" w:type="dxa"/>
            <w:vAlign w:val="bottom"/>
            <w:tcBorders>
              <w:bottom w:val="single" w:sz="8" w:color="auto"/>
            </w:tcBorders>
            <w:shd w:val="clear" w:color="auto" w:fill="000000"/>
          </w:tcPr>
          <w:p>
            <w:pPr>
              <w:spacing w:after="0"/>
              <w:rPr>
                <w:sz w:val="17"/>
                <w:szCs w:val="17"/>
                <w:color w:val="auto"/>
              </w:rPr>
            </w:pPr>
          </w:p>
        </w:tc>
      </w:tr>
      <w:tr>
        <w:trPr>
          <w:trHeight w:val="179"/>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280" w:type="dxa"/>
            <w:vAlign w:val="bottom"/>
          </w:tcPr>
          <w:p>
            <w:pPr>
              <w:spacing w:after="0"/>
              <w:rPr>
                <w:sz w:val="15"/>
                <w:szCs w:val="15"/>
                <w:color w:val="auto"/>
              </w:rPr>
            </w:pPr>
          </w:p>
        </w:tc>
        <w:tc>
          <w:tcPr>
            <w:tcW w:w="740" w:type="dxa"/>
            <w:vAlign w:val="bottom"/>
          </w:tcPr>
          <w:p>
            <w:pPr>
              <w:jc w:val="right"/>
              <w:ind w:right="595"/>
              <w:spacing w:after="0"/>
              <w:rPr>
                <w:sz w:val="20"/>
                <w:szCs w:val="20"/>
                <w:color w:val="auto"/>
              </w:rPr>
            </w:pPr>
            <w:r>
              <w:rPr>
                <w:rFonts w:ascii="Arial" w:cs="Arial" w:eastAsia="Arial" w:hAnsi="Arial"/>
                <w:sz w:val="13"/>
                <w:szCs w:val="13"/>
                <w:color w:val="auto"/>
                <w:w w:val="82"/>
              </w:rPr>
              <w:t>$</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8"/>
              </w:rPr>
              <w:t>422.4</w:t>
            </w:r>
          </w:p>
        </w:tc>
        <w:tc>
          <w:tcPr>
            <w:tcW w:w="820" w:type="dxa"/>
            <w:vAlign w:val="bottom"/>
            <w:gridSpan w:val="3"/>
          </w:tcPr>
          <w:p>
            <w:pPr>
              <w:jc w:val="center"/>
              <w:ind w:right="195"/>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ind w:left="24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8.2</w:t>
            </w:r>
          </w:p>
        </w:tc>
        <w:tc>
          <w:tcPr>
            <w:tcW w:w="220" w:type="dxa"/>
            <w:vAlign w:val="bottom"/>
          </w:tcPr>
          <w:p>
            <w:pPr>
              <w:spacing w:after="0"/>
              <w:rPr>
                <w:sz w:val="15"/>
                <w:szCs w:val="15"/>
                <w:color w:val="auto"/>
              </w:rPr>
            </w:pPr>
          </w:p>
        </w:tc>
        <w:tc>
          <w:tcPr>
            <w:tcW w:w="280" w:type="dxa"/>
            <w:vAlign w:val="bottom"/>
            <w:gridSpan w:val="2"/>
          </w:tcPr>
          <w:p>
            <w:pPr>
              <w:ind w:left="2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2.6</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6.2</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Borders>
              <w:left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439.4</w:t>
            </w:r>
          </w:p>
        </w:tc>
        <w:tc>
          <w:tcPr>
            <w:tcW w:w="20" w:type="dxa"/>
            <w:vAlign w:val="bottom"/>
            <w:shd w:val="clear" w:color="auto" w:fill="000000"/>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r>
      <w:tr>
        <w:trPr>
          <w:trHeight w:val="49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gridSpan w:val="9"/>
          </w:tcPr>
          <w:p>
            <w:pPr>
              <w:spacing w:after="0"/>
              <w:rPr>
                <w:sz w:val="20"/>
                <w:szCs w:val="20"/>
                <w:color w:val="auto"/>
              </w:rPr>
            </w:pPr>
            <w:r>
              <w:rPr>
                <w:rFonts w:ascii="Arial" w:cs="Arial" w:eastAsia="Arial" w:hAnsi="Arial"/>
                <w:sz w:val="13"/>
                <w:szCs w:val="13"/>
                <w:b w:val="1"/>
                <w:bCs w:val="1"/>
                <w:color w:val="auto"/>
              </w:rPr>
              <w:t>Year Ended December 31, 2021</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36"/>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4"/>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Costs Associated</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Borders>
              <w:lef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shd w:val="clear" w:color="auto" w:fill="000000"/>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2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9"/>
              </w:rPr>
              <w:t>Pension &amp; OPEB</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gridSpan w:val="4"/>
          </w:tcPr>
          <w:p>
            <w:pPr>
              <w:ind w:left="80"/>
              <w:spacing w:after="0" w:line="146" w:lineRule="exact"/>
              <w:rPr>
                <w:sz w:val="20"/>
                <w:szCs w:val="20"/>
                <w:color w:val="auto"/>
              </w:rPr>
            </w:pPr>
            <w:r>
              <w:rPr>
                <w:rFonts w:ascii="Arial" w:cs="Arial" w:eastAsia="Arial" w:hAnsi="Arial"/>
                <w:sz w:val="13"/>
                <w:szCs w:val="13"/>
                <w:b w:val="1"/>
                <w:bCs w:val="1"/>
                <w:color w:val="auto"/>
              </w:rPr>
              <w:t>Restructuring and</w:t>
            </w:r>
          </w:p>
        </w:tc>
        <w:tc>
          <w:tcPr>
            <w:tcW w:w="20" w:type="dxa"/>
            <w:vAlign w:val="bottom"/>
          </w:tcPr>
          <w:p>
            <w:pPr>
              <w:spacing w:after="0"/>
              <w:rPr>
                <w:sz w:val="12"/>
                <w:szCs w:val="12"/>
                <w:color w:val="auto"/>
              </w:rPr>
            </w:pPr>
          </w:p>
        </w:tc>
        <w:tc>
          <w:tcPr>
            <w:tcW w:w="1240" w:type="dxa"/>
            <w:vAlign w:val="bottom"/>
            <w:gridSpan w:val="4"/>
          </w:tcPr>
          <w:p>
            <w:pPr>
              <w:jc w:val="center"/>
              <w:spacing w:after="0" w:line="146" w:lineRule="exact"/>
              <w:rPr>
                <w:sz w:val="20"/>
                <w:szCs w:val="20"/>
                <w:color w:val="auto"/>
              </w:rPr>
            </w:pPr>
            <w:r>
              <w:rPr>
                <w:rFonts w:ascii="Times New Roman" w:cs="Times New Roman" w:eastAsia="Times New Roman" w:hAnsi="Times New Roman"/>
                <w:sz w:val="13"/>
                <w:szCs w:val="13"/>
                <w:b w:val="1"/>
                <w:bCs w:val="1"/>
                <w:color w:val="auto"/>
              </w:rPr>
              <w:t>with Early Bond</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Borders>
              <w:left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20" w:type="dxa"/>
            <w:vAlign w:val="bottom"/>
            <w:shd w:val="clear" w:color="auto" w:fill="000000"/>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Borders>
              <w:bottom w:val="single" w:sz="8" w:color="auto"/>
            </w:tcBorders>
            <w:gridSpan w:val="2"/>
          </w:tcPr>
          <w:p>
            <w:pPr>
              <w:ind w:left="420"/>
              <w:spacing w:after="0"/>
              <w:rPr>
                <w:sz w:val="20"/>
                <w:szCs w:val="20"/>
                <w:color w:val="auto"/>
              </w:rPr>
            </w:pPr>
            <w:r>
              <w:rPr>
                <w:rFonts w:ascii="Arial" w:cs="Arial" w:eastAsia="Arial" w:hAnsi="Arial"/>
                <w:sz w:val="13"/>
                <w:szCs w:val="13"/>
                <w:b w:val="1"/>
                <w:bCs w:val="1"/>
                <w:color w:val="auto"/>
              </w:rPr>
              <w:t>GAAP</w:t>
            </w: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Borders>
              <w:bottom w:val="single" w:sz="8" w:color="auto"/>
            </w:tcBorders>
            <w:gridSpan w:val="4"/>
          </w:tcPr>
          <w:p>
            <w:pPr>
              <w:jc w:val="center"/>
              <w:spacing w:after="0"/>
              <w:rPr>
                <w:sz w:val="20"/>
                <w:szCs w:val="20"/>
                <w:color w:val="auto"/>
              </w:rPr>
            </w:pPr>
            <w:r>
              <w:rPr>
                <w:rFonts w:ascii="Arial" w:cs="Arial" w:eastAsia="Arial" w:hAnsi="Arial"/>
                <w:sz w:val="13"/>
                <w:szCs w:val="13"/>
                <w:b w:val="1"/>
                <w:bCs w:val="1"/>
                <w:color w:val="auto"/>
                <w:w w:val="99"/>
              </w:rPr>
              <w:t>MTM (Gain) / Loss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gridSpan w:val="3"/>
          </w:tcPr>
          <w:p>
            <w:pPr>
              <w:jc w:val="right"/>
              <w:ind w:right="195"/>
              <w:spacing w:after="0"/>
              <w:rPr>
                <w:sz w:val="20"/>
                <w:szCs w:val="20"/>
                <w:color w:val="auto"/>
              </w:rPr>
            </w:pPr>
            <w:r>
              <w:rPr>
                <w:rFonts w:ascii="Arial" w:cs="Arial" w:eastAsia="Arial" w:hAnsi="Arial"/>
                <w:sz w:val="13"/>
                <w:szCs w:val="13"/>
                <w:b w:val="1"/>
                <w:bCs w:val="1"/>
                <w:color w:val="auto"/>
              </w:rPr>
              <w:t>Other Costs</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95"/>
              <w:spacing w:after="0"/>
              <w:rPr>
                <w:sz w:val="20"/>
                <w:szCs w:val="20"/>
                <w:color w:val="auto"/>
              </w:rPr>
            </w:pPr>
            <w:r>
              <w:rPr>
                <w:rFonts w:ascii="Times New Roman" w:cs="Times New Roman" w:eastAsia="Times New Roman" w:hAnsi="Times New Roman"/>
                <w:sz w:val="13"/>
                <w:szCs w:val="13"/>
                <w:b w:val="1"/>
                <w:bCs w:val="1"/>
                <w:color w:val="auto"/>
              </w:rPr>
              <w:t>Redemption</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Borders>
              <w:left w:val="single" w:sz="8" w:color="auto"/>
              <w:bottom w:val="single" w:sz="8" w:color="auto"/>
            </w:tcBorders>
          </w:tcPr>
          <w:p>
            <w:pPr>
              <w:spacing w:after="0"/>
              <w:rPr>
                <w:sz w:val="16"/>
                <w:szCs w:val="16"/>
                <w:color w:val="auto"/>
              </w:rPr>
            </w:pPr>
          </w:p>
        </w:tc>
        <w:tc>
          <w:tcPr>
            <w:tcW w:w="106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Non-GAAP</w:t>
            </w:r>
          </w:p>
        </w:tc>
        <w:tc>
          <w:tcPr>
            <w:tcW w:w="20" w:type="dxa"/>
            <w:vAlign w:val="bottom"/>
            <w:tcBorders>
              <w:bottom w:val="single" w:sz="8" w:color="auto"/>
            </w:tcBorders>
            <w:shd w:val="clear" w:color="auto" w:fill="000000"/>
          </w:tcPr>
          <w:p>
            <w:pPr>
              <w:spacing w:after="0"/>
              <w:rPr>
                <w:sz w:val="16"/>
                <w:szCs w:val="16"/>
                <w:color w:val="auto"/>
              </w:rPr>
            </w:pPr>
          </w:p>
        </w:tc>
      </w:tr>
      <w:tr>
        <w:trPr>
          <w:trHeight w:val="269"/>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Net Income</w:t>
            </w:r>
          </w:p>
        </w:tc>
        <w:tc>
          <w:tcPr>
            <w:tcW w:w="280" w:type="dxa"/>
            <w:vAlign w:val="bottom"/>
          </w:tcPr>
          <w:p>
            <w:pPr>
              <w:spacing w:after="0"/>
              <w:rPr>
                <w:sz w:val="23"/>
                <w:szCs w:val="23"/>
                <w:color w:val="auto"/>
              </w:rPr>
            </w:pPr>
          </w:p>
        </w:tc>
        <w:tc>
          <w:tcPr>
            <w:tcW w:w="740" w:type="dxa"/>
            <w:vAlign w:val="bottom"/>
          </w:tcPr>
          <w:p>
            <w:pPr>
              <w:jc w:val="right"/>
              <w:ind w:right="57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23"/>
                <w:szCs w:val="23"/>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8"/>
              </w:rPr>
              <w:t>306.5</w:t>
            </w:r>
          </w:p>
        </w:tc>
        <w:tc>
          <w:tcPr>
            <w:tcW w:w="820" w:type="dxa"/>
            <w:vAlign w:val="bottom"/>
            <w:gridSpan w:val="3"/>
          </w:tcPr>
          <w:p>
            <w:pPr>
              <w:jc w:val="center"/>
              <w:ind w:right="175"/>
              <w:spacing w:after="0"/>
              <w:rPr>
                <w:sz w:val="20"/>
                <w:szCs w:val="20"/>
                <w:color w:val="auto"/>
              </w:rPr>
            </w:pPr>
            <w:r>
              <w:rPr>
                <w:rFonts w:ascii="Arial" w:cs="Arial" w:eastAsia="Arial" w:hAnsi="Arial"/>
                <w:sz w:val="13"/>
                <w:szCs w:val="13"/>
                <w:color w:val="auto"/>
                <w:w w:val="82"/>
              </w:rPr>
              <w:t>$</w:t>
            </w: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(30.5)</w:t>
            </w:r>
          </w:p>
        </w:tc>
        <w:tc>
          <w:tcPr>
            <w:tcW w:w="90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2.4</w:t>
            </w:r>
          </w:p>
        </w:tc>
        <w:tc>
          <w:tcPr>
            <w:tcW w:w="220" w:type="dxa"/>
            <w:vAlign w:val="bottom"/>
          </w:tcPr>
          <w:p>
            <w:pPr>
              <w:spacing w:after="0"/>
              <w:rPr>
                <w:sz w:val="23"/>
                <w:szCs w:val="23"/>
                <w:color w:val="auto"/>
              </w:rPr>
            </w:pPr>
          </w:p>
        </w:tc>
        <w:tc>
          <w:tcPr>
            <w:tcW w:w="2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11.5</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289.6</w:t>
            </w:r>
          </w:p>
        </w:tc>
        <w:tc>
          <w:tcPr>
            <w:tcW w:w="20" w:type="dxa"/>
            <w:vAlign w:val="bottom"/>
            <w:shd w:val="clear" w:color="auto" w:fill="000000"/>
          </w:tcPr>
          <w:p>
            <w:pPr>
              <w:spacing w:after="0"/>
              <w:rPr>
                <w:sz w:val="23"/>
                <w:szCs w:val="23"/>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89.4</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64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(9.1)</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4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0.8</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3.5</w:t>
            </w: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20" w:type="dxa"/>
            <w:vAlign w:val="bottom"/>
            <w:tcBorders>
              <w:right w:val="single" w:sz="8" w:color="DBDBDB"/>
            </w:tcBorders>
            <w:gridSpan w:val="3"/>
            <w:shd w:val="clear" w:color="auto" w:fill="DBDBDB"/>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shd w:val="clear" w:color="auto" w:fill="DBDBDB"/>
          </w:tcPr>
          <w:p>
            <w:pPr>
              <w:spacing w:after="0"/>
              <w:rPr>
                <w:sz w:val="17"/>
                <w:szCs w:val="17"/>
                <w:color w:val="auto"/>
              </w:rPr>
            </w:pPr>
          </w:p>
        </w:tc>
        <w:tc>
          <w:tcPr>
            <w:tcW w:w="10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84.6</w:t>
            </w:r>
          </w:p>
        </w:tc>
        <w:tc>
          <w:tcPr>
            <w:tcW w:w="20" w:type="dxa"/>
            <w:vAlign w:val="bottom"/>
            <w:shd w:val="clear" w:color="auto" w:fill="000000"/>
          </w:tcPr>
          <w:p>
            <w:pPr>
              <w:spacing w:after="0"/>
              <w:rPr>
                <w:sz w:val="17"/>
                <w:szCs w:val="17"/>
                <w:color w:val="auto"/>
              </w:rPr>
            </w:pPr>
          </w:p>
        </w:tc>
      </w:tr>
      <w:tr>
        <w:trPr>
          <w:trHeight w:val="185"/>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Other – net</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(85.2)</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40" w:type="dxa"/>
            <w:vAlign w:val="bottom"/>
            <w:gridSpan w:val="3"/>
          </w:tcPr>
          <w:p>
            <w:pPr>
              <w:jc w:val="right"/>
              <w:spacing w:after="0"/>
              <w:rPr>
                <w:sz w:val="20"/>
                <w:szCs w:val="20"/>
                <w:color w:val="auto"/>
              </w:rPr>
            </w:pPr>
            <w:r>
              <w:rPr>
                <w:rFonts w:ascii="Arial" w:cs="Arial" w:eastAsia="Arial" w:hAnsi="Arial"/>
                <w:sz w:val="13"/>
                <w:szCs w:val="13"/>
                <w:color w:val="auto"/>
              </w:rPr>
              <w:t>39.6</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(10.8)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(56.4)</w:t>
            </w:r>
          </w:p>
        </w:tc>
        <w:tc>
          <w:tcPr>
            <w:tcW w:w="20" w:type="dxa"/>
            <w:vAlign w:val="bottom"/>
            <w:shd w:val="clear" w:color="auto" w:fill="000000"/>
          </w:tcPr>
          <w:p>
            <w:pPr>
              <w:spacing w:after="0"/>
              <w:rPr>
                <w:sz w:val="16"/>
                <w:szCs w:val="16"/>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spacing w:after="0"/>
              <w:rPr>
                <w:sz w:val="17"/>
                <w:szCs w:val="17"/>
                <w:color w:val="auto"/>
              </w:rPr>
            </w:pPr>
          </w:p>
        </w:tc>
        <w:tc>
          <w:tcPr>
            <w:tcW w:w="80" w:type="dxa"/>
            <w:vAlign w:val="bottom"/>
            <w:shd w:val="clear" w:color="auto" w:fill="DBDBDB"/>
          </w:tcPr>
          <w:p>
            <w:pPr>
              <w:spacing w:after="0"/>
              <w:rPr>
                <w:sz w:val="17"/>
                <w:szCs w:val="17"/>
                <w:color w:val="auto"/>
              </w:rPr>
            </w:pPr>
          </w:p>
        </w:tc>
        <w:tc>
          <w:tcPr>
            <w:tcW w:w="400" w:type="dxa"/>
            <w:vAlign w:val="bottom"/>
            <w:gridSpan w:val="2"/>
            <w:shd w:val="clear" w:color="auto" w:fill="DBDBDB"/>
          </w:tcPr>
          <w:p>
            <w:pPr>
              <w:jc w:val="right"/>
              <w:spacing w:after="0"/>
              <w:rPr>
                <w:sz w:val="20"/>
                <w:szCs w:val="20"/>
                <w:color w:val="auto"/>
              </w:rPr>
            </w:pPr>
            <w:r>
              <w:rPr>
                <w:rFonts w:ascii="Arial" w:cs="Arial" w:eastAsia="Arial" w:hAnsi="Arial"/>
                <w:sz w:val="13"/>
                <w:szCs w:val="13"/>
                <w:color w:val="auto"/>
              </w:rPr>
              <w:t>35.8</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6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62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500" w:type="dxa"/>
            <w:vAlign w:val="bottom"/>
            <w:shd w:val="clear" w:color="auto" w:fill="DBDBDB"/>
          </w:tcPr>
          <w:p>
            <w:pPr>
              <w:jc w:val="right"/>
              <w:spacing w:after="0"/>
              <w:rPr>
                <w:sz w:val="20"/>
                <w:szCs w:val="20"/>
                <w:color w:val="auto"/>
              </w:rPr>
            </w:pPr>
            <w:r>
              <w:rPr>
                <w:rFonts w:ascii="Arial" w:cs="Arial" w:eastAsia="Arial" w:hAnsi="Arial"/>
                <w:sz w:val="13"/>
                <w:szCs w:val="13"/>
                <w:color w:val="auto"/>
              </w:rPr>
              <w:t>(4.2)</w:t>
            </w:r>
          </w:p>
        </w:tc>
        <w:tc>
          <w:tcPr>
            <w:tcW w:w="220" w:type="dxa"/>
            <w:vAlign w:val="bottom"/>
            <w:shd w:val="clear" w:color="auto" w:fill="DBDBDB"/>
          </w:tcPr>
          <w:p>
            <w:pPr>
              <w:spacing w:after="0"/>
              <w:rPr>
                <w:sz w:val="17"/>
                <w:szCs w:val="17"/>
                <w:color w:val="auto"/>
              </w:rPr>
            </w:pPr>
          </w:p>
        </w:tc>
        <w:tc>
          <w:tcPr>
            <w:tcW w:w="12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20" w:type="dxa"/>
            <w:vAlign w:val="bottom"/>
            <w:tcBorders>
              <w:right w:val="single" w:sz="8" w:color="DBDBDB"/>
            </w:tcBorders>
            <w:gridSpan w:val="3"/>
            <w:shd w:val="clear" w:color="auto" w:fill="DBDBDB"/>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shd w:val="clear" w:color="auto" w:fill="DBDBDB"/>
          </w:tcPr>
          <w:p>
            <w:pPr>
              <w:spacing w:after="0"/>
              <w:rPr>
                <w:sz w:val="17"/>
                <w:szCs w:val="17"/>
                <w:color w:val="auto"/>
              </w:rPr>
            </w:pPr>
          </w:p>
        </w:tc>
        <w:tc>
          <w:tcPr>
            <w:tcW w:w="1060" w:type="dxa"/>
            <w:vAlign w:val="bottom"/>
            <w:tcBorders>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31.5</w:t>
            </w:r>
          </w:p>
        </w:tc>
        <w:tc>
          <w:tcPr>
            <w:tcW w:w="20" w:type="dxa"/>
            <w:vAlign w:val="bottom"/>
            <w:shd w:val="clear" w:color="auto" w:fill="000000"/>
          </w:tcPr>
          <w:p>
            <w:pPr>
              <w:spacing w:after="0"/>
              <w:rPr>
                <w:sz w:val="17"/>
                <w:szCs w:val="17"/>
                <w:color w:val="auto"/>
              </w:rPr>
            </w:pPr>
          </w:p>
        </w:tc>
      </w:tr>
      <w:tr>
        <w:trPr>
          <w:trHeight w:val="185"/>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Interest Income</w:t>
            </w: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(0.4)</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(0.4)</w:t>
            </w:r>
          </w:p>
        </w:tc>
        <w:tc>
          <w:tcPr>
            <w:tcW w:w="20" w:type="dxa"/>
            <w:vAlign w:val="bottom"/>
            <w:shd w:val="clear" w:color="auto" w:fill="000000"/>
          </w:tcPr>
          <w:p>
            <w:pPr>
              <w:spacing w:after="0"/>
              <w:rPr>
                <w:sz w:val="16"/>
                <w:szCs w:val="16"/>
                <w:color w:val="auto"/>
              </w:rPr>
            </w:pPr>
          </w:p>
        </w:tc>
      </w:tr>
      <w:tr>
        <w:trPr>
          <w:trHeight w:val="204"/>
        </w:trPr>
        <w:tc>
          <w:tcPr>
            <w:tcW w:w="2300" w:type="dxa"/>
            <w:vAlign w:val="bottom"/>
            <w:gridSpan w:val="2"/>
            <w:shd w:val="clear" w:color="auto" w:fill="DBDBDB"/>
          </w:tcPr>
          <w:p>
            <w:pPr>
              <w:ind w:left="20"/>
              <w:spacing w:after="0"/>
              <w:rPr>
                <w:sz w:val="20"/>
                <w:szCs w:val="20"/>
                <w:color w:val="auto"/>
              </w:rPr>
            </w:pPr>
            <w:r>
              <w:rPr>
                <w:rFonts w:ascii="Arial" w:cs="Arial" w:eastAsia="Arial" w:hAnsi="Arial"/>
                <w:sz w:val="13"/>
                <w:szCs w:val="13"/>
                <w:color w:val="auto"/>
              </w:rPr>
              <w:t>Depreciation &amp; Amortization</w:t>
            </w:r>
          </w:p>
        </w:tc>
        <w:tc>
          <w:tcPr>
            <w:tcW w:w="280" w:type="dxa"/>
            <w:vAlign w:val="bottom"/>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spacing w:after="0"/>
              <w:rPr>
                <w:sz w:val="17"/>
                <w:szCs w:val="17"/>
                <w:color w:val="auto"/>
              </w:rPr>
            </w:pPr>
          </w:p>
        </w:tc>
        <w:tc>
          <w:tcPr>
            <w:tcW w:w="8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3"/>
                <w:szCs w:val="13"/>
                <w:color w:val="auto"/>
              </w:rPr>
              <w:t>69.1</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76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3"/>
                <w:szCs w:val="13"/>
                <w:color w:val="auto"/>
              </w:rPr>
              <w:t>—</w:t>
            </w:r>
          </w:p>
        </w:tc>
        <w:tc>
          <w:tcPr>
            <w:tcW w:w="260" w:type="dxa"/>
            <w:vAlign w:val="bottom"/>
            <w:tcBorders>
              <w:right w:val="single" w:sz="8" w:color="DBDBDB"/>
            </w:tcBorders>
            <w:shd w:val="clear" w:color="auto" w:fill="DBDBDB"/>
          </w:tcPr>
          <w:p>
            <w:pPr>
              <w:spacing w:after="0"/>
              <w:rPr>
                <w:sz w:val="17"/>
                <w:szCs w:val="17"/>
                <w:color w:val="auto"/>
              </w:rPr>
            </w:pPr>
          </w:p>
        </w:tc>
        <w:tc>
          <w:tcPr>
            <w:tcW w:w="140" w:type="dxa"/>
            <w:vAlign w:val="bottom"/>
            <w:tcBorders>
              <w:left w:val="single" w:sz="8" w:color="auto"/>
              <w:bottom w:val="single" w:sz="8" w:color="auto"/>
            </w:tcBorders>
            <w:shd w:val="clear" w:color="auto" w:fill="DBDBDB"/>
          </w:tcPr>
          <w:p>
            <w:pPr>
              <w:spacing w:after="0"/>
              <w:rPr>
                <w:sz w:val="17"/>
                <w:szCs w:val="17"/>
                <w:color w:val="auto"/>
              </w:rPr>
            </w:pPr>
          </w:p>
        </w:tc>
        <w:tc>
          <w:tcPr>
            <w:tcW w:w="1060" w:type="dxa"/>
            <w:vAlign w:val="bottom"/>
            <w:tcBorders>
              <w:bottom w:val="single" w:sz="8" w:color="auto"/>
              <w:right w:val="single" w:sz="8" w:color="DBDBDB"/>
            </w:tcBorders>
            <w:shd w:val="clear" w:color="auto" w:fill="DBDBDB"/>
          </w:tcPr>
          <w:p>
            <w:pPr>
              <w:jc w:val="right"/>
              <w:spacing w:after="0"/>
              <w:rPr>
                <w:sz w:val="20"/>
                <w:szCs w:val="20"/>
                <w:color w:val="auto"/>
              </w:rPr>
            </w:pPr>
            <w:r>
              <w:rPr>
                <w:rFonts w:ascii="Arial" w:cs="Arial" w:eastAsia="Arial" w:hAnsi="Arial"/>
                <w:sz w:val="13"/>
                <w:szCs w:val="13"/>
                <w:color w:val="auto"/>
              </w:rPr>
              <w:t>69.1</w:t>
            </w:r>
          </w:p>
        </w:tc>
        <w:tc>
          <w:tcPr>
            <w:tcW w:w="20" w:type="dxa"/>
            <w:vAlign w:val="bottom"/>
            <w:tcBorders>
              <w:bottom w:val="single" w:sz="8" w:color="auto"/>
            </w:tcBorders>
            <w:shd w:val="clear" w:color="auto" w:fill="000000"/>
          </w:tcPr>
          <w:p>
            <w:pPr>
              <w:spacing w:after="0"/>
              <w:rPr>
                <w:sz w:val="17"/>
                <w:szCs w:val="17"/>
                <w:color w:val="auto"/>
              </w:rPr>
            </w:pPr>
          </w:p>
        </w:tc>
      </w:tr>
      <w:tr>
        <w:trPr>
          <w:trHeight w:val="179"/>
        </w:trPr>
        <w:tc>
          <w:tcPr>
            <w:tcW w:w="2300" w:type="dxa"/>
            <w:vAlign w:val="bottom"/>
            <w:gridSpan w:val="2"/>
          </w:tcPr>
          <w:p>
            <w:pPr>
              <w:ind w:left="20"/>
              <w:spacing w:after="0"/>
              <w:rPr>
                <w:sz w:val="20"/>
                <w:szCs w:val="20"/>
                <w:color w:val="auto"/>
              </w:rPr>
            </w:pPr>
            <w:r>
              <w:rPr>
                <w:rFonts w:ascii="Arial" w:cs="Arial" w:eastAsia="Arial" w:hAnsi="Arial"/>
                <w:sz w:val="13"/>
                <w:szCs w:val="13"/>
                <w:color w:val="auto"/>
              </w:rPr>
              <w:t>Adjusted EBITDA</w:t>
            </w:r>
          </w:p>
        </w:tc>
        <w:tc>
          <w:tcPr>
            <w:tcW w:w="280" w:type="dxa"/>
            <w:vAlign w:val="bottom"/>
          </w:tcPr>
          <w:p>
            <w:pPr>
              <w:spacing w:after="0"/>
              <w:rPr>
                <w:sz w:val="15"/>
                <w:szCs w:val="15"/>
                <w:color w:val="auto"/>
              </w:rPr>
            </w:pPr>
          </w:p>
        </w:tc>
        <w:tc>
          <w:tcPr>
            <w:tcW w:w="740" w:type="dxa"/>
            <w:vAlign w:val="bottom"/>
          </w:tcPr>
          <w:p>
            <w:pPr>
              <w:jc w:val="right"/>
              <w:ind w:right="575"/>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5"/>
                <w:szCs w:val="15"/>
                <w:color w:val="auto"/>
              </w:rPr>
            </w:pPr>
          </w:p>
        </w:tc>
        <w:tc>
          <w:tcPr>
            <w:tcW w:w="400" w:type="dxa"/>
            <w:vAlign w:val="bottom"/>
            <w:gridSpan w:val="2"/>
          </w:tcPr>
          <w:p>
            <w:pPr>
              <w:jc w:val="right"/>
              <w:spacing w:after="0"/>
              <w:rPr>
                <w:sz w:val="20"/>
                <w:szCs w:val="20"/>
                <w:color w:val="auto"/>
              </w:rPr>
            </w:pPr>
            <w:r>
              <w:rPr>
                <w:rFonts w:ascii="Arial" w:cs="Arial" w:eastAsia="Arial" w:hAnsi="Arial"/>
                <w:sz w:val="13"/>
                <w:szCs w:val="13"/>
                <w:color w:val="auto"/>
                <w:w w:val="98"/>
              </w:rPr>
              <w:t>414.9</w:t>
            </w:r>
          </w:p>
        </w:tc>
        <w:tc>
          <w:tcPr>
            <w:tcW w:w="820" w:type="dxa"/>
            <w:vAlign w:val="bottom"/>
            <w:gridSpan w:val="3"/>
          </w:tcPr>
          <w:p>
            <w:pPr>
              <w:jc w:val="center"/>
              <w:ind w:right="175"/>
              <w:spacing w:after="0"/>
              <w:rPr>
                <w:sz w:val="20"/>
                <w:szCs w:val="20"/>
                <w:color w:val="auto"/>
              </w:rPr>
            </w:pPr>
            <w:r>
              <w:rPr>
                <w:rFonts w:ascii="Arial" w:cs="Arial" w:eastAsia="Arial" w:hAnsi="Arial"/>
                <w:sz w:val="13"/>
                <w:szCs w:val="13"/>
                <w:color w:val="auto"/>
                <w:w w:val="82"/>
              </w:rPr>
              <w:t>$</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90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3.1</w:t>
            </w:r>
          </w:p>
        </w:tc>
        <w:tc>
          <w:tcPr>
            <w:tcW w:w="220" w:type="dxa"/>
            <w:vAlign w:val="bottom"/>
          </w:tcPr>
          <w:p>
            <w:pPr>
              <w:spacing w:after="0"/>
              <w:rPr>
                <w:sz w:val="15"/>
                <w:szCs w:val="15"/>
                <w:color w:val="auto"/>
              </w:rPr>
            </w:pPr>
          </w:p>
        </w:tc>
        <w:tc>
          <w:tcPr>
            <w:tcW w:w="280" w:type="dxa"/>
            <w:vAlign w:val="bottom"/>
            <w:gridSpan w:val="2"/>
          </w:tcPr>
          <w:p>
            <w:pPr>
              <w:ind w:left="40"/>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3"/>
          </w:tcPr>
          <w:p>
            <w:pPr>
              <w:jc w:val="right"/>
              <w:ind w:right="3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418.1</w:t>
            </w:r>
          </w:p>
        </w:tc>
        <w:tc>
          <w:tcPr>
            <w:tcW w:w="20" w:type="dxa"/>
            <w:vAlign w:val="bottom"/>
            <w:shd w:val="clear" w:color="auto" w:fill="000000"/>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Borders>
              <w:top w:val="single" w:sz="8" w:color="auto"/>
              <w:bottom w:val="single" w:sz="8" w:color="auto"/>
            </w:tcBorders>
          </w:tcPr>
          <w:p>
            <w:pPr>
              <w:spacing w:after="0"/>
              <w:rPr>
                <w:sz w:val="2"/>
                <w:szCs w:val="2"/>
                <w:color w:val="auto"/>
              </w:rPr>
            </w:pPr>
          </w:p>
        </w:tc>
        <w:tc>
          <w:tcPr>
            <w:tcW w:w="1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40" w:type="dxa"/>
            <w:vAlign w:val="bottom"/>
            <w:gridSpan w:val="2"/>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620" w:type="dxa"/>
            <w:vAlign w:val="bottom"/>
            <w:tcBorders>
              <w:top w:val="single" w:sz="8" w:color="auto"/>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r>
      <w:tr>
        <w:trPr>
          <w:trHeight w:val="509"/>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80" w:type="dxa"/>
            <w:vAlign w:val="bottom"/>
            <w:gridSpan w:val="9"/>
          </w:tcPr>
          <w:p>
            <w:pPr>
              <w:spacing w:after="0"/>
              <w:rPr>
                <w:sz w:val="20"/>
                <w:szCs w:val="20"/>
                <w:color w:val="auto"/>
              </w:rPr>
            </w:pPr>
            <w:r>
              <w:rPr>
                <w:rFonts w:ascii="Arial" w:cs="Arial" w:eastAsia="Arial" w:hAnsi="Arial"/>
                <w:sz w:val="13"/>
                <w:szCs w:val="13"/>
                <w:b w:val="1"/>
                <w:bCs w:val="1"/>
                <w:color w:val="auto"/>
              </w:rPr>
              <w:t>Year Ended December 31, 2020</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gridSpan w:val="4"/>
          </w:tcPr>
          <w:p>
            <w:pPr>
              <w:jc w:val="center"/>
              <w:spacing w:after="0" w:line="135" w:lineRule="exact"/>
              <w:rPr>
                <w:sz w:val="20"/>
                <w:szCs w:val="20"/>
                <w:color w:val="auto"/>
              </w:rPr>
            </w:pPr>
            <w:r>
              <w:rPr>
                <w:rFonts w:ascii="Arial" w:cs="Arial" w:eastAsia="Arial" w:hAnsi="Arial"/>
                <w:sz w:val="13"/>
                <w:szCs w:val="13"/>
                <w:b w:val="1"/>
                <w:bCs w:val="1"/>
                <w:color w:val="auto"/>
                <w:w w:val="99"/>
              </w:rPr>
              <w:t>Pension &amp; OPEB</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6"/>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Costs Associated</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Borders>
              <w:right w:val="single" w:sz="8" w:color="auto"/>
            </w:tcBorders>
            <w:gridSpan w:val="3"/>
          </w:tcPr>
          <w:p>
            <w:pPr>
              <w:jc w:val="center"/>
              <w:ind w:right="4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On-time</w:t>
            </w:r>
          </w:p>
        </w:tc>
        <w:tc>
          <w:tcPr>
            <w:tcW w:w="140" w:type="dxa"/>
            <w:vAlign w:val="bottom"/>
          </w:tcPr>
          <w:p>
            <w:pPr>
              <w:spacing w:after="0"/>
              <w:rPr>
                <w:sz w:val="11"/>
                <w:szCs w:val="11"/>
                <w:color w:val="auto"/>
              </w:rPr>
            </w:pPr>
          </w:p>
        </w:tc>
        <w:tc>
          <w:tcPr>
            <w:tcW w:w="1060" w:type="dxa"/>
            <w:vAlign w:val="bottom"/>
            <w:tcBorders>
              <w:right w:val="single" w:sz="8" w:color="auto"/>
            </w:tcBorders>
          </w:tcPr>
          <w:p>
            <w:pPr>
              <w:spacing w:after="0"/>
              <w:rPr>
                <w:sz w:val="11"/>
                <w:szCs w:val="11"/>
                <w:color w:val="auto"/>
              </w:rPr>
            </w:pPr>
          </w:p>
        </w:tc>
        <w:tc>
          <w:tcPr>
            <w:tcW w:w="20" w:type="dxa"/>
            <w:vAlign w:val="bottom"/>
          </w:tcPr>
          <w:p>
            <w:pPr>
              <w:spacing w:after="0"/>
              <w:rPr>
                <w:sz w:val="11"/>
                <w:szCs w:val="11"/>
                <w:color w:val="auto"/>
              </w:rPr>
            </w:pPr>
          </w:p>
        </w:tc>
      </w:tr>
      <w:tr>
        <w:trPr>
          <w:trHeight w:val="146"/>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4"/>
          </w:tcPr>
          <w:p>
            <w:pPr>
              <w:jc w:val="center"/>
              <w:spacing w:after="0" w:line="146" w:lineRule="exact"/>
              <w:rPr>
                <w:sz w:val="20"/>
                <w:szCs w:val="20"/>
                <w:color w:val="auto"/>
              </w:rPr>
            </w:pPr>
            <w:r>
              <w:rPr>
                <w:rFonts w:ascii="Arial" w:cs="Arial" w:eastAsia="Arial" w:hAnsi="Arial"/>
                <w:sz w:val="13"/>
                <w:szCs w:val="13"/>
                <w:b w:val="1"/>
                <w:bCs w:val="1"/>
                <w:color w:val="auto"/>
                <w:w w:val="99"/>
              </w:rPr>
              <w:t>MTM (Gain) /</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5"/>
          </w:tcPr>
          <w:p>
            <w:pPr>
              <w:ind w:left="200"/>
              <w:spacing w:after="0" w:line="146" w:lineRule="exact"/>
              <w:rPr>
                <w:sz w:val="20"/>
                <w:szCs w:val="20"/>
                <w:color w:val="auto"/>
              </w:rPr>
            </w:pPr>
            <w:r>
              <w:rPr>
                <w:rFonts w:ascii="Arial" w:cs="Arial" w:eastAsia="Arial" w:hAnsi="Arial"/>
                <w:sz w:val="13"/>
                <w:szCs w:val="13"/>
                <w:b w:val="1"/>
                <w:bCs w:val="1"/>
                <w:color w:val="auto"/>
              </w:rPr>
              <w:t>Restructuring</w:t>
            </w:r>
          </w:p>
        </w:tc>
        <w:tc>
          <w:tcPr>
            <w:tcW w:w="900" w:type="dxa"/>
            <w:vAlign w:val="bottom"/>
            <w:gridSpan w:val="4"/>
          </w:tcPr>
          <w:p>
            <w:pPr>
              <w:jc w:val="center"/>
              <w:ind w:left="175"/>
              <w:spacing w:after="0" w:line="146" w:lineRule="exact"/>
              <w:rPr>
                <w:sz w:val="20"/>
                <w:szCs w:val="20"/>
                <w:color w:val="auto"/>
              </w:rPr>
            </w:pPr>
            <w:r>
              <w:rPr>
                <w:rFonts w:ascii="Times New Roman" w:cs="Times New Roman" w:eastAsia="Times New Roman" w:hAnsi="Times New Roman"/>
                <w:sz w:val="13"/>
                <w:szCs w:val="13"/>
                <w:b w:val="1"/>
                <w:bCs w:val="1"/>
                <w:color w:val="auto"/>
              </w:rPr>
              <w:t>with Sale of</w:t>
            </w: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gridSpan w:val="3"/>
          </w:tcPr>
          <w:p>
            <w:pPr>
              <w:jc w:val="right"/>
              <w:ind w:right="40"/>
              <w:spacing w:after="0" w:line="146" w:lineRule="exact"/>
              <w:rPr>
                <w:sz w:val="20"/>
                <w:szCs w:val="20"/>
                <w:color w:val="auto"/>
              </w:rPr>
            </w:pPr>
            <w:r>
              <w:rPr>
                <w:rFonts w:ascii="Times New Roman" w:cs="Times New Roman" w:eastAsia="Times New Roman" w:hAnsi="Times New Roman"/>
                <w:sz w:val="13"/>
                <w:szCs w:val="13"/>
                <w:b w:val="1"/>
                <w:bCs w:val="1"/>
                <w:color w:val="auto"/>
              </w:rPr>
              <w:t>Debt Issuance</w:t>
            </w:r>
          </w:p>
        </w:tc>
        <w:tc>
          <w:tcPr>
            <w:tcW w:w="220" w:type="dxa"/>
            <w:vAlign w:val="bottom"/>
          </w:tcPr>
          <w:p>
            <w:pPr>
              <w:spacing w:after="0"/>
              <w:rPr>
                <w:sz w:val="12"/>
                <w:szCs w:val="12"/>
                <w:color w:val="auto"/>
              </w:rPr>
            </w:pPr>
          </w:p>
        </w:tc>
        <w:tc>
          <w:tcPr>
            <w:tcW w:w="1160" w:type="dxa"/>
            <w:vAlign w:val="bottom"/>
            <w:tcBorders>
              <w:right w:val="single" w:sz="8" w:color="auto"/>
            </w:tcBorders>
            <w:gridSpan w:val="4"/>
          </w:tcPr>
          <w:p>
            <w:pPr>
              <w:jc w:val="center"/>
              <w:ind w:right="300"/>
              <w:spacing w:after="0" w:line="146" w:lineRule="exact"/>
              <w:rPr>
                <w:sz w:val="20"/>
                <w:szCs w:val="20"/>
                <w:color w:val="auto"/>
              </w:rPr>
            </w:pPr>
            <w:r>
              <w:rPr>
                <w:rFonts w:ascii="Times New Roman" w:cs="Times New Roman" w:eastAsia="Times New Roman" w:hAnsi="Times New Roman"/>
                <w:sz w:val="13"/>
                <w:szCs w:val="13"/>
                <w:b w:val="1"/>
                <w:bCs w:val="1"/>
                <w:color w:val="auto"/>
                <w:w w:val="97"/>
              </w:rPr>
              <w:t>Franchise Tax</w:t>
            </w:r>
          </w:p>
        </w:tc>
        <w:tc>
          <w:tcPr>
            <w:tcW w:w="140" w:type="dxa"/>
            <w:vAlign w:val="bottom"/>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r>
      <w:tr>
        <w:trPr>
          <w:trHeight w:val="186"/>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55"/>
              <w:spacing w:after="0"/>
              <w:rPr>
                <w:sz w:val="20"/>
                <w:szCs w:val="20"/>
                <w:color w:val="auto"/>
              </w:rPr>
            </w:pPr>
            <w:r>
              <w:rPr>
                <w:rFonts w:ascii="Arial" w:cs="Arial" w:eastAsia="Arial" w:hAnsi="Arial"/>
                <w:sz w:val="13"/>
                <w:szCs w:val="13"/>
                <w:b w:val="1"/>
                <w:bCs w:val="1"/>
                <w:color w:val="auto"/>
              </w:rPr>
              <w:t>GAAP</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gridSpan w:val="3"/>
          </w:tcPr>
          <w:p>
            <w:pPr>
              <w:jc w:val="center"/>
              <w:ind w:right="175"/>
              <w:spacing w:after="0"/>
              <w:rPr>
                <w:sz w:val="20"/>
                <w:szCs w:val="20"/>
                <w:color w:val="auto"/>
              </w:rPr>
            </w:pPr>
            <w:r>
              <w:rPr>
                <w:rFonts w:ascii="Arial" w:cs="Arial" w:eastAsia="Arial" w:hAnsi="Arial"/>
                <w:sz w:val="13"/>
                <w:szCs w:val="13"/>
                <w:b w:val="1"/>
                <w:bCs w:val="1"/>
                <w:color w:val="auto"/>
                <w:w w:val="98"/>
              </w:rPr>
              <w:t>Loss</w:t>
            </w:r>
          </w:p>
        </w:tc>
        <w:tc>
          <w:tcPr>
            <w:tcW w:w="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95"/>
              <w:spacing w:after="0"/>
              <w:rPr>
                <w:sz w:val="20"/>
                <w:szCs w:val="20"/>
                <w:color w:val="auto"/>
              </w:rPr>
            </w:pPr>
            <w:r>
              <w:rPr>
                <w:rFonts w:ascii="Arial" w:cs="Arial" w:eastAsia="Arial" w:hAnsi="Arial"/>
                <w:sz w:val="13"/>
                <w:szCs w:val="13"/>
                <w:b w:val="1"/>
                <w:bCs w:val="1"/>
                <w:color w:val="auto"/>
              </w:rPr>
              <w:t>Costs</w:t>
            </w:r>
          </w:p>
        </w:tc>
        <w:tc>
          <w:tcPr>
            <w:tcW w:w="220" w:type="dxa"/>
            <w:vAlign w:val="bottom"/>
          </w:tcPr>
          <w:p>
            <w:pPr>
              <w:spacing w:after="0"/>
              <w:rPr>
                <w:sz w:val="16"/>
                <w:szCs w:val="16"/>
                <w:color w:val="auto"/>
              </w:rPr>
            </w:pPr>
          </w:p>
        </w:tc>
        <w:tc>
          <w:tcPr>
            <w:tcW w:w="900" w:type="dxa"/>
            <w:vAlign w:val="bottom"/>
            <w:tcBorders>
              <w:bottom w:val="single" w:sz="8" w:color="auto"/>
            </w:tcBorders>
            <w:gridSpan w:val="4"/>
          </w:tcPr>
          <w:p>
            <w:pPr>
              <w:jc w:val="center"/>
              <w:ind w:left="175"/>
              <w:spacing w:after="0"/>
              <w:rPr>
                <w:sz w:val="20"/>
                <w:szCs w:val="20"/>
                <w:color w:val="auto"/>
              </w:rPr>
            </w:pPr>
            <w:r>
              <w:rPr>
                <w:rFonts w:ascii="Times New Roman" w:cs="Times New Roman" w:eastAsia="Times New Roman" w:hAnsi="Times New Roman"/>
                <w:sz w:val="13"/>
                <w:szCs w:val="13"/>
                <w:b w:val="1"/>
                <w:bCs w:val="1"/>
                <w:color w:val="auto"/>
                <w:w w:val="96"/>
              </w:rPr>
              <w:t>Business</w:t>
            </w:r>
          </w:p>
        </w:tc>
        <w:tc>
          <w:tcPr>
            <w:tcW w:w="2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Costs</w:t>
            </w:r>
          </w:p>
        </w:tc>
        <w:tc>
          <w:tcPr>
            <w:tcW w:w="220" w:type="dxa"/>
            <w:vAlign w:val="bottom"/>
          </w:tcPr>
          <w:p>
            <w:pPr>
              <w:spacing w:after="0"/>
              <w:rPr>
                <w:sz w:val="16"/>
                <w:szCs w:val="16"/>
                <w:color w:val="auto"/>
              </w:rPr>
            </w:pPr>
          </w:p>
        </w:tc>
        <w:tc>
          <w:tcPr>
            <w:tcW w:w="8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Audit Expense</w:t>
            </w:r>
          </w:p>
        </w:tc>
        <w:tc>
          <w:tcPr>
            <w:tcW w:w="280" w:type="dxa"/>
            <w:vAlign w:val="bottom"/>
            <w:tcBorders>
              <w:right w:val="single" w:sz="8" w:color="auto"/>
            </w:tcBorders>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3"/>
                <w:szCs w:val="13"/>
                <w:b w:val="1"/>
                <w:bCs w:val="1"/>
                <w:color w:val="auto"/>
              </w:rPr>
              <w:t>Non-GAAP</w:t>
            </w:r>
          </w:p>
        </w:tc>
        <w:tc>
          <w:tcPr>
            <w:tcW w:w="20" w:type="dxa"/>
            <w:vAlign w:val="bottom"/>
          </w:tcPr>
          <w:p>
            <w:pPr>
              <w:spacing w:after="0"/>
              <w:rPr>
                <w:sz w:val="16"/>
                <w:szCs w:val="16"/>
                <w:color w:val="auto"/>
              </w:rPr>
            </w:pPr>
          </w:p>
        </w:tc>
      </w:tr>
      <w:tr>
        <w:trPr>
          <w:trHeight w:val="269"/>
        </w:trPr>
        <w:tc>
          <w:tcPr>
            <w:tcW w:w="20" w:type="dxa"/>
            <w:vAlign w:val="bottom"/>
          </w:tcPr>
          <w:p>
            <w:pPr>
              <w:spacing w:after="0"/>
              <w:rPr>
                <w:sz w:val="23"/>
                <w:szCs w:val="23"/>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Net Income</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279.2</w:t>
            </w:r>
          </w:p>
        </w:tc>
        <w:tc>
          <w:tcPr>
            <w:tcW w:w="80" w:type="dxa"/>
            <w:vAlign w:val="bottom"/>
          </w:tcPr>
          <w:p>
            <w:pPr>
              <w:spacing w:after="0"/>
              <w:rPr>
                <w:sz w:val="23"/>
                <w:szCs w:val="23"/>
                <w:color w:val="auto"/>
              </w:rPr>
            </w:pPr>
          </w:p>
        </w:tc>
        <w:tc>
          <w:tcPr>
            <w:tcW w:w="400" w:type="dxa"/>
            <w:vAlign w:val="bottom"/>
            <w:gridSpan w:val="2"/>
          </w:tcPr>
          <w:p>
            <w:pPr>
              <w:jc w:val="right"/>
              <w:ind w:right="95"/>
              <w:spacing w:after="0"/>
              <w:rPr>
                <w:sz w:val="20"/>
                <w:szCs w:val="20"/>
                <w:color w:val="auto"/>
              </w:rPr>
            </w:pPr>
            <w:r>
              <w:rPr>
                <w:rFonts w:ascii="Arial" w:cs="Arial" w:eastAsia="Arial" w:hAnsi="Arial"/>
                <w:sz w:val="13"/>
                <w:szCs w:val="13"/>
                <w:color w:val="auto"/>
              </w:rPr>
              <w:t>$</w:t>
            </w: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4.8</w:t>
            </w:r>
          </w:p>
        </w:tc>
        <w:tc>
          <w:tcPr>
            <w:tcW w:w="6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1.7</w:t>
            </w:r>
          </w:p>
        </w:tc>
        <w:tc>
          <w:tcPr>
            <w:tcW w:w="220" w:type="dxa"/>
            <w:vAlign w:val="bottom"/>
          </w:tcPr>
          <w:p>
            <w:pPr>
              <w:spacing w:after="0"/>
              <w:rPr>
                <w:sz w:val="23"/>
                <w:szCs w:val="23"/>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8"/>
              </w:rPr>
              <w:t>2.2</w:t>
            </w:r>
          </w:p>
        </w:tc>
        <w:tc>
          <w:tcPr>
            <w:tcW w:w="240" w:type="dxa"/>
            <w:vAlign w:val="bottom"/>
          </w:tcPr>
          <w:p>
            <w:pPr>
              <w:spacing w:after="0"/>
              <w:rPr>
                <w:sz w:val="23"/>
                <w:szCs w:val="23"/>
                <w:color w:val="auto"/>
              </w:rPr>
            </w:pPr>
          </w:p>
        </w:tc>
        <w:tc>
          <w:tcPr>
            <w:tcW w:w="500" w:type="dxa"/>
            <w:vAlign w:val="bottom"/>
          </w:tcPr>
          <w:p>
            <w:pPr>
              <w:jc w:val="right"/>
              <w:ind w:right="355"/>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0.4</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2.0</w:t>
            </w:r>
          </w:p>
        </w:tc>
        <w:tc>
          <w:tcPr>
            <w:tcW w:w="20" w:type="dxa"/>
            <w:vAlign w:val="bottom"/>
          </w:tcPr>
          <w:p>
            <w:pPr>
              <w:spacing w:after="0"/>
              <w:rPr>
                <w:sz w:val="23"/>
                <w:szCs w:val="23"/>
                <w:color w:val="auto"/>
              </w:rPr>
            </w:pPr>
          </w:p>
        </w:tc>
        <w:tc>
          <w:tcPr>
            <w:tcW w:w="260" w:type="dxa"/>
            <w:vAlign w:val="bottom"/>
            <w:tcBorders>
              <w:right w:val="single" w:sz="8" w:color="auto"/>
            </w:tcBorders>
          </w:tcPr>
          <w:p>
            <w:pPr>
              <w:spacing w:after="0"/>
              <w:rPr>
                <w:sz w:val="23"/>
                <w:szCs w:val="23"/>
                <w:color w:val="auto"/>
              </w:rPr>
            </w:pPr>
          </w:p>
        </w:tc>
        <w:tc>
          <w:tcPr>
            <w:tcW w:w="140" w:type="dxa"/>
            <w:vAlign w:val="bottom"/>
          </w:tcPr>
          <w:p>
            <w:pPr>
              <w:jc w:val="right"/>
              <w:ind w:right="59"/>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290.3</w:t>
            </w:r>
          </w:p>
        </w:tc>
        <w:tc>
          <w:tcPr>
            <w:tcW w:w="20" w:type="dxa"/>
            <w:vAlign w:val="bottom"/>
          </w:tcPr>
          <w:p>
            <w:pPr>
              <w:spacing w:after="0"/>
              <w:rPr>
                <w:sz w:val="23"/>
                <w:szCs w:val="23"/>
                <w:color w:val="auto"/>
              </w:rPr>
            </w:pPr>
          </w:p>
        </w:tc>
      </w:tr>
      <w:tr>
        <w:trPr>
          <w:trHeight w:val="204"/>
        </w:trPr>
        <w:tc>
          <w:tcPr>
            <w:tcW w:w="20" w:type="dxa"/>
            <w:vAlign w:val="bottom"/>
          </w:tcPr>
          <w:p>
            <w:pPr>
              <w:spacing w:after="0"/>
              <w:rPr>
                <w:sz w:val="17"/>
                <w:szCs w:val="17"/>
                <w:color w:val="auto"/>
              </w:rPr>
            </w:pPr>
          </w:p>
        </w:tc>
        <w:tc>
          <w:tcPr>
            <w:tcW w:w="2280" w:type="dxa"/>
            <w:vAlign w:val="bottom"/>
            <w:shd w:val="clear" w:color="auto" w:fill="DBDBDB"/>
          </w:tcPr>
          <w:p>
            <w:pPr>
              <w:spacing w:after="0"/>
              <w:rPr>
                <w:sz w:val="20"/>
                <w:szCs w:val="20"/>
                <w:color w:val="auto"/>
              </w:rPr>
            </w:pPr>
            <w:r>
              <w:rPr>
                <w:rFonts w:ascii="Arial" w:cs="Arial" w:eastAsia="Arial" w:hAnsi="Arial"/>
                <w:sz w:val="13"/>
                <w:szCs w:val="13"/>
                <w:color w:val="auto"/>
              </w:rPr>
              <w:t>Provision for Income Taxes</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83.0</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82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1.6</w:t>
            </w: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900" w:type="dxa"/>
            <w:vAlign w:val="bottom"/>
            <w:gridSpan w:val="3"/>
            <w:shd w:val="clear" w:color="auto" w:fill="DBDBDB"/>
          </w:tcPr>
          <w:p>
            <w:pPr>
              <w:jc w:val="right"/>
              <w:spacing w:after="0"/>
              <w:rPr>
                <w:sz w:val="20"/>
                <w:szCs w:val="20"/>
                <w:color w:val="auto"/>
              </w:rPr>
            </w:pPr>
            <w:r>
              <w:rPr>
                <w:rFonts w:ascii="Arial" w:cs="Arial" w:eastAsia="Arial" w:hAnsi="Arial"/>
                <w:sz w:val="13"/>
                <w:szCs w:val="13"/>
                <w:color w:val="auto"/>
              </w:rPr>
              <w:t>0.6</w:t>
            </w:r>
          </w:p>
        </w:tc>
        <w:tc>
          <w:tcPr>
            <w:tcW w:w="220" w:type="dxa"/>
            <w:vAlign w:val="bottom"/>
            <w:shd w:val="clear" w:color="auto" w:fill="DBDBDB"/>
          </w:tcPr>
          <w:p>
            <w:pPr>
              <w:spacing w:after="0"/>
              <w:rPr>
                <w:sz w:val="17"/>
                <w:szCs w:val="17"/>
                <w:color w:val="auto"/>
              </w:rPr>
            </w:pP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240" w:type="dxa"/>
            <w:vAlign w:val="bottom"/>
            <w:shd w:val="clear" w:color="auto" w:fill="DBDBDB"/>
          </w:tcPr>
          <w:p>
            <w:pPr>
              <w:jc w:val="right"/>
              <w:spacing w:after="0"/>
              <w:rPr>
                <w:sz w:val="20"/>
                <w:szCs w:val="20"/>
                <w:color w:val="auto"/>
              </w:rPr>
            </w:pPr>
            <w:r>
              <w:rPr>
                <w:rFonts w:ascii="Arial" w:cs="Arial" w:eastAsia="Arial" w:hAnsi="Arial"/>
                <w:sz w:val="13"/>
                <w:szCs w:val="13"/>
                <w:color w:val="auto"/>
                <w:w w:val="88"/>
              </w:rPr>
              <w:t>0.7</w:t>
            </w:r>
          </w:p>
        </w:tc>
        <w:tc>
          <w:tcPr>
            <w:tcW w:w="240" w:type="dxa"/>
            <w:vAlign w:val="bottom"/>
            <w:shd w:val="clear" w:color="auto" w:fill="DBDBDB"/>
          </w:tcPr>
          <w:p>
            <w:pPr>
              <w:spacing w:after="0"/>
              <w:rPr>
                <w:sz w:val="17"/>
                <w:szCs w:val="17"/>
                <w:color w:val="auto"/>
              </w:rPr>
            </w:pPr>
          </w:p>
        </w:tc>
        <w:tc>
          <w:tcPr>
            <w:tcW w:w="50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0.1</w:t>
            </w: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0.6</w:t>
            </w:r>
          </w:p>
        </w:tc>
        <w:tc>
          <w:tcPr>
            <w:tcW w:w="20" w:type="dxa"/>
            <w:vAlign w:val="bottom"/>
            <w:shd w:val="clear" w:color="auto" w:fill="DBDBDB"/>
          </w:tcPr>
          <w:p>
            <w:pPr>
              <w:spacing w:after="0"/>
              <w:rPr>
                <w:sz w:val="17"/>
                <w:szCs w:val="17"/>
                <w:color w:val="auto"/>
              </w:rPr>
            </w:pPr>
          </w:p>
        </w:tc>
        <w:tc>
          <w:tcPr>
            <w:tcW w:w="260" w:type="dxa"/>
            <w:vAlign w:val="bottom"/>
            <w:tcBorders>
              <w:right w:val="single" w:sz="8" w:color="auto"/>
            </w:tcBorders>
            <w:shd w:val="clear" w:color="auto" w:fill="DBDBDB"/>
          </w:tcPr>
          <w:p>
            <w:pPr>
              <w:spacing w:after="0"/>
              <w:rPr>
                <w:sz w:val="17"/>
                <w:szCs w:val="17"/>
                <w:color w:val="auto"/>
              </w:rPr>
            </w:pPr>
          </w:p>
        </w:tc>
        <w:tc>
          <w:tcPr>
            <w:tcW w:w="140" w:type="dxa"/>
            <w:vAlign w:val="bottom"/>
            <w:tcBorders>
              <w:left w:val="single" w:sz="8" w:color="DBDBDB"/>
            </w:tcBorders>
            <w:shd w:val="clear" w:color="auto" w:fill="DBDBDB"/>
          </w:tcPr>
          <w:p>
            <w:pPr>
              <w:spacing w:after="0"/>
              <w:rPr>
                <w:sz w:val="17"/>
                <w:szCs w:val="17"/>
                <w:color w:val="auto"/>
              </w:rPr>
            </w:pPr>
          </w:p>
        </w:tc>
        <w:tc>
          <w:tcPr>
            <w:tcW w:w="1060" w:type="dxa"/>
            <w:vAlign w:val="bottom"/>
            <w:tcBorders>
              <w:right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86.5</w:t>
            </w: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Other – net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(34.1)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3"/>
                <w:szCs w:val="13"/>
                <w:color w:val="auto"/>
              </w:rPr>
              <w:t>(6.4)</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(40.5)</w:t>
            </w: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280" w:type="dxa"/>
            <w:vAlign w:val="bottom"/>
            <w:shd w:val="clear" w:color="auto" w:fill="DBDBDB"/>
          </w:tcPr>
          <w:p>
            <w:pPr>
              <w:spacing w:after="0"/>
              <w:rPr>
                <w:sz w:val="20"/>
                <w:szCs w:val="20"/>
                <w:color w:val="auto"/>
              </w:rPr>
            </w:pPr>
            <w:r>
              <w:rPr>
                <w:rFonts w:ascii="Arial" w:cs="Arial" w:eastAsia="Arial" w:hAnsi="Arial"/>
                <w:sz w:val="13"/>
                <w:szCs w:val="13"/>
                <w:color w:val="auto"/>
              </w:rPr>
              <w:t>Interest Expense</w:t>
            </w:r>
          </w:p>
        </w:tc>
        <w:tc>
          <w:tcPr>
            <w:tcW w:w="280" w:type="dxa"/>
            <w:vAlign w:val="bottom"/>
            <w:shd w:val="clear" w:color="auto" w:fill="DBDBDB"/>
          </w:tcPr>
          <w:p>
            <w:pPr>
              <w:spacing w:after="0"/>
              <w:rPr>
                <w:sz w:val="17"/>
                <w:szCs w:val="17"/>
                <w:color w:val="auto"/>
              </w:rPr>
            </w:pPr>
          </w:p>
        </w:tc>
        <w:tc>
          <w:tcPr>
            <w:tcW w:w="740" w:type="dxa"/>
            <w:vAlign w:val="bottom"/>
            <w:shd w:val="clear" w:color="auto" w:fill="DBDBDB"/>
          </w:tcPr>
          <w:p>
            <w:pPr>
              <w:jc w:val="right"/>
              <w:spacing w:after="0"/>
              <w:rPr>
                <w:sz w:val="20"/>
                <w:szCs w:val="20"/>
                <w:color w:val="auto"/>
              </w:rPr>
            </w:pPr>
            <w:r>
              <w:rPr>
                <w:rFonts w:ascii="Arial" w:cs="Arial" w:eastAsia="Arial" w:hAnsi="Arial"/>
                <w:sz w:val="13"/>
                <w:szCs w:val="13"/>
                <w:color w:val="auto"/>
              </w:rPr>
              <w:t>31.0</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580" w:type="dxa"/>
            <w:vAlign w:val="bottom"/>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8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880" w:type="dxa"/>
            <w:vAlign w:val="bottom"/>
            <w:gridSpan w:val="2"/>
            <w:shd w:val="clear" w:color="auto" w:fill="DBDBDB"/>
          </w:tcPr>
          <w:p>
            <w:pPr>
              <w:jc w:val="right"/>
              <w:ind w:right="280"/>
              <w:spacing w:after="0"/>
              <w:rPr>
                <w:sz w:val="20"/>
                <w:szCs w:val="20"/>
                <w:color w:val="auto"/>
              </w:rPr>
            </w:pPr>
            <w:r>
              <w:rPr>
                <w:rFonts w:ascii="Arial" w:cs="Arial" w:eastAsia="Arial" w:hAnsi="Arial"/>
                <w:sz w:val="13"/>
                <w:szCs w:val="13"/>
                <w:color w:val="auto"/>
              </w:rPr>
              <w:t>—</w:t>
            </w:r>
          </w:p>
        </w:tc>
        <w:tc>
          <w:tcPr>
            <w:tcW w:w="400" w:type="dxa"/>
            <w:vAlign w:val="bottom"/>
            <w:shd w:val="clear" w:color="auto" w:fill="DBDBDB"/>
          </w:tcPr>
          <w:p>
            <w:pPr>
              <w:spacing w:after="0"/>
              <w:rPr>
                <w:sz w:val="17"/>
                <w:szCs w:val="17"/>
                <w:color w:val="auto"/>
              </w:rPr>
            </w:pPr>
          </w:p>
        </w:tc>
        <w:tc>
          <w:tcPr>
            <w:tcW w:w="220" w:type="dxa"/>
            <w:vAlign w:val="bottom"/>
            <w:shd w:val="clear" w:color="auto" w:fill="DBDBDB"/>
          </w:tcPr>
          <w:p>
            <w:pPr>
              <w:spacing w:after="0"/>
              <w:rPr>
                <w:sz w:val="17"/>
                <w:szCs w:val="17"/>
                <w:color w:val="auto"/>
              </w:rPr>
            </w:pPr>
          </w:p>
        </w:tc>
        <w:tc>
          <w:tcPr>
            <w:tcW w:w="20" w:type="dxa"/>
            <w:vAlign w:val="bottom"/>
            <w:shd w:val="clear" w:color="auto" w:fill="DBDBDB"/>
          </w:tcPr>
          <w:p>
            <w:pPr>
              <w:spacing w:after="0"/>
              <w:rPr>
                <w:sz w:val="17"/>
                <w:szCs w:val="17"/>
                <w:color w:val="auto"/>
              </w:rPr>
            </w:pPr>
          </w:p>
        </w:tc>
        <w:tc>
          <w:tcPr>
            <w:tcW w:w="260" w:type="dxa"/>
            <w:vAlign w:val="bottom"/>
            <w:shd w:val="clear" w:color="auto" w:fill="DBDBDB"/>
          </w:tcPr>
          <w:p>
            <w:pPr>
              <w:spacing w:after="0"/>
              <w:rPr>
                <w:sz w:val="17"/>
                <w:szCs w:val="17"/>
                <w:color w:val="auto"/>
              </w:rPr>
            </w:pPr>
          </w:p>
        </w:tc>
        <w:tc>
          <w:tcPr>
            <w:tcW w:w="480" w:type="dxa"/>
            <w:vAlign w:val="bottom"/>
            <w:gridSpan w:val="2"/>
            <w:shd w:val="clear" w:color="auto" w:fill="DBDBDB"/>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shd w:val="clear" w:color="auto" w:fill="DBDBDB"/>
          </w:tcPr>
          <w:p>
            <w:pPr>
              <w:spacing w:after="0"/>
              <w:rPr>
                <w:sz w:val="17"/>
                <w:szCs w:val="17"/>
                <w:color w:val="auto"/>
              </w:rPr>
            </w:pPr>
          </w:p>
        </w:tc>
        <w:tc>
          <w:tcPr>
            <w:tcW w:w="340" w:type="dxa"/>
            <w:vAlign w:val="bottom"/>
            <w:gridSpan w:val="2"/>
            <w:shd w:val="clear" w:color="auto" w:fill="DBDBDB"/>
          </w:tcPr>
          <w:p>
            <w:pPr>
              <w:jc w:val="right"/>
              <w:ind w:right="40"/>
              <w:spacing w:after="0"/>
              <w:rPr>
                <w:sz w:val="20"/>
                <w:szCs w:val="20"/>
                <w:color w:val="auto"/>
              </w:rPr>
            </w:pPr>
            <w:r>
              <w:rPr>
                <w:rFonts w:ascii="Arial" w:cs="Arial" w:eastAsia="Arial" w:hAnsi="Arial"/>
                <w:sz w:val="13"/>
                <w:szCs w:val="13"/>
                <w:color w:val="auto"/>
              </w:rPr>
              <w:t>(0.5)</w:t>
            </w:r>
          </w:p>
        </w:tc>
        <w:tc>
          <w:tcPr>
            <w:tcW w:w="220" w:type="dxa"/>
            <w:vAlign w:val="bottom"/>
            <w:shd w:val="clear" w:color="auto" w:fill="DBDBDB"/>
          </w:tcPr>
          <w:p>
            <w:pPr>
              <w:spacing w:after="0"/>
              <w:rPr>
                <w:sz w:val="17"/>
                <w:szCs w:val="17"/>
                <w:color w:val="auto"/>
              </w:rPr>
            </w:pPr>
          </w:p>
        </w:tc>
        <w:tc>
          <w:tcPr>
            <w:tcW w:w="140" w:type="dxa"/>
            <w:vAlign w:val="bottom"/>
            <w:shd w:val="clear" w:color="auto" w:fill="DBDBDB"/>
          </w:tcPr>
          <w:p>
            <w:pPr>
              <w:spacing w:after="0"/>
              <w:rPr>
                <w:sz w:val="17"/>
                <w:szCs w:val="17"/>
                <w:color w:val="auto"/>
              </w:rPr>
            </w:pPr>
          </w:p>
        </w:tc>
        <w:tc>
          <w:tcPr>
            <w:tcW w:w="1020" w:type="dxa"/>
            <w:vAlign w:val="bottom"/>
            <w:tcBorders>
              <w:right w:val="single" w:sz="8" w:color="auto"/>
            </w:tcBorders>
            <w:gridSpan w:val="3"/>
            <w:shd w:val="clear" w:color="auto" w:fill="DBDBDB"/>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DBDBDB"/>
            </w:tcBorders>
            <w:shd w:val="clear" w:color="auto" w:fill="DBDBDB"/>
          </w:tcPr>
          <w:p>
            <w:pPr>
              <w:spacing w:after="0"/>
              <w:rPr>
                <w:sz w:val="17"/>
                <w:szCs w:val="17"/>
                <w:color w:val="auto"/>
              </w:rPr>
            </w:pPr>
          </w:p>
        </w:tc>
        <w:tc>
          <w:tcPr>
            <w:tcW w:w="1060" w:type="dxa"/>
            <w:vAlign w:val="bottom"/>
            <w:tcBorders>
              <w:right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30.5</w:t>
            </w:r>
          </w:p>
        </w:tc>
        <w:tc>
          <w:tcPr>
            <w:tcW w:w="20" w:type="dxa"/>
            <w:vAlign w:val="bottom"/>
          </w:tcPr>
          <w:p>
            <w:pPr>
              <w:spacing w:after="0"/>
              <w:rPr>
                <w:sz w:val="17"/>
                <w:szCs w:val="17"/>
                <w:color w:val="auto"/>
              </w:rPr>
            </w:pPr>
          </w:p>
        </w:tc>
      </w:tr>
      <w:tr>
        <w:trPr>
          <w:trHeight w:val="185"/>
        </w:trPr>
        <w:tc>
          <w:tcPr>
            <w:tcW w:w="20" w:type="dxa"/>
            <w:vAlign w:val="bottom"/>
          </w:tcPr>
          <w:p>
            <w:pPr>
              <w:spacing w:after="0"/>
              <w:rPr>
                <w:sz w:val="16"/>
                <w:szCs w:val="16"/>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Interest Income</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(0.5)</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500" w:type="dxa"/>
            <w:vAlign w:val="bottom"/>
          </w:tcPr>
          <w:p>
            <w:pPr>
              <w:spacing w:after="0"/>
              <w:rPr>
                <w:sz w:val="16"/>
                <w:szCs w:val="16"/>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Borders>
              <w:right w:val="single" w:sz="8" w:color="auto"/>
            </w:tcBorders>
            <w:gridSpan w:val="3"/>
          </w:tcPr>
          <w:p>
            <w:pPr>
              <w:jc w:val="right"/>
              <w:ind w:right="3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tcPr>
          <w:p>
            <w:pPr>
              <w:jc w:val="right"/>
              <w:spacing w:after="0"/>
              <w:rPr>
                <w:sz w:val="20"/>
                <w:szCs w:val="20"/>
                <w:color w:val="auto"/>
              </w:rPr>
            </w:pPr>
            <w:r>
              <w:rPr>
                <w:rFonts w:ascii="Arial" w:cs="Arial" w:eastAsia="Arial" w:hAnsi="Arial"/>
                <w:sz w:val="13"/>
                <w:szCs w:val="13"/>
                <w:color w:val="auto"/>
              </w:rPr>
              <w:t>(0.5)</w:t>
            </w:r>
          </w:p>
        </w:tc>
        <w:tc>
          <w:tcPr>
            <w:tcW w:w="2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280" w:type="dxa"/>
            <w:vAlign w:val="bottom"/>
            <w:shd w:val="clear" w:color="auto" w:fill="DBDBDB"/>
          </w:tcPr>
          <w:p>
            <w:pPr>
              <w:spacing w:after="0"/>
              <w:rPr>
                <w:sz w:val="20"/>
                <w:szCs w:val="20"/>
                <w:color w:val="auto"/>
              </w:rPr>
            </w:pPr>
            <w:r>
              <w:rPr>
                <w:rFonts w:ascii="Arial" w:cs="Arial" w:eastAsia="Arial" w:hAnsi="Arial"/>
                <w:sz w:val="13"/>
                <w:szCs w:val="13"/>
                <w:color w:val="auto"/>
              </w:rPr>
              <w:t>Depreciation &amp; Amortization</w:t>
            </w:r>
          </w:p>
        </w:tc>
        <w:tc>
          <w:tcPr>
            <w:tcW w:w="28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60.7</w:t>
            </w:r>
          </w:p>
        </w:tc>
        <w:tc>
          <w:tcPr>
            <w:tcW w:w="80" w:type="dxa"/>
            <w:vAlign w:val="bottom"/>
            <w:shd w:val="clear" w:color="auto" w:fill="DBDBDB"/>
          </w:tcPr>
          <w:p>
            <w:pPr>
              <w:spacing w:after="0"/>
              <w:rPr>
                <w:sz w:val="17"/>
                <w:szCs w:val="17"/>
                <w:color w:val="auto"/>
              </w:rPr>
            </w:pPr>
          </w:p>
        </w:tc>
        <w:tc>
          <w:tcPr>
            <w:tcW w:w="160" w:type="dxa"/>
            <w:vAlign w:val="bottom"/>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5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0" w:type="dxa"/>
            <w:vAlign w:val="bottom"/>
            <w:tcBorders>
              <w:bottom w:val="single" w:sz="8" w:color="auto"/>
            </w:tcBorders>
            <w:shd w:val="clear" w:color="auto" w:fill="DBDBDB"/>
          </w:tcPr>
          <w:p>
            <w:pPr>
              <w:spacing w:after="0"/>
              <w:rPr>
                <w:sz w:val="17"/>
                <w:szCs w:val="17"/>
                <w:color w:val="auto"/>
              </w:rPr>
            </w:pPr>
          </w:p>
        </w:tc>
        <w:tc>
          <w:tcPr>
            <w:tcW w:w="240" w:type="dxa"/>
            <w:vAlign w:val="bottom"/>
            <w:shd w:val="clear" w:color="auto" w:fill="DBDBDB"/>
          </w:tcPr>
          <w:p>
            <w:pPr>
              <w:spacing w:after="0"/>
              <w:rPr>
                <w:sz w:val="17"/>
                <w:szCs w:val="17"/>
                <w:color w:val="auto"/>
              </w:rPr>
            </w:pPr>
          </w:p>
        </w:tc>
        <w:tc>
          <w:tcPr>
            <w:tcW w:w="38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6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400" w:type="dxa"/>
            <w:vAlign w:val="bottom"/>
            <w:tcBorders>
              <w:bottom w:val="single" w:sz="8" w:color="auto"/>
            </w:tcBorders>
            <w:shd w:val="clear" w:color="auto" w:fill="DBDBDB"/>
          </w:tcPr>
          <w:p>
            <w:pPr>
              <w:spacing w:after="0"/>
              <w:rPr>
                <w:sz w:val="17"/>
                <w:szCs w:val="17"/>
                <w:color w:val="auto"/>
              </w:rPr>
            </w:pPr>
          </w:p>
        </w:tc>
        <w:tc>
          <w:tcPr>
            <w:tcW w:w="220" w:type="dxa"/>
            <w:vAlign w:val="bottom"/>
            <w:tcBorders>
              <w:bottom w:val="single" w:sz="8" w:color="auto"/>
            </w:tcBorders>
            <w:shd w:val="clear" w:color="auto" w:fill="DBDBDB"/>
          </w:tcPr>
          <w:p>
            <w:pPr>
              <w:spacing w:after="0"/>
              <w:rPr>
                <w:sz w:val="17"/>
                <w:szCs w:val="17"/>
                <w:color w:val="auto"/>
              </w:rPr>
            </w:pPr>
          </w:p>
        </w:tc>
        <w:tc>
          <w:tcPr>
            <w:tcW w:w="20" w:type="dxa"/>
            <w:vAlign w:val="bottom"/>
            <w:tcBorders>
              <w:bottom w:val="single" w:sz="8" w:color="auto"/>
            </w:tcBorders>
            <w:shd w:val="clear" w:color="auto" w:fill="DBDBDB"/>
          </w:tcPr>
          <w:p>
            <w:pPr>
              <w:spacing w:after="0"/>
              <w:rPr>
                <w:sz w:val="17"/>
                <w:szCs w:val="17"/>
                <w:color w:val="auto"/>
              </w:rPr>
            </w:pPr>
          </w:p>
        </w:tc>
        <w:tc>
          <w:tcPr>
            <w:tcW w:w="260" w:type="dxa"/>
            <w:vAlign w:val="bottom"/>
            <w:tcBorders>
              <w:bottom w:val="single" w:sz="8" w:color="auto"/>
            </w:tcBorders>
            <w:shd w:val="clear" w:color="auto" w:fill="DBDBDB"/>
          </w:tcPr>
          <w:p>
            <w:pPr>
              <w:spacing w:after="0"/>
              <w:rPr>
                <w:sz w:val="17"/>
                <w:szCs w:val="17"/>
                <w:color w:val="auto"/>
              </w:rPr>
            </w:pPr>
          </w:p>
        </w:tc>
        <w:tc>
          <w:tcPr>
            <w:tcW w:w="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DBDBDB"/>
          </w:tcPr>
          <w:p>
            <w:pPr>
              <w:spacing w:after="0"/>
              <w:rPr>
                <w:sz w:val="17"/>
                <w:szCs w:val="17"/>
                <w:color w:val="auto"/>
              </w:rPr>
            </w:pPr>
          </w:p>
        </w:tc>
        <w:tc>
          <w:tcPr>
            <w:tcW w:w="500" w:type="dxa"/>
            <w:vAlign w:val="bottom"/>
            <w:tcBorders>
              <w:bottom w:val="single" w:sz="8" w:color="auto"/>
            </w:tcBorders>
            <w:shd w:val="clear" w:color="auto" w:fill="DBDBDB"/>
          </w:tcPr>
          <w:p>
            <w:pPr>
              <w:spacing w:after="0"/>
              <w:rPr>
                <w:sz w:val="17"/>
                <w:szCs w:val="17"/>
                <w:color w:val="auto"/>
              </w:rPr>
            </w:pPr>
          </w:p>
        </w:tc>
        <w:tc>
          <w:tcPr>
            <w:tcW w:w="340" w:type="dxa"/>
            <w:vAlign w:val="bottom"/>
            <w:tcBorders>
              <w:bottom w:val="single" w:sz="8" w:color="auto"/>
            </w:tcBorders>
            <w:gridSpan w:val="2"/>
            <w:shd w:val="clear" w:color="auto" w:fill="DBDBDB"/>
          </w:tcPr>
          <w:p>
            <w:pPr>
              <w:jc w:val="right"/>
              <w:ind w:right="80"/>
              <w:spacing w:after="0"/>
              <w:rPr>
                <w:sz w:val="20"/>
                <w:szCs w:val="20"/>
                <w:color w:val="auto"/>
              </w:rPr>
            </w:pPr>
            <w:r>
              <w:rPr>
                <w:rFonts w:ascii="Arial" w:cs="Arial" w:eastAsia="Arial" w:hAnsi="Arial"/>
                <w:sz w:val="13"/>
                <w:szCs w:val="13"/>
                <w:color w:val="auto"/>
              </w:rPr>
              <w:t>—</w:t>
            </w:r>
          </w:p>
        </w:tc>
        <w:tc>
          <w:tcPr>
            <w:tcW w:w="220" w:type="dxa"/>
            <w:vAlign w:val="bottom"/>
            <w:shd w:val="clear" w:color="auto" w:fill="DBDBDB"/>
          </w:tcPr>
          <w:p>
            <w:pPr>
              <w:spacing w:after="0"/>
              <w:rPr>
                <w:sz w:val="17"/>
                <w:szCs w:val="17"/>
                <w:color w:val="auto"/>
              </w:rPr>
            </w:pPr>
          </w:p>
        </w:tc>
        <w:tc>
          <w:tcPr>
            <w:tcW w:w="140" w:type="dxa"/>
            <w:vAlign w:val="bottom"/>
            <w:tcBorders>
              <w:bottom w:val="single" w:sz="8" w:color="auto"/>
            </w:tcBorders>
            <w:shd w:val="clear" w:color="auto" w:fill="DBDBDB"/>
          </w:tcPr>
          <w:p>
            <w:pPr>
              <w:spacing w:after="0"/>
              <w:rPr>
                <w:sz w:val="17"/>
                <w:szCs w:val="17"/>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right w:val="single" w:sz="8" w:color="auto"/>
            </w:tcBorders>
            <w:gridSpan w:val="2"/>
            <w:shd w:val="clear" w:color="auto" w:fill="DBDBDB"/>
          </w:tcPr>
          <w:p>
            <w:pPr>
              <w:spacing w:after="0"/>
              <w:rPr>
                <w:sz w:val="17"/>
                <w:szCs w:val="17"/>
                <w:color w:val="auto"/>
              </w:rPr>
            </w:pPr>
          </w:p>
        </w:tc>
        <w:tc>
          <w:tcPr>
            <w:tcW w:w="140" w:type="dxa"/>
            <w:vAlign w:val="bottom"/>
            <w:tcBorders>
              <w:left w:val="single" w:sz="8" w:color="DBDBDB"/>
              <w:bottom w:val="single" w:sz="8" w:color="auto"/>
            </w:tcBorders>
            <w:shd w:val="clear" w:color="auto" w:fill="DBDBDB"/>
          </w:tcPr>
          <w:p>
            <w:pPr>
              <w:spacing w:after="0"/>
              <w:rPr>
                <w:sz w:val="17"/>
                <w:szCs w:val="17"/>
                <w:color w:val="auto"/>
              </w:rPr>
            </w:pPr>
          </w:p>
        </w:tc>
        <w:tc>
          <w:tcPr>
            <w:tcW w:w="1060" w:type="dxa"/>
            <w:vAlign w:val="bottom"/>
            <w:tcBorders>
              <w:bottom w:val="single" w:sz="8" w:color="auto"/>
              <w:right w:val="single" w:sz="8" w:color="auto"/>
            </w:tcBorders>
            <w:shd w:val="clear" w:color="auto" w:fill="DBDBDB"/>
          </w:tcPr>
          <w:p>
            <w:pPr>
              <w:jc w:val="right"/>
              <w:ind w:right="15"/>
              <w:spacing w:after="0"/>
              <w:rPr>
                <w:sz w:val="20"/>
                <w:szCs w:val="20"/>
                <w:color w:val="auto"/>
              </w:rPr>
            </w:pPr>
            <w:r>
              <w:rPr>
                <w:rFonts w:ascii="Arial" w:cs="Arial" w:eastAsia="Arial" w:hAnsi="Arial"/>
                <w:sz w:val="13"/>
                <w:szCs w:val="13"/>
                <w:color w:val="auto"/>
              </w:rPr>
              <w:t>60.7</w:t>
            </w:r>
          </w:p>
        </w:tc>
        <w:tc>
          <w:tcPr>
            <w:tcW w:w="20" w:type="dxa"/>
            <w:vAlign w:val="bottom"/>
          </w:tcPr>
          <w:p>
            <w:pPr>
              <w:spacing w:after="0"/>
              <w:rPr>
                <w:sz w:val="17"/>
                <w:szCs w:val="17"/>
                <w:color w:val="auto"/>
              </w:rPr>
            </w:pPr>
          </w:p>
        </w:tc>
      </w:tr>
      <w:tr>
        <w:trPr>
          <w:trHeight w:val="179"/>
        </w:trPr>
        <w:tc>
          <w:tcPr>
            <w:tcW w:w="20" w:type="dxa"/>
            <w:vAlign w:val="bottom"/>
          </w:tcPr>
          <w:p>
            <w:pPr>
              <w:spacing w:after="0"/>
              <w:rPr>
                <w:sz w:val="15"/>
                <w:szCs w:val="15"/>
                <w:color w:val="auto"/>
              </w:rPr>
            </w:pPr>
          </w:p>
        </w:tc>
        <w:tc>
          <w:tcPr>
            <w:tcW w:w="2280" w:type="dxa"/>
            <w:vAlign w:val="bottom"/>
          </w:tcPr>
          <w:p>
            <w:pPr>
              <w:spacing w:after="0"/>
              <w:rPr>
                <w:sz w:val="20"/>
                <w:szCs w:val="20"/>
                <w:color w:val="auto"/>
              </w:rPr>
            </w:pPr>
            <w:r>
              <w:rPr>
                <w:rFonts w:ascii="Arial" w:cs="Arial" w:eastAsia="Arial" w:hAnsi="Arial"/>
                <w:sz w:val="13"/>
                <w:szCs w:val="13"/>
                <w:color w:val="auto"/>
              </w:rPr>
              <w:t>Adjusted EBITDA</w:t>
            </w:r>
          </w:p>
        </w:tc>
        <w:tc>
          <w:tcPr>
            <w:tcW w:w="280" w:type="dxa"/>
            <w:vAlign w:val="bottom"/>
          </w:tcPr>
          <w:p>
            <w:pPr>
              <w:jc w:val="right"/>
              <w:ind w:right="115"/>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419.2</w:t>
            </w:r>
          </w:p>
        </w:tc>
        <w:tc>
          <w:tcPr>
            <w:tcW w:w="80" w:type="dxa"/>
            <w:vAlign w:val="bottom"/>
          </w:tcPr>
          <w:p>
            <w:pPr>
              <w:spacing w:after="0"/>
              <w:rPr>
                <w:sz w:val="15"/>
                <w:szCs w:val="15"/>
                <w:color w:val="auto"/>
              </w:rPr>
            </w:pPr>
          </w:p>
        </w:tc>
        <w:tc>
          <w:tcPr>
            <w:tcW w:w="400" w:type="dxa"/>
            <w:vAlign w:val="bottom"/>
            <w:gridSpan w:val="2"/>
          </w:tcPr>
          <w:p>
            <w:pPr>
              <w:jc w:val="right"/>
              <w:ind w:right="9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gridSpan w:val="3"/>
          </w:tcPr>
          <w:p>
            <w:pPr>
              <w:ind w:left="260"/>
              <w:spacing w:after="0"/>
              <w:rPr>
                <w:sz w:val="20"/>
                <w:szCs w:val="20"/>
                <w:color w:val="auto"/>
              </w:rPr>
            </w:pPr>
            <w:r>
              <w:rPr>
                <w:rFonts w:ascii="Arial" w:cs="Arial" w:eastAsia="Arial" w:hAnsi="Arial"/>
                <w:sz w:val="13"/>
                <w:szCs w:val="13"/>
                <w:color w:val="auto"/>
              </w:rPr>
              <w:t>$</w:t>
            </w:r>
          </w:p>
        </w:tc>
        <w:tc>
          <w:tcPr>
            <w:tcW w:w="900" w:type="dxa"/>
            <w:vAlign w:val="bottom"/>
            <w:gridSpan w:val="3"/>
          </w:tcPr>
          <w:p>
            <w:pPr>
              <w:jc w:val="right"/>
              <w:spacing w:after="0"/>
              <w:rPr>
                <w:sz w:val="20"/>
                <w:szCs w:val="20"/>
                <w:color w:val="auto"/>
              </w:rPr>
            </w:pPr>
            <w:r>
              <w:rPr>
                <w:rFonts w:ascii="Arial" w:cs="Arial" w:eastAsia="Arial" w:hAnsi="Arial"/>
                <w:sz w:val="13"/>
                <w:szCs w:val="13"/>
                <w:color w:val="auto"/>
              </w:rPr>
              <w:t>2.3</w:t>
            </w:r>
          </w:p>
        </w:tc>
        <w:tc>
          <w:tcPr>
            <w:tcW w:w="220" w:type="dxa"/>
            <w:vAlign w:val="bottom"/>
          </w:tcPr>
          <w:p>
            <w:pPr>
              <w:spacing w:after="0"/>
              <w:rPr>
                <w:sz w:val="15"/>
                <w:szCs w:val="15"/>
                <w:color w:val="auto"/>
              </w:rPr>
            </w:pPr>
          </w:p>
        </w:tc>
        <w:tc>
          <w:tcPr>
            <w:tcW w:w="400" w:type="dxa"/>
            <w:vAlign w:val="bottom"/>
          </w:tcPr>
          <w:p>
            <w:pPr>
              <w:jc w:val="right"/>
              <w:ind w:right="23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w w:val="88"/>
              </w:rPr>
              <w:t>2.9</w:t>
            </w:r>
          </w:p>
        </w:tc>
        <w:tc>
          <w:tcPr>
            <w:tcW w:w="240" w:type="dxa"/>
            <w:vAlign w:val="bottom"/>
          </w:tcPr>
          <w:p>
            <w:pPr>
              <w:spacing w:after="0"/>
              <w:rPr>
                <w:sz w:val="15"/>
                <w:szCs w:val="15"/>
                <w:color w:val="auto"/>
              </w:rPr>
            </w:pPr>
          </w:p>
        </w:tc>
        <w:tc>
          <w:tcPr>
            <w:tcW w:w="500" w:type="dxa"/>
            <w:vAlign w:val="bottom"/>
          </w:tcPr>
          <w:p>
            <w:pPr>
              <w:jc w:val="right"/>
              <w:ind w:right="355"/>
              <w:spacing w:after="0"/>
              <w:rPr>
                <w:sz w:val="20"/>
                <w:szCs w:val="20"/>
                <w:color w:val="auto"/>
              </w:rPr>
            </w:pPr>
            <w:r>
              <w:rPr>
                <w:rFonts w:ascii="Arial" w:cs="Arial" w:eastAsia="Arial" w:hAnsi="Arial"/>
                <w:sz w:val="13"/>
                <w:szCs w:val="13"/>
                <w:color w:val="auto"/>
                <w:w w:val="82"/>
              </w:rPr>
              <w:t>$</w:t>
            </w:r>
          </w:p>
        </w:tc>
        <w:tc>
          <w:tcPr>
            <w:tcW w:w="3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360" w:type="dxa"/>
            <w:vAlign w:val="bottom"/>
            <w:gridSpan w:val="2"/>
          </w:tcPr>
          <w:p>
            <w:pPr>
              <w:ind w:left="240"/>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2.6</w:t>
            </w:r>
          </w:p>
        </w:tc>
        <w:tc>
          <w:tcPr>
            <w:tcW w:w="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140" w:type="dxa"/>
            <w:vAlign w:val="bottom"/>
          </w:tcPr>
          <w:p>
            <w:pPr>
              <w:jc w:val="right"/>
              <w:ind w:right="59"/>
              <w:spacing w:after="0"/>
              <w:rPr>
                <w:sz w:val="20"/>
                <w:szCs w:val="20"/>
                <w:color w:val="auto"/>
              </w:rPr>
            </w:pPr>
            <w:r>
              <w:rPr>
                <w:rFonts w:ascii="Arial" w:cs="Arial" w:eastAsia="Arial" w:hAnsi="Arial"/>
                <w:sz w:val="5"/>
                <w:szCs w:val="5"/>
                <w:color w:val="auto"/>
                <w:w w:val="70"/>
              </w:rPr>
              <w:t>$</w:t>
            </w:r>
          </w:p>
        </w:tc>
        <w:tc>
          <w:tcPr>
            <w:tcW w:w="1060" w:type="dxa"/>
            <w:vAlign w:val="bottom"/>
            <w:tcBorders>
              <w:right w:val="single" w:sz="8" w:color="auto"/>
            </w:tcBorders>
          </w:tcPr>
          <w:p>
            <w:pPr>
              <w:jc w:val="right"/>
              <w:ind w:right="15"/>
              <w:spacing w:after="0"/>
              <w:rPr>
                <w:sz w:val="20"/>
                <w:szCs w:val="20"/>
                <w:color w:val="auto"/>
              </w:rPr>
            </w:pPr>
            <w:r>
              <w:rPr>
                <w:rFonts w:ascii="Arial" w:cs="Arial" w:eastAsia="Arial" w:hAnsi="Arial"/>
                <w:sz w:val="13"/>
                <w:szCs w:val="13"/>
                <w:color w:val="auto"/>
              </w:rPr>
              <w:t>427.0</w:t>
            </w:r>
          </w:p>
        </w:tc>
        <w:tc>
          <w:tcPr>
            <w:tcW w:w="20" w:type="dxa"/>
            <w:vAlign w:val="bottom"/>
          </w:tcPr>
          <w:p>
            <w:pPr>
              <w:spacing w:after="0"/>
              <w:rPr>
                <w:sz w:val="15"/>
                <w:szCs w:val="15"/>
                <w:color w:val="auto"/>
              </w:rPr>
            </w:pPr>
          </w:p>
        </w:tc>
      </w:tr>
      <w:tr>
        <w:trPr>
          <w:trHeight w:val="24"/>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66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20" w:type="dxa"/>
            <w:vAlign w:val="bottom"/>
            <w:tcBorders>
              <w:top w:val="single" w:sz="8" w:color="auto"/>
              <w:bottom w:val="single" w:sz="8" w:color="auto"/>
            </w:tcBorders>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240" w:type="dxa"/>
            <w:vAlign w:val="bottom"/>
            <w:tcBorders>
              <w:top w:val="single" w:sz="8" w:color="auto"/>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top w:val="single" w:sz="8" w:color="auto"/>
              <w:bottom w:val="single" w:sz="8" w:color="auto"/>
            </w:tcBorders>
          </w:tcPr>
          <w:p>
            <w:pPr>
              <w:spacing w:after="0"/>
              <w:rPr>
                <w:sz w:val="2"/>
                <w:szCs w:val="2"/>
                <w:color w:val="auto"/>
              </w:rPr>
            </w:pPr>
          </w:p>
        </w:tc>
        <w:tc>
          <w:tcPr>
            <w:tcW w:w="220" w:type="dxa"/>
            <w:vAlign w:val="bottom"/>
            <w:tcBorders>
              <w:top w:val="single" w:sz="8" w:color="auto"/>
              <w:bottom w:val="single" w:sz="8" w:color="auto"/>
            </w:tcBorders>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4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60" w:type="dxa"/>
            <w:vAlign w:val="bottom"/>
            <w:tcBorders>
              <w:top w:val="single" w:sz="8" w:color="auto"/>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33" w:lineRule="exact"/>
        <w:rPr>
          <w:sz w:val="20"/>
          <w:szCs w:val="20"/>
          <w:color w:val="auto"/>
        </w:rPr>
      </w:pPr>
    </w:p>
    <w:p>
      <w:pPr>
        <w:ind w:left="380" w:hanging="348"/>
        <w:spacing w:after="0"/>
        <w:tabs>
          <w:tab w:leader="none" w:pos="3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May not foot due to rounding.</w:t>
      </w:r>
    </w:p>
    <w:p>
      <w:pPr>
        <w:spacing w:after="0" w:line="33" w:lineRule="exact"/>
        <w:rPr>
          <w:rFonts w:ascii="Arial" w:cs="Arial" w:eastAsia="Arial" w:hAnsi="Arial"/>
          <w:sz w:val="13"/>
          <w:szCs w:val="13"/>
          <w:color w:val="auto"/>
        </w:rPr>
      </w:pPr>
    </w:p>
    <w:p>
      <w:pPr>
        <w:ind w:left="380" w:hanging="348"/>
        <w:spacing w:after="0" w:line="228" w:lineRule="auto"/>
        <w:tabs>
          <w:tab w:leader="none" w:pos="380" w:val="left"/>
        </w:tabs>
        <w:numPr>
          <w:ilvl w:val="0"/>
          <w:numId w:val="92"/>
        </w:numPr>
        <w:rPr>
          <w:rFonts w:ascii="Arial" w:cs="Arial" w:eastAsia="Arial" w:hAnsi="Arial"/>
          <w:sz w:val="13"/>
          <w:szCs w:val="13"/>
          <w:color w:val="auto"/>
        </w:rPr>
      </w:pPr>
      <w:r>
        <w:rPr>
          <w:rFonts w:ascii="Arial" w:cs="Arial" w:eastAsia="Arial" w:hAnsi="Arial"/>
          <w:sz w:val="13"/>
          <w:szCs w:val="13"/>
          <w:color w:val="auto"/>
        </w:rPr>
        <w:t>BWXT is providing non-GAAP information regarding certain of its historical results to supplement the results provided in accordance with GAAP and it should not be considered superior to, or as a substitute for, the comparable GAAP measures. BWXT believes the non-GAAP measures provide meaningful insight into the Company’s operational performance and provides these measures to investors to help facilitate comparisons of operating results with prior periods and to assist them in understanding BWXT’s ongoing operations.</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A-2 </w:t>
      </w:r>
      <w:r>
        <w:rPr>
          <w:sz w:val="1"/>
          <w:szCs w:val="1"/>
          <w:color w:val="auto"/>
        </w:rPr>
        <w:drawing>
          <wp:inline distT="0" distB="0" distL="0" distR="0">
            <wp:extent cx="401955" cy="162560"/>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1955" cy="162560"/>
                    </a:xfrm>
                    <a:prstGeom prst="rect">
                      <a:avLst/>
                    </a:prstGeom>
                    <a:noFill/>
                    <a:ln>
                      <a:noFill/>
                    </a:ln>
                  </pic:spPr>
                </pic:pic>
              </a:graphicData>
            </a:graphic>
          </wp:inline>
        </w:drawing>
      </w:r>
      <w:r>
        <w:rPr>
          <w:rFonts w:ascii="Arial" w:cs="Arial" w:eastAsia="Arial" w:hAnsi="Arial"/>
          <w:sz w:val="16"/>
          <w:szCs w:val="16"/>
          <w:color w:val="auto"/>
        </w:rPr>
        <w:t xml:space="preserve"> 2023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81915</wp:posOffset>
            </wp:positionV>
            <wp:extent cx="7171055" cy="406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1055" cy="40640"/>
                    </a:xfrm>
                    <a:prstGeom prst="rect">
                      <a:avLst/>
                    </a:prstGeom>
                    <a:noFill/>
                  </pic:spPr>
                </pic:pic>
              </a:graphicData>
            </a:graphic>
          </wp:anchor>
        </w:drawing>
      </w:r>
    </w:p>
    <w:p>
      <w:pPr>
        <w:sectPr>
          <w:pgSz w:w="11900" w:h="16838" w:orient="portrait"/>
          <w:cols w:equalWidth="0" w:num="1">
            <w:col w:w="11220"/>
          </w:cols>
          <w:pgMar w:left="320" w:top="123" w:right="359" w:bottom="1440" w:gutter="0" w:footer="0" w:header="0"/>
        </w:sectPr>
      </w:pPr>
    </w:p>
    <w:bookmarkStart w:id="73" w:name="page74"/>
    <w:bookmarkEnd w:id="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209550</wp:posOffset>
            </wp:positionH>
            <wp:positionV relativeFrom="page">
              <wp:posOffset>831215</wp:posOffset>
            </wp:positionV>
            <wp:extent cx="1299210" cy="69596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1299210" cy="69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BWX TECHNOLOGIES, INC.</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800 MAIN STREET, 4TH FLOOR</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LYNCHBURG, VIRGINIA 24504</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 xml:space="preserve">VOTE BY INTERNET - </w:t>
      </w:r>
      <w:r>
        <w:rPr>
          <w:rFonts w:ascii="Times New Roman" w:cs="Times New Roman" w:eastAsia="Times New Roman" w:hAnsi="Times New Roman"/>
          <w:sz w:val="13"/>
          <w:szCs w:val="13"/>
          <w:b w:val="1"/>
          <w:bCs w:val="1"/>
          <w:u w:val="single" w:color="auto"/>
          <w:color w:val="auto"/>
        </w:rPr>
        <w:t>www.proxyvote.com</w:t>
      </w:r>
    </w:p>
    <w:p>
      <w:pPr>
        <w:ind w:right="40"/>
        <w:spacing w:after="0" w:line="215" w:lineRule="auto"/>
        <w:rPr>
          <w:sz w:val="20"/>
          <w:szCs w:val="20"/>
          <w:color w:val="auto"/>
        </w:rPr>
      </w:pPr>
      <w:r>
        <w:rPr>
          <w:rFonts w:ascii="Times New Roman" w:cs="Times New Roman" w:eastAsia="Times New Roman" w:hAnsi="Times New Roman"/>
          <w:sz w:val="13"/>
          <w:szCs w:val="13"/>
          <w:color w:val="auto"/>
        </w:rPr>
        <w:t>Use the Internet to transmit your voting instructions and for electronic delivery of information up until 11:59 p.m. Eastern Time on May 2, 2023 (April 26, 2023 for participants in BWXT Thrift Plan). Have your proxy</w:t>
      </w:r>
    </w:p>
    <w:p>
      <w:pPr>
        <w:ind w:right="40"/>
        <w:spacing w:after="0" w:line="221" w:lineRule="auto"/>
        <w:rPr>
          <w:sz w:val="20"/>
          <w:szCs w:val="20"/>
          <w:color w:val="auto"/>
        </w:rPr>
      </w:pPr>
      <w:r>
        <w:rPr>
          <w:rFonts w:ascii="Times New Roman" w:cs="Times New Roman" w:eastAsia="Times New Roman" w:hAnsi="Times New Roman"/>
          <w:sz w:val="13"/>
          <w:szCs w:val="13"/>
          <w:color w:val="auto"/>
        </w:rPr>
        <w:t>card in hand when you access the web site and follow the instructions to obtain your records and to create an electronic voting instruction form.</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ELECTRONIC DELIVERY OF FUTURE PROXY MATERIALS</w:t>
      </w:r>
    </w:p>
    <w:p>
      <w:pPr>
        <w:jc w:val="both"/>
        <w:ind w:right="40"/>
        <w:spacing w:after="0" w:line="205" w:lineRule="auto"/>
        <w:rPr>
          <w:sz w:val="20"/>
          <w:szCs w:val="20"/>
          <w:color w:val="auto"/>
        </w:rPr>
      </w:pPr>
      <w:r>
        <w:rPr>
          <w:rFonts w:ascii="Times New Roman" w:cs="Times New Roman" w:eastAsia="Times New Roman" w:hAnsi="Times New Roman"/>
          <w:sz w:val="13"/>
          <w:szCs w:val="13"/>
          <w:color w:val="auto"/>
        </w:rPr>
        <w:t>If you would like to reduce the costs incurred by our company in mailing proxy materials, you can consent to receiving all future proxy statements, proxy cards and annual reports electronically via e-mail or the Internet.</w:t>
      </w:r>
    </w:p>
    <w:p>
      <w:pPr>
        <w:ind w:right="40"/>
        <w:spacing w:after="0" w:line="230" w:lineRule="auto"/>
        <w:rPr>
          <w:sz w:val="20"/>
          <w:szCs w:val="20"/>
          <w:color w:val="auto"/>
        </w:rPr>
      </w:pPr>
      <w:r>
        <w:rPr>
          <w:rFonts w:ascii="Times New Roman" w:cs="Times New Roman" w:eastAsia="Times New Roman" w:hAnsi="Times New Roman"/>
          <w:sz w:val="13"/>
          <w:szCs w:val="13"/>
          <w:color w:val="auto"/>
        </w:rPr>
        <w:t>To sign up for electronic delivery, please follow the instructions above to vote using the Internet and, when prompted, indicate that you agree to receive or access proxy materials electronically in future years.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PHONE - 1-800-690-6903</w:t>
      </w:r>
    </w:p>
    <w:p>
      <w:pPr>
        <w:spacing w:after="0" w:line="215" w:lineRule="auto"/>
        <w:rPr>
          <w:sz w:val="20"/>
          <w:szCs w:val="20"/>
          <w:color w:val="auto"/>
        </w:rPr>
      </w:pPr>
      <w:r>
        <w:rPr>
          <w:rFonts w:ascii="Times New Roman" w:cs="Times New Roman" w:eastAsia="Times New Roman" w:hAnsi="Times New Roman"/>
          <w:sz w:val="13"/>
          <w:szCs w:val="13"/>
          <w:color w:val="auto"/>
        </w:rPr>
        <w:t>Use any touch-tone telephone to transmit your voting instructions up until 11:59 p.m. Eastern Time on May 2,</w:t>
      </w:r>
    </w:p>
    <w:p>
      <w:pPr>
        <w:spacing w:after="0" w:line="1" w:lineRule="exact"/>
        <w:rPr>
          <w:sz w:val="20"/>
          <w:szCs w:val="20"/>
          <w:color w:val="auto"/>
        </w:rPr>
      </w:pPr>
    </w:p>
    <w:p>
      <w:pPr>
        <w:ind w:right="40"/>
        <w:spacing w:after="0" w:line="221" w:lineRule="auto"/>
        <w:rPr>
          <w:sz w:val="20"/>
          <w:szCs w:val="20"/>
          <w:color w:val="auto"/>
        </w:rPr>
      </w:pPr>
      <w:r>
        <w:rPr>
          <w:rFonts w:ascii="Times New Roman" w:cs="Times New Roman" w:eastAsia="Times New Roman" w:hAnsi="Times New Roman"/>
          <w:sz w:val="13"/>
          <w:szCs w:val="13"/>
          <w:color w:val="auto"/>
        </w:rPr>
        <w:t>2023 (April 26, 2023 for participants in BWXT Thrift Plan). Have your proxy card in hand when you call and then follow the instructions.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VOTE BY MAIL</w:t>
      </w:r>
    </w:p>
    <w:p>
      <w:pPr>
        <w:ind w:right="40"/>
        <w:spacing w:after="0" w:line="221" w:lineRule="auto"/>
        <w:rPr>
          <w:sz w:val="20"/>
          <w:szCs w:val="20"/>
          <w:color w:val="auto"/>
        </w:rPr>
      </w:pPr>
      <w:r>
        <w:rPr>
          <w:rFonts w:ascii="Times New Roman" w:cs="Times New Roman" w:eastAsia="Times New Roman" w:hAnsi="Times New Roman"/>
          <w:sz w:val="13"/>
          <w:szCs w:val="13"/>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4700" w:space="720"/>
            <w:col w:w="5800"/>
          </w:cols>
          <w:pgMar w:left="340" w:top="1440" w:right="3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right"/>
        <w:spacing w:after="0" w:line="342" w:lineRule="auto"/>
        <w:rPr>
          <w:sz w:val="20"/>
          <w:szCs w:val="20"/>
          <w:color w:val="auto"/>
        </w:rPr>
      </w:pPr>
      <w:r>
        <w:rPr>
          <w:rFonts w:ascii="Times New Roman" w:cs="Times New Roman" w:eastAsia="Times New Roman" w:hAnsi="Times New Roman"/>
          <w:sz w:val="13"/>
          <w:szCs w:val="13"/>
          <w:color w:val="auto"/>
        </w:rPr>
        <w:t>TO VOTE, MARK BLOCKS BELOW IN BLUE OR BLACK INK AS FOLLOWS:                                                                KEEP THIS PORTION FOR YOUR RECORDS 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-161290</wp:posOffset>
            </wp:positionV>
            <wp:extent cx="7171055" cy="330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1055" cy="33020"/>
                    </a:xfrm>
                    <a:prstGeom prst="rect">
                      <a:avLst/>
                    </a:prstGeom>
                    <a:noFill/>
                  </pic:spPr>
                </pic:pic>
              </a:graphicData>
            </a:graphic>
          </wp:anchor>
        </w:drawing>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27305</wp:posOffset>
            </wp:positionV>
            <wp:extent cx="713041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0415" cy="762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b w:val="1"/>
          <w:bCs w:val="1"/>
          <w:color w:val="auto"/>
        </w:rPr>
        <w:t>BWX TECHNOLOGIES, INC.</w:t>
      </w:r>
    </w:p>
    <w:p>
      <w:pPr>
        <w:spacing w:after="0" w:line="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each director nominee in Proposal 1.</w:t>
      </w:r>
    </w:p>
    <w:p>
      <w:pPr>
        <w:sectPr>
          <w:pgSz w:w="11900" w:h="16838" w:orient="portrait"/>
          <w:cols w:equalWidth="0" w:num="1">
            <w:col w:w="11220"/>
          </w:cols>
          <w:pgMar w:left="340" w:top="1440" w:right="339" w:bottom="1440" w:gutter="0" w:footer="0" w:header="0"/>
          <w:type w:val="continuous"/>
        </w:sectPr>
      </w:pPr>
    </w:p>
    <w:p>
      <w:pPr>
        <w:spacing w:after="0" w:line="34" w:lineRule="exact"/>
        <w:rPr>
          <w:sz w:val="20"/>
          <w:szCs w:val="20"/>
          <w:color w:val="auto"/>
        </w:rPr>
      </w:pPr>
    </w:p>
    <w:p>
      <w:pPr>
        <w:ind w:left="460" w:hanging="288"/>
        <w:spacing w:after="0"/>
        <w:tabs>
          <w:tab w:leader="none" w:pos="460" w:val="left"/>
        </w:tabs>
        <w:numPr>
          <w:ilvl w:val="0"/>
          <w:numId w:val="9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Election of nine director nominees named below to hold</w:t>
      </w:r>
    </w:p>
    <w:tbl>
      <w:tblPr>
        <w:tblLayout w:type="fixed"/>
        <w:tblInd w:w="460" w:type="dxa"/>
        <w:tblCellMar>
          <w:top w:w="0" w:type="dxa"/>
          <w:left w:w="0" w:type="dxa"/>
          <w:bottom w:w="0" w:type="dxa"/>
          <w:right w:w="0" w:type="dxa"/>
        </w:tblCellMar>
      </w:tblPr>
      <w:tr>
        <w:trPr>
          <w:trHeight w:val="157"/>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office until the Annual Meeting of Stockholders for 2024:</w:t>
            </w:r>
          </w:p>
        </w:tc>
        <w:tc>
          <w:tcPr>
            <w:tcW w:w="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For</w:t>
            </w:r>
          </w:p>
        </w:tc>
        <w:tc>
          <w:tcPr>
            <w:tcW w:w="740" w:type="dxa"/>
            <w:vAlign w:val="bottom"/>
          </w:tcPr>
          <w:p>
            <w:pPr>
              <w:jc w:val="center"/>
              <w:ind w:left="16"/>
              <w:spacing w:after="0"/>
              <w:rPr>
                <w:sz w:val="20"/>
                <w:szCs w:val="20"/>
                <w:color w:val="auto"/>
              </w:rPr>
            </w:pPr>
            <w:r>
              <w:rPr>
                <w:rFonts w:ascii="Times New Roman" w:cs="Times New Roman" w:eastAsia="Times New Roman" w:hAnsi="Times New Roman"/>
                <w:sz w:val="11"/>
                <w:szCs w:val="11"/>
                <w:b w:val="1"/>
                <w:bCs w:val="1"/>
                <w:color w:val="auto"/>
              </w:rPr>
              <w:t>Against</w:t>
            </w:r>
          </w:p>
        </w:tc>
        <w:tc>
          <w:tcPr>
            <w:tcW w:w="620" w:type="dxa"/>
            <w:vAlign w:val="bottom"/>
          </w:tcPr>
          <w:p>
            <w:pPr>
              <w:jc w:val="center"/>
              <w:ind w:left="16"/>
              <w:spacing w:after="0"/>
              <w:rPr>
                <w:sz w:val="20"/>
                <w:szCs w:val="20"/>
                <w:color w:val="auto"/>
              </w:rPr>
            </w:pPr>
            <w:r>
              <w:rPr>
                <w:rFonts w:ascii="Times New Roman" w:cs="Times New Roman" w:eastAsia="Times New Roman" w:hAnsi="Times New Roman"/>
                <w:sz w:val="11"/>
                <w:szCs w:val="11"/>
                <w:b w:val="1"/>
                <w:bCs w:val="1"/>
                <w:color w:val="auto"/>
              </w:rPr>
              <w:t>Abstain</w:t>
            </w:r>
          </w:p>
        </w:tc>
        <w:tc>
          <w:tcPr>
            <w:tcW w:w="1300" w:type="dxa"/>
            <w:vAlign w:val="bottom"/>
          </w:tcPr>
          <w:p>
            <w:pPr>
              <w:spacing w:after="0"/>
              <w:rPr>
                <w:sz w:val="13"/>
                <w:szCs w:val="13"/>
                <w:color w:val="auto"/>
              </w:rPr>
            </w:pPr>
          </w:p>
        </w:tc>
      </w:tr>
      <w:tr>
        <w:trPr>
          <w:trHeight w:val="168"/>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9"/>
              </w:rPr>
              <w:t>1a.</w:t>
            </w: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Jan A. Bertsch</w:t>
            </w:r>
          </w:p>
        </w:tc>
        <w:tc>
          <w:tcPr>
            <w:tcW w:w="520" w:type="dxa"/>
            <w:vAlign w:val="bottom"/>
          </w:tcPr>
          <w:p>
            <w:pPr>
              <w:jc w:val="center"/>
              <w:spacing w:after="0"/>
              <w:rPr>
                <w:sz w:val="20"/>
                <w:szCs w:val="20"/>
                <w:color w:val="auto"/>
              </w:rPr>
            </w:pPr>
            <w:r>
              <w:rPr>
                <w:rFonts w:ascii="Wingdings" w:cs="Wingdings" w:eastAsia="Wingdings" w:hAnsi="Wingdings"/>
                <w:sz w:val="13"/>
                <w:szCs w:val="13"/>
                <w:b w:val="1"/>
                <w:bCs w:val="1"/>
                <w:color w:val="auto"/>
                <w:w w:val="85"/>
              </w:rPr>
              <w:t>q</w:t>
            </w:r>
          </w:p>
        </w:tc>
        <w:tc>
          <w:tcPr>
            <w:tcW w:w="74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62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1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1f. Leland D. Melvin</w:t>
            </w:r>
          </w:p>
        </w:tc>
      </w:tr>
      <w:tr>
        <w:trPr>
          <w:trHeight w:val="183"/>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1b. Gerhard F. Burbach</w:t>
            </w:r>
          </w:p>
        </w:tc>
        <w:tc>
          <w:tcPr>
            <w:tcW w:w="520" w:type="dxa"/>
            <w:vAlign w:val="bottom"/>
          </w:tcPr>
          <w:p>
            <w:pPr>
              <w:jc w:val="center"/>
              <w:spacing w:after="0"/>
              <w:rPr>
                <w:sz w:val="20"/>
                <w:szCs w:val="20"/>
                <w:color w:val="auto"/>
              </w:rPr>
            </w:pPr>
            <w:r>
              <w:rPr>
                <w:rFonts w:ascii="Wingdings" w:cs="Wingdings" w:eastAsia="Wingdings" w:hAnsi="Wingdings"/>
                <w:sz w:val="13"/>
                <w:szCs w:val="13"/>
                <w:b w:val="1"/>
                <w:bCs w:val="1"/>
                <w:color w:val="auto"/>
                <w:w w:val="85"/>
              </w:rPr>
              <w:t>q</w:t>
            </w:r>
          </w:p>
        </w:tc>
        <w:tc>
          <w:tcPr>
            <w:tcW w:w="74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62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1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1g. Robert L. Nardelli</w:t>
            </w:r>
          </w:p>
        </w:tc>
      </w:t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9"/>
              </w:rPr>
              <w:t>1c.</w:t>
            </w: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Rex D. Geveden</w:t>
            </w:r>
          </w:p>
        </w:tc>
        <w:tc>
          <w:tcPr>
            <w:tcW w:w="520" w:type="dxa"/>
            <w:vAlign w:val="bottom"/>
          </w:tcPr>
          <w:p>
            <w:pPr>
              <w:jc w:val="center"/>
              <w:spacing w:after="0"/>
              <w:rPr>
                <w:sz w:val="20"/>
                <w:szCs w:val="20"/>
                <w:color w:val="auto"/>
              </w:rPr>
            </w:pPr>
            <w:r>
              <w:rPr>
                <w:rFonts w:ascii="Wingdings" w:cs="Wingdings" w:eastAsia="Wingdings" w:hAnsi="Wingdings"/>
                <w:sz w:val="13"/>
                <w:szCs w:val="13"/>
                <w:b w:val="1"/>
                <w:bCs w:val="1"/>
                <w:color w:val="auto"/>
                <w:w w:val="85"/>
              </w:rPr>
              <w:t>q</w:t>
            </w:r>
          </w:p>
        </w:tc>
        <w:tc>
          <w:tcPr>
            <w:tcW w:w="74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62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1300" w:type="dxa"/>
            <w:vAlign w:val="bottom"/>
          </w:tcPr>
          <w:p>
            <w:pPr>
              <w:ind w:left="80"/>
              <w:spacing w:after="0"/>
              <w:rPr>
                <w:sz w:val="20"/>
                <w:szCs w:val="20"/>
                <w:color w:val="auto"/>
              </w:rPr>
            </w:pPr>
            <w:r>
              <w:rPr>
                <w:rFonts w:ascii="Times New Roman" w:cs="Times New Roman" w:eastAsia="Times New Roman" w:hAnsi="Times New Roman"/>
                <w:sz w:val="13"/>
                <w:szCs w:val="13"/>
                <w:color w:val="auto"/>
              </w:rPr>
              <w:t>1h. Barbara A. Niland</w:t>
            </w:r>
          </w:p>
        </w:tc>
      </w:tr>
      <w:tr>
        <w:trPr>
          <w:trHeight w:val="183"/>
        </w:trPr>
        <w:tc>
          <w:tcPr>
            <w:tcW w:w="316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1d. James M. Jaska</w:t>
            </w:r>
          </w:p>
        </w:tc>
        <w:tc>
          <w:tcPr>
            <w:tcW w:w="520" w:type="dxa"/>
            <w:vAlign w:val="bottom"/>
          </w:tcPr>
          <w:p>
            <w:pPr>
              <w:jc w:val="center"/>
              <w:spacing w:after="0"/>
              <w:rPr>
                <w:sz w:val="20"/>
                <w:szCs w:val="20"/>
                <w:color w:val="auto"/>
              </w:rPr>
            </w:pPr>
            <w:r>
              <w:rPr>
                <w:rFonts w:ascii="Wingdings" w:cs="Wingdings" w:eastAsia="Wingdings" w:hAnsi="Wingdings"/>
                <w:sz w:val="13"/>
                <w:szCs w:val="13"/>
                <w:b w:val="1"/>
                <w:bCs w:val="1"/>
                <w:color w:val="auto"/>
                <w:w w:val="85"/>
              </w:rPr>
              <w:t>q</w:t>
            </w:r>
          </w:p>
        </w:tc>
        <w:tc>
          <w:tcPr>
            <w:tcW w:w="74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62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1300" w:type="dxa"/>
            <w:vAlign w:val="bottom"/>
          </w:tcPr>
          <w:p>
            <w:pPr>
              <w:ind w:left="80"/>
              <w:spacing w:after="0"/>
              <w:rPr>
                <w:sz w:val="20"/>
                <w:szCs w:val="20"/>
                <w:color w:val="auto"/>
              </w:rPr>
            </w:pPr>
            <w:r>
              <w:rPr>
                <w:rFonts w:ascii="Times New Roman" w:cs="Times New Roman" w:eastAsia="Times New Roman" w:hAnsi="Times New Roman"/>
                <w:sz w:val="13"/>
                <w:szCs w:val="13"/>
                <w:color w:val="auto"/>
                <w:w w:val="98"/>
              </w:rPr>
              <w:t>1i. John M. Richardson</w:t>
            </w:r>
          </w:p>
        </w:tc>
      </w:tr>
      <w:tr>
        <w:trPr>
          <w:trHeight w:val="183"/>
        </w:trPr>
        <w:tc>
          <w:tcPr>
            <w:tcW w:w="160" w:type="dxa"/>
            <w:vAlign w:val="bottom"/>
          </w:tcPr>
          <w:p>
            <w:pPr>
              <w:spacing w:after="0"/>
              <w:rPr>
                <w:sz w:val="20"/>
                <w:szCs w:val="20"/>
                <w:color w:val="auto"/>
              </w:rPr>
            </w:pPr>
            <w:r>
              <w:rPr>
                <w:rFonts w:ascii="Times New Roman" w:cs="Times New Roman" w:eastAsia="Times New Roman" w:hAnsi="Times New Roman"/>
                <w:sz w:val="13"/>
                <w:szCs w:val="13"/>
                <w:color w:val="auto"/>
                <w:w w:val="89"/>
              </w:rPr>
              <w:t>1e.</w:t>
            </w:r>
          </w:p>
        </w:tc>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Kenneth J. Krieg</w:t>
            </w:r>
          </w:p>
        </w:tc>
        <w:tc>
          <w:tcPr>
            <w:tcW w:w="520" w:type="dxa"/>
            <w:vAlign w:val="bottom"/>
          </w:tcPr>
          <w:p>
            <w:pPr>
              <w:jc w:val="center"/>
              <w:spacing w:after="0"/>
              <w:rPr>
                <w:sz w:val="20"/>
                <w:szCs w:val="20"/>
                <w:color w:val="auto"/>
              </w:rPr>
            </w:pPr>
            <w:r>
              <w:rPr>
                <w:rFonts w:ascii="Wingdings" w:cs="Wingdings" w:eastAsia="Wingdings" w:hAnsi="Wingdings"/>
                <w:sz w:val="13"/>
                <w:szCs w:val="13"/>
                <w:b w:val="1"/>
                <w:bCs w:val="1"/>
                <w:color w:val="auto"/>
                <w:w w:val="85"/>
              </w:rPr>
              <w:t>q</w:t>
            </w:r>
          </w:p>
        </w:tc>
        <w:tc>
          <w:tcPr>
            <w:tcW w:w="74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620" w:type="dxa"/>
            <w:vAlign w:val="bottom"/>
          </w:tcPr>
          <w:p>
            <w:pPr>
              <w:jc w:val="center"/>
              <w:spacing w:after="0"/>
              <w:rPr>
                <w:sz w:val="20"/>
                <w:szCs w:val="20"/>
                <w:color w:val="auto"/>
              </w:rPr>
            </w:pPr>
            <w:r>
              <w:rPr>
                <w:rFonts w:ascii="Wingdings" w:cs="Wingdings" w:eastAsia="Wingdings" w:hAnsi="Wingdings"/>
                <w:sz w:val="13"/>
                <w:szCs w:val="13"/>
                <w:b w:val="1"/>
                <w:bCs w:val="1"/>
                <w:color w:val="auto"/>
              </w:rPr>
              <w:t>q</w:t>
            </w:r>
          </w:p>
        </w:tc>
        <w:tc>
          <w:tcPr>
            <w:tcW w:w="1300" w:type="dxa"/>
            <w:vAlign w:val="bottom"/>
          </w:tcPr>
          <w:p>
            <w:pPr>
              <w:spacing w:after="0"/>
              <w:rPr>
                <w:sz w:val="15"/>
                <w:szCs w:val="15"/>
                <w:color w:val="auto"/>
              </w:rPr>
            </w:pPr>
          </w:p>
        </w:tc>
      </w:tr>
    </w:tbl>
    <w:p>
      <w:pPr>
        <w:spacing w:after="0" w:line="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Proposal 2.</w:t>
      </w:r>
    </w:p>
    <w:p>
      <w:pPr>
        <w:spacing w:after="0" w:line="35" w:lineRule="exact"/>
        <w:rPr>
          <w:sz w:val="20"/>
          <w:szCs w:val="20"/>
          <w:color w:val="auto"/>
        </w:rPr>
      </w:pPr>
    </w:p>
    <w:p>
      <w:pPr>
        <w:ind w:left="460" w:hanging="332"/>
        <w:spacing w:after="0"/>
        <w:tabs>
          <w:tab w:leader="none" w:pos="460" w:val="left"/>
        </w:tabs>
        <w:numPr>
          <w:ilvl w:val="0"/>
          <w:numId w:val="9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Advisory vote on compensation of our Named Executive Officers.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for </w:t>
      </w:r>
      <w:r>
        <w:rPr>
          <w:rFonts w:ascii="Times New Roman" w:cs="Times New Roman" w:eastAsia="Times New Roman" w:hAnsi="Times New Roman"/>
          <w:sz w:val="13"/>
          <w:szCs w:val="13"/>
          <w:b w:val="1"/>
          <w:bCs w:val="1"/>
          <w:u w:val="single" w:color="auto"/>
          <w:color w:val="auto"/>
        </w:rPr>
        <w:t>1 YEAR</w:t>
      </w:r>
      <w:r>
        <w:rPr>
          <w:rFonts w:ascii="Times New Roman" w:cs="Times New Roman" w:eastAsia="Times New Roman" w:hAnsi="Times New Roman"/>
          <w:sz w:val="13"/>
          <w:szCs w:val="13"/>
          <w:b w:val="1"/>
          <w:bCs w:val="1"/>
          <w:color w:val="auto"/>
        </w:rPr>
        <w:t xml:space="preserve"> for Proposal 3.</w:t>
      </w:r>
    </w:p>
    <w:p>
      <w:pPr>
        <w:spacing w:after="0" w:line="35" w:lineRule="exact"/>
        <w:rPr>
          <w:sz w:val="20"/>
          <w:szCs w:val="20"/>
          <w:color w:val="auto"/>
        </w:rPr>
      </w:pPr>
    </w:p>
    <w:p>
      <w:pPr>
        <w:ind w:left="460" w:hanging="332"/>
        <w:spacing w:after="0"/>
        <w:tabs>
          <w:tab w:leader="none" w:pos="460" w:val="left"/>
        </w:tabs>
        <w:numPr>
          <w:ilvl w:val="0"/>
          <w:numId w:val="9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Advisory vote on the frequency of the advisory vote on the compensation of our Named Executive Officers.</w:t>
      </w: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3"/>
          <w:szCs w:val="13"/>
          <w:b w:val="1"/>
          <w:bCs w:val="1"/>
          <w:color w:val="auto"/>
        </w:rPr>
        <w:t xml:space="preserve">The Board of Directors recommends you vote </w:t>
      </w:r>
      <w:r>
        <w:rPr>
          <w:rFonts w:ascii="Times New Roman" w:cs="Times New Roman" w:eastAsia="Times New Roman" w:hAnsi="Times New Roman"/>
          <w:sz w:val="13"/>
          <w:szCs w:val="13"/>
          <w:b w:val="1"/>
          <w:bCs w:val="1"/>
          <w:u w:val="single" w:color="auto"/>
          <w:color w:val="auto"/>
        </w:rPr>
        <w:t>FOR</w:t>
      </w:r>
      <w:r>
        <w:rPr>
          <w:rFonts w:ascii="Times New Roman" w:cs="Times New Roman" w:eastAsia="Times New Roman" w:hAnsi="Times New Roman"/>
          <w:sz w:val="13"/>
          <w:szCs w:val="13"/>
          <w:b w:val="1"/>
          <w:bCs w:val="1"/>
          <w:color w:val="auto"/>
        </w:rPr>
        <w:t xml:space="preserve"> Proposal 4.</w:t>
      </w:r>
    </w:p>
    <w:p>
      <w:pPr>
        <w:spacing w:after="0" w:line="35" w:lineRule="exact"/>
        <w:rPr>
          <w:sz w:val="20"/>
          <w:szCs w:val="20"/>
          <w:color w:val="auto"/>
        </w:rPr>
      </w:pPr>
    </w:p>
    <w:p>
      <w:pPr>
        <w:ind w:left="460" w:hanging="332"/>
        <w:spacing w:after="0"/>
        <w:tabs>
          <w:tab w:leader="none" w:pos="460" w:val="left"/>
        </w:tabs>
        <w:numPr>
          <w:ilvl w:val="0"/>
          <w:numId w:val="9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Ratification of Appointment of Independent Registered Public Accounting Firm for the year ending December 31, 2023.</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60"/>
        <w:spacing w:after="0"/>
        <w:tabs>
          <w:tab w:leader="none" w:pos="700" w:val="left"/>
          <w:tab w:leader="none" w:pos="1480" w:val="left"/>
        </w:tabs>
        <w:rPr>
          <w:sz w:val="20"/>
          <w:szCs w:val="20"/>
          <w:color w:val="auto"/>
        </w:rPr>
      </w:pPr>
      <w:r>
        <w:rPr>
          <w:rFonts w:ascii="Times New Roman" w:cs="Times New Roman" w:eastAsia="Times New Roman" w:hAnsi="Times New Roman"/>
          <w:sz w:val="11"/>
          <w:szCs w:val="11"/>
          <w:b w:val="1"/>
          <w:bCs w:val="1"/>
          <w:color w:val="auto"/>
        </w:rPr>
        <w:t>For</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Times New Roman" w:cs="Times New Roman" w:eastAsia="Times New Roman" w:hAnsi="Times New Roman"/>
          <w:sz w:val="11"/>
          <w:szCs w:val="11"/>
          <w:b w:val="1"/>
          <w:bCs w:val="1"/>
          <w:color w:val="auto"/>
        </w:rPr>
        <w:t>Abstain</w:t>
      </w:r>
    </w:p>
    <w:p>
      <w:pPr>
        <w:spacing w:after="0" w:line="53"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38"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38"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38"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273" w:lineRule="exact"/>
        <w:rPr>
          <w:sz w:val="20"/>
          <w:szCs w:val="20"/>
          <w:color w:val="auto"/>
        </w:rPr>
      </w:pPr>
    </w:p>
    <w:p>
      <w:pPr>
        <w:ind w:left="60"/>
        <w:spacing w:after="0"/>
        <w:tabs>
          <w:tab w:leader="none" w:pos="700" w:val="left"/>
          <w:tab w:leader="none" w:pos="1480" w:val="left"/>
        </w:tabs>
        <w:rPr>
          <w:sz w:val="20"/>
          <w:szCs w:val="20"/>
          <w:color w:val="auto"/>
        </w:rPr>
      </w:pPr>
      <w:r>
        <w:rPr>
          <w:rFonts w:ascii="Times New Roman" w:cs="Times New Roman" w:eastAsia="Times New Roman" w:hAnsi="Times New Roman"/>
          <w:sz w:val="11"/>
          <w:szCs w:val="11"/>
          <w:b w:val="1"/>
          <w:bCs w:val="1"/>
          <w:color w:val="auto"/>
        </w:rPr>
        <w:t>For</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Times New Roman" w:cs="Times New Roman" w:eastAsia="Times New Roman" w:hAnsi="Times New Roman"/>
          <w:sz w:val="11"/>
          <w:szCs w:val="11"/>
          <w:b w:val="1"/>
          <w:bCs w:val="1"/>
          <w:color w:val="auto"/>
        </w:rPr>
        <w:t>Abstain</w:t>
      </w:r>
    </w:p>
    <w:p>
      <w:pPr>
        <w:spacing w:after="0" w:line="53"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90" w:lineRule="exact"/>
        <w:rPr>
          <w:sz w:val="20"/>
          <w:szCs w:val="20"/>
          <w:color w:val="auto"/>
        </w:rPr>
      </w:pPr>
    </w:p>
    <w:p>
      <w:pPr>
        <w:spacing w:after="0"/>
        <w:tabs>
          <w:tab w:leader="none" w:pos="720" w:val="left"/>
          <w:tab w:leader="none" w:pos="1480" w:val="left"/>
          <w:tab w:leader="none" w:pos="2240" w:val="left"/>
        </w:tabs>
        <w:rPr>
          <w:sz w:val="20"/>
          <w:szCs w:val="20"/>
          <w:color w:val="auto"/>
        </w:rPr>
      </w:pPr>
      <w:r>
        <w:rPr>
          <w:rFonts w:ascii="Times New Roman" w:cs="Times New Roman" w:eastAsia="Times New Roman" w:hAnsi="Times New Roman"/>
          <w:sz w:val="11"/>
          <w:szCs w:val="11"/>
          <w:b w:val="1"/>
          <w:bCs w:val="1"/>
          <w:color w:val="auto"/>
        </w:rPr>
        <w:t>1 Year</w:t>
      </w:r>
      <w:r>
        <w:rPr>
          <w:sz w:val="20"/>
          <w:szCs w:val="20"/>
          <w:color w:val="auto"/>
        </w:rPr>
        <w:tab/>
      </w:r>
      <w:r>
        <w:rPr>
          <w:rFonts w:ascii="Times New Roman" w:cs="Times New Roman" w:eastAsia="Times New Roman" w:hAnsi="Times New Roman"/>
          <w:sz w:val="11"/>
          <w:szCs w:val="11"/>
          <w:b w:val="1"/>
          <w:bCs w:val="1"/>
          <w:color w:val="auto"/>
        </w:rPr>
        <w:t>2 Years</w:t>
      </w:r>
      <w:r>
        <w:rPr>
          <w:sz w:val="20"/>
          <w:szCs w:val="20"/>
          <w:color w:val="auto"/>
        </w:rPr>
        <w:tab/>
      </w:r>
      <w:r>
        <w:rPr>
          <w:rFonts w:ascii="Times New Roman" w:cs="Times New Roman" w:eastAsia="Times New Roman" w:hAnsi="Times New Roman"/>
          <w:sz w:val="11"/>
          <w:szCs w:val="11"/>
          <w:b w:val="1"/>
          <w:bCs w:val="1"/>
          <w:color w:val="auto"/>
        </w:rPr>
        <w:t>3 Years</w:t>
      </w:r>
      <w:r>
        <w:rPr>
          <w:sz w:val="20"/>
          <w:szCs w:val="20"/>
          <w:color w:val="auto"/>
        </w:rPr>
        <w:tab/>
      </w:r>
      <w:r>
        <w:rPr>
          <w:rFonts w:ascii="Times New Roman" w:cs="Times New Roman" w:eastAsia="Times New Roman" w:hAnsi="Times New Roman"/>
          <w:sz w:val="11"/>
          <w:szCs w:val="11"/>
          <w:b w:val="1"/>
          <w:bCs w:val="1"/>
          <w:color w:val="auto"/>
        </w:rPr>
        <w:t>Abstain</w:t>
      </w:r>
    </w:p>
    <w:p>
      <w:pPr>
        <w:spacing w:after="0" w:line="53" w:lineRule="exact"/>
        <w:rPr>
          <w:sz w:val="20"/>
          <w:szCs w:val="20"/>
          <w:color w:val="auto"/>
        </w:rPr>
      </w:pPr>
    </w:p>
    <w:p>
      <w:pPr>
        <w:ind w:left="100"/>
        <w:spacing w:after="0"/>
        <w:tabs>
          <w:tab w:leader="none" w:pos="840" w:val="left"/>
          <w:tab w:leader="none" w:pos="1600" w:val="left"/>
          <w:tab w:leader="none" w:pos="236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90" w:lineRule="exact"/>
        <w:rPr>
          <w:sz w:val="20"/>
          <w:szCs w:val="20"/>
          <w:color w:val="auto"/>
        </w:rPr>
      </w:pPr>
    </w:p>
    <w:p>
      <w:pPr>
        <w:ind w:left="60"/>
        <w:spacing w:after="0"/>
        <w:tabs>
          <w:tab w:leader="none" w:pos="700" w:val="left"/>
          <w:tab w:leader="none" w:pos="1480" w:val="left"/>
        </w:tabs>
        <w:rPr>
          <w:sz w:val="20"/>
          <w:szCs w:val="20"/>
          <w:color w:val="auto"/>
        </w:rPr>
      </w:pPr>
      <w:r>
        <w:rPr>
          <w:rFonts w:ascii="Times New Roman" w:cs="Times New Roman" w:eastAsia="Times New Roman" w:hAnsi="Times New Roman"/>
          <w:sz w:val="11"/>
          <w:szCs w:val="11"/>
          <w:b w:val="1"/>
          <w:bCs w:val="1"/>
          <w:color w:val="auto"/>
        </w:rPr>
        <w:t>For</w:t>
      </w:r>
      <w:r>
        <w:rPr>
          <w:sz w:val="20"/>
          <w:szCs w:val="20"/>
          <w:color w:val="auto"/>
        </w:rPr>
        <w:tab/>
      </w:r>
      <w:r>
        <w:rPr>
          <w:rFonts w:ascii="Times New Roman" w:cs="Times New Roman" w:eastAsia="Times New Roman" w:hAnsi="Times New Roman"/>
          <w:sz w:val="11"/>
          <w:szCs w:val="11"/>
          <w:b w:val="1"/>
          <w:bCs w:val="1"/>
          <w:color w:val="auto"/>
        </w:rPr>
        <w:t>Against</w:t>
      </w:r>
      <w:r>
        <w:rPr>
          <w:sz w:val="20"/>
          <w:szCs w:val="20"/>
          <w:color w:val="auto"/>
        </w:rPr>
        <w:tab/>
      </w:r>
      <w:r>
        <w:rPr>
          <w:rFonts w:ascii="Times New Roman" w:cs="Times New Roman" w:eastAsia="Times New Roman" w:hAnsi="Times New Roman"/>
          <w:sz w:val="11"/>
          <w:szCs w:val="11"/>
          <w:b w:val="1"/>
          <w:bCs w:val="1"/>
          <w:color w:val="auto"/>
        </w:rPr>
        <w:t>Abstain</w:t>
      </w:r>
    </w:p>
    <w:p>
      <w:pPr>
        <w:spacing w:after="0" w:line="53" w:lineRule="exact"/>
        <w:rPr>
          <w:sz w:val="20"/>
          <w:szCs w:val="20"/>
          <w:color w:val="auto"/>
        </w:rPr>
      </w:pPr>
    </w:p>
    <w:p>
      <w:pPr>
        <w:ind w:left="100"/>
        <w:spacing w:after="0"/>
        <w:tabs>
          <w:tab w:leader="none" w:pos="840" w:val="left"/>
          <w:tab w:leader="none" w:pos="160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62" w:lineRule="exact"/>
        <w:rPr>
          <w:sz w:val="20"/>
          <w:szCs w:val="20"/>
          <w:color w:val="auto"/>
        </w:rPr>
      </w:pPr>
    </w:p>
    <w:p>
      <w:pPr>
        <w:sectPr>
          <w:pgSz w:w="11900" w:h="16838" w:orient="portrait"/>
          <w:cols w:equalWidth="0" w:num="2">
            <w:col w:w="7680" w:space="720"/>
            <w:col w:w="2820"/>
          </w:cols>
          <w:pgMar w:left="340" w:top="1440" w:right="339" w:bottom="1440" w:gutter="0" w:footer="0" w:header="0"/>
          <w:type w:val="continuous"/>
        </w:sectPr>
      </w:pPr>
    </w:p>
    <w:p>
      <w:pPr>
        <w:ind w:left="20" w:right="260"/>
        <w:spacing w:after="0" w:line="247" w:lineRule="auto"/>
        <w:rPr>
          <w:sz w:val="20"/>
          <w:szCs w:val="20"/>
          <w:color w:val="auto"/>
        </w:rPr>
      </w:pPr>
      <w:r>
        <w:rPr>
          <w:rFonts w:ascii="Times New Roman" w:cs="Times New Roman" w:eastAsia="Times New Roman" w:hAnsi="Times New Roman"/>
          <w:sz w:val="13"/>
          <w:szCs w:val="13"/>
          <w:color w:val="auto"/>
        </w:rPr>
        <w:t xml:space="preserve">The shares represented by this proxy, when properly executed, will be voted in the manner directed herein by the undersigned Stockholder(s). </w:t>
      </w:r>
      <w:r>
        <w:rPr>
          <w:rFonts w:ascii="Times New Roman" w:cs="Times New Roman" w:eastAsia="Times New Roman" w:hAnsi="Times New Roman"/>
          <w:sz w:val="13"/>
          <w:szCs w:val="13"/>
          <w:b w:val="1"/>
          <w:bCs w:val="1"/>
          <w:color w:val="auto"/>
        </w:rPr>
        <w:t>If no direction is made, this proxy will be voted FOR all director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 xml:space="preserve">nominees, FOR proposals 2 and 4, and 1 YEAR for proposal 3. </w:t>
      </w:r>
      <w:r>
        <w:rPr>
          <w:rFonts w:ascii="Times New Roman" w:cs="Times New Roman" w:eastAsia="Times New Roman" w:hAnsi="Times New Roman"/>
          <w:sz w:val="13"/>
          <w:szCs w:val="13"/>
          <w:color w:val="auto"/>
        </w:rPr>
        <w:t>If any other matters properly come before the meeting, the persons named in this proxy will vote in their discretion.</w:t>
      </w:r>
    </w:p>
    <w:p>
      <w:pPr>
        <w:spacing w:after="0" w:line="2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For address changes and/or comments, please check this box and write them on the back</w:t>
      </w:r>
    </w:p>
    <w:p>
      <w:pPr>
        <w:ind w:left="20"/>
        <w:spacing w:after="0" w:line="237" w:lineRule="auto"/>
        <w:tabs>
          <w:tab w:leader="none" w:pos="5140" w:val="left"/>
        </w:tabs>
        <w:rPr>
          <w:sz w:val="20"/>
          <w:szCs w:val="20"/>
          <w:color w:val="auto"/>
        </w:rPr>
      </w:pPr>
      <w:r>
        <w:rPr>
          <w:rFonts w:ascii="Times New Roman" w:cs="Times New Roman" w:eastAsia="Times New Roman" w:hAnsi="Times New Roman"/>
          <w:sz w:val="13"/>
          <w:szCs w:val="13"/>
          <w:color w:val="auto"/>
        </w:rPr>
        <w:t>where indicated.</w:t>
      </w:r>
      <w:r>
        <w:rPr>
          <w:sz w:val="20"/>
          <w:szCs w:val="20"/>
          <w:color w:val="auto"/>
        </w:rPr>
        <w:tab/>
      </w:r>
      <w:r>
        <w:rPr>
          <w:rFonts w:ascii="Wingdings" w:cs="Wingdings" w:eastAsia="Wingdings" w:hAnsi="Wingdings"/>
          <w:sz w:val="13"/>
          <w:szCs w:val="13"/>
          <w:b w:val="1"/>
          <w:bCs w:val="1"/>
          <w:color w:val="auto"/>
        </w:rPr>
        <w:t>q</w:t>
      </w:r>
    </w:p>
    <w:p>
      <w:pPr>
        <w:spacing w:after="0" w:line="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auto"/>
        </w:rPr>
        <w:t>Please indicate if you plan to attend this meeting</w:t>
      </w:r>
    </w:p>
    <w:p>
      <w:pPr>
        <w:spacing w:after="0" w:line="69" w:lineRule="exact"/>
        <w:rPr>
          <w:sz w:val="20"/>
          <w:szCs w:val="20"/>
          <w:color w:val="auto"/>
        </w:rPr>
      </w:pPr>
    </w:p>
    <w:p>
      <w:pPr>
        <w:ind w:left="4480"/>
        <w:spacing w:after="0"/>
        <w:tabs>
          <w:tab w:leader="none" w:pos="5140" w:val="left"/>
        </w:tabs>
        <w:rPr>
          <w:sz w:val="20"/>
          <w:szCs w:val="20"/>
          <w:color w:val="auto"/>
        </w:rPr>
      </w:pPr>
      <w:r>
        <w:rPr>
          <w:rFonts w:ascii="Wingdings" w:cs="Wingdings" w:eastAsia="Wingdings" w:hAnsi="Wingdings"/>
          <w:sz w:val="13"/>
          <w:szCs w:val="13"/>
          <w:b w:val="1"/>
          <w:bCs w:val="1"/>
          <w:color w:val="auto"/>
        </w:rPr>
        <w:t>q</w:t>
      </w:r>
      <w:r>
        <w:rPr>
          <w:sz w:val="20"/>
          <w:szCs w:val="20"/>
          <w:color w:val="auto"/>
        </w:rPr>
        <w:tab/>
      </w:r>
      <w:r>
        <w:rPr>
          <w:rFonts w:ascii="Wingdings" w:cs="Wingdings" w:eastAsia="Wingdings" w:hAnsi="Wingdings"/>
          <w:sz w:val="13"/>
          <w:szCs w:val="13"/>
          <w:b w:val="1"/>
          <w:bCs w:val="1"/>
          <w:color w:val="auto"/>
        </w:rPr>
        <w:t>q</w:t>
      </w:r>
    </w:p>
    <w:p>
      <w:pPr>
        <w:spacing w:after="0" w:line="15" w:lineRule="exact"/>
        <w:rPr>
          <w:sz w:val="20"/>
          <w:szCs w:val="20"/>
          <w:color w:val="auto"/>
        </w:rPr>
      </w:pPr>
    </w:p>
    <w:p>
      <w:pPr>
        <w:ind w:left="4460"/>
        <w:spacing w:after="0"/>
        <w:tabs>
          <w:tab w:leader="none" w:pos="5120" w:val="left"/>
        </w:tabs>
        <w:rPr>
          <w:sz w:val="20"/>
          <w:szCs w:val="20"/>
          <w:color w:val="auto"/>
        </w:rPr>
      </w:pPr>
      <w:r>
        <w:rPr>
          <w:rFonts w:ascii="Times New Roman" w:cs="Times New Roman" w:eastAsia="Times New Roman" w:hAnsi="Times New Roman"/>
          <w:sz w:val="13"/>
          <w:szCs w:val="13"/>
          <w:color w:val="auto"/>
        </w:rPr>
        <w:t>Yes</w:t>
      </w:r>
      <w:r>
        <w:rPr>
          <w:sz w:val="20"/>
          <w:szCs w:val="20"/>
          <w:color w:val="auto"/>
        </w:rPr>
        <w:tab/>
      </w:r>
      <w:r>
        <w:rPr>
          <w:rFonts w:ascii="Times New Roman" w:cs="Times New Roman" w:eastAsia="Times New Roman" w:hAnsi="Times New Roman"/>
          <w:sz w:val="13"/>
          <w:szCs w:val="13"/>
          <w:color w:val="auto"/>
        </w:rPr>
        <w:t>No</w:t>
      </w:r>
    </w:p>
    <w:p>
      <w:pPr>
        <w:spacing w:after="0" w:line="70" w:lineRule="exact"/>
        <w:rPr>
          <w:sz w:val="20"/>
          <w:szCs w:val="20"/>
          <w:color w:val="auto"/>
        </w:rPr>
      </w:pPr>
    </w:p>
    <w:p>
      <w:pPr>
        <w:ind w:left="20" w:right="240"/>
        <w:spacing w:after="0" w:line="244" w:lineRule="auto"/>
        <w:rPr>
          <w:sz w:val="20"/>
          <w:szCs w:val="20"/>
          <w:color w:val="auto"/>
        </w:rPr>
      </w:pPr>
      <w:r>
        <w:rPr>
          <w:rFonts w:ascii="Times New Roman" w:cs="Times New Roman" w:eastAsia="Times New Roman" w:hAnsi="Times New Roman"/>
          <w:sz w:val="13"/>
          <w:szCs w:val="13"/>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5080</wp:posOffset>
            </wp:positionV>
            <wp:extent cx="7138035" cy="16256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8035" cy="162560"/>
                    </a:xfrm>
                    <a:prstGeom prst="rect">
                      <a:avLst/>
                    </a:prstGeom>
                    <a:noFill/>
                  </pic:spPr>
                </pic:pic>
              </a:graphicData>
            </a:graphic>
          </wp:anchor>
        </w:drawing>
      </w:r>
    </w:p>
    <w:p>
      <w:pPr>
        <w:spacing w:after="0" w:line="236" w:lineRule="exact"/>
        <w:rPr>
          <w:sz w:val="20"/>
          <w:szCs w:val="20"/>
          <w:color w:val="auto"/>
        </w:rPr>
      </w:pPr>
    </w:p>
    <w:p>
      <w:pPr>
        <w:ind w:left="20"/>
        <w:spacing w:after="0"/>
        <w:tabs>
          <w:tab w:leader="none" w:pos="3500" w:val="left"/>
          <w:tab w:leader="none" w:pos="5560" w:val="left"/>
          <w:tab w:leader="none" w:pos="8900" w:val="left"/>
        </w:tabs>
        <w:rPr>
          <w:sz w:val="20"/>
          <w:szCs w:val="20"/>
          <w:color w:val="auto"/>
        </w:rPr>
      </w:pPr>
      <w:r>
        <w:rPr>
          <w:rFonts w:ascii="Times New Roman" w:cs="Times New Roman" w:eastAsia="Times New Roman" w:hAnsi="Times New Roman"/>
          <w:sz w:val="11"/>
          <w:szCs w:val="11"/>
          <w:color w:val="auto"/>
        </w:rPr>
        <w:t>Signature [PLEASE SIGN WITHIN BOX]</w:t>
      </w:r>
      <w:r>
        <w:rPr>
          <w:sz w:val="20"/>
          <w:szCs w:val="20"/>
          <w:color w:val="auto"/>
        </w:rPr>
        <w:tab/>
      </w:r>
      <w:r>
        <w:rPr>
          <w:rFonts w:ascii="Times New Roman" w:cs="Times New Roman" w:eastAsia="Times New Roman" w:hAnsi="Times New Roman"/>
          <w:sz w:val="13"/>
          <w:szCs w:val="13"/>
          <w:color w:val="auto"/>
        </w:rPr>
        <w:t>Date</w:t>
      </w:r>
      <w:r>
        <w:rPr>
          <w:sz w:val="20"/>
          <w:szCs w:val="20"/>
          <w:color w:val="auto"/>
        </w:rPr>
        <w:tab/>
      </w:r>
      <w:r>
        <w:rPr>
          <w:rFonts w:ascii="Times New Roman" w:cs="Times New Roman" w:eastAsia="Times New Roman" w:hAnsi="Times New Roman"/>
          <w:sz w:val="13"/>
          <w:szCs w:val="13"/>
          <w:color w:val="auto"/>
        </w:rPr>
        <w:t>Signature (Joint Owners)</w:t>
      </w:r>
      <w:r>
        <w:rPr>
          <w:sz w:val="20"/>
          <w:szCs w:val="20"/>
          <w:color w:val="auto"/>
        </w:rPr>
        <w:tab/>
      </w:r>
      <w:r>
        <w:rPr>
          <w:rFonts w:ascii="Times New Roman" w:cs="Times New Roman" w:eastAsia="Times New Roman" w:hAnsi="Times New Roman"/>
          <w:sz w:val="12"/>
          <w:szCs w:val="1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-26670</wp:posOffset>
            </wp:positionH>
            <wp:positionV relativeFrom="paragraph">
              <wp:posOffset>577850</wp:posOffset>
            </wp:positionV>
            <wp:extent cx="7171055"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1055" cy="4064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10795</wp:posOffset>
            </wp:positionV>
            <wp:extent cx="7145655" cy="698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5655" cy="69850"/>
                    </a:xfrm>
                    <a:prstGeom prst="rect">
                      <a:avLst/>
                    </a:prstGeom>
                    <a:noFill/>
                  </pic:spPr>
                </pic:pic>
              </a:graphicData>
            </a:graphic>
          </wp:anchor>
        </w:drawing>
      </w:r>
    </w:p>
    <w:p>
      <w:pPr>
        <w:sectPr>
          <w:pgSz w:w="11900" w:h="16838" w:orient="portrait"/>
          <w:cols w:equalWidth="0" w:num="1">
            <w:col w:w="11220"/>
          </w:cols>
          <w:pgMar w:left="340" w:top="1440" w:right="339" w:bottom="1440" w:gutter="0" w:footer="0" w:header="0"/>
          <w:type w:val="continuous"/>
        </w:sectPr>
      </w:pPr>
    </w:p>
    <w:bookmarkStart w:id="74" w:name="page75"/>
    <w:bookmarkEnd w:id="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3124835</wp:posOffset>
            </wp:positionH>
            <wp:positionV relativeFrom="page">
              <wp:posOffset>676910</wp:posOffset>
            </wp:positionV>
            <wp:extent cx="1299210" cy="69596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1299210" cy="695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BWX Technologies,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Annual Meeting of Stockholders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Wednesday, May 3, 2023 at 9:30 a.m. Eastern Time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Via live webcast at www.virtualshareholdermeeting.com/BWXT2023</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Important Notice Regarding the Availability of Proxy Materials for the Annual Meeting:</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Notice and Proxy Statement and Annual Report are available at www.proxyvote.com.</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IF YOU HAVE NOT VOTED VIA THE INTERNET OR TELEPHONE, FOLD ALONG PERFORATION, DETACH</w:t>
      </w:r>
    </w:p>
    <w:p>
      <w:pPr>
        <w:spacing w:after="0" w:line="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RETURN THE BOTTOM PORTION IN THE ENCLOSED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-264795</wp:posOffset>
            </wp:positionH>
            <wp:positionV relativeFrom="paragraph">
              <wp:posOffset>87630</wp:posOffset>
            </wp:positionV>
            <wp:extent cx="7148195" cy="37636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8195" cy="376364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6"/>
          <w:szCs w:val="16"/>
          <w:b w:val="1"/>
          <w:bCs w:val="1"/>
          <w:color w:val="auto"/>
        </w:rPr>
        <w:t>BWX TECHNOLOGIES, INC.</w:t>
      </w:r>
    </w:p>
    <w:p>
      <w:pPr>
        <w:spacing w:after="0" w:line="16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6"/>
          <w:szCs w:val="16"/>
          <w:b w:val="1"/>
          <w:bCs w:val="1"/>
          <w:color w:val="auto"/>
        </w:rPr>
        <w:t>THIS PROXY IS SOLICITED ON BEHALF OF THE BOARD OF DIRECTORS</w:t>
      </w:r>
    </w:p>
    <w:p>
      <w:pPr>
        <w:spacing w:after="0" w:line="169"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16"/>
          <w:szCs w:val="16"/>
          <w:b w:val="1"/>
          <w:bCs w:val="1"/>
          <w:color w:val="auto"/>
        </w:rPr>
        <w:t>ANNUAL MEETING OF STOCKHOLDERS</w:t>
      </w:r>
    </w:p>
    <w:p>
      <w:pPr>
        <w:spacing w:after="0" w:line="7"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6"/>
          <w:szCs w:val="16"/>
          <w:b w:val="1"/>
          <w:bCs w:val="1"/>
          <w:color w:val="auto"/>
        </w:rPr>
        <w:t>Wednesday, May 3, 2023</w:t>
      </w:r>
    </w:p>
    <w:p>
      <w:pPr>
        <w:spacing w:after="0" w:line="151" w:lineRule="exact"/>
        <w:rPr>
          <w:sz w:val="20"/>
          <w:szCs w:val="20"/>
          <w:color w:val="auto"/>
        </w:rPr>
      </w:pPr>
    </w:p>
    <w:p>
      <w:pPr>
        <w:jc w:val="both"/>
        <w:spacing w:after="0" w:line="226" w:lineRule="auto"/>
        <w:rPr>
          <w:sz w:val="20"/>
          <w:szCs w:val="20"/>
          <w:color w:val="auto"/>
        </w:rPr>
      </w:pPr>
      <w:r>
        <w:rPr>
          <w:rFonts w:ascii="Times New Roman" w:cs="Times New Roman" w:eastAsia="Times New Roman" w:hAnsi="Times New Roman"/>
          <w:sz w:val="16"/>
          <w:szCs w:val="16"/>
          <w:color w:val="auto"/>
        </w:rPr>
        <w:t>The undersigned stockholder(s) hereby appoint(s) Rex D. Geveden and Ronald O. Whitford, Jr., or either of them, as proxies, each with the power to appoint his substitute, to represent and to vote, as designated on the reverse side of this ballot, all of the shares of common stock of BWX Technologies, Inc. that the</w:t>
      </w:r>
    </w:p>
    <w:p>
      <w:pPr>
        <w:jc w:val="both"/>
        <w:spacing w:after="0" w:line="228" w:lineRule="auto"/>
        <w:rPr>
          <w:sz w:val="20"/>
          <w:szCs w:val="20"/>
          <w:color w:val="auto"/>
        </w:rPr>
      </w:pPr>
      <w:r>
        <w:rPr>
          <w:rFonts w:ascii="Times New Roman" w:cs="Times New Roman" w:eastAsia="Times New Roman" w:hAnsi="Times New Roman"/>
          <w:sz w:val="16"/>
          <w:szCs w:val="16"/>
          <w:color w:val="auto"/>
        </w:rPr>
        <w:t>stockholder(s) is/are entitled to vote at the Annual Meeting of Stockholders to be held at 9:30 a.m. Eastern Time on May 3, 2023 via live webcast at www.virtualshareholdermeeting.com/BWXT2023, and any adjournment or postponement thereof.</w:t>
      </w:r>
    </w:p>
    <w:p>
      <w:pPr>
        <w:spacing w:after="0" w:line="1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6"/>
          <w:szCs w:val="16"/>
          <w:b w:val="1"/>
          <w:bCs w:val="1"/>
          <w:color w:val="auto"/>
        </w:rPr>
        <w:t>THIS PROXY, WHEN PROPERLY EXECUTED, WILL BE VOTED IN THE MANNER DIRECTED HEREIN. IF NO SUCH DIRECTION IS MADE, THIS PROXY WILL BE VOTED IN ACCORDANCE WITH THE BOARD OF DIRECTORS’ RECOMMENDATIONS.</w:t>
      </w:r>
    </w:p>
    <w:p>
      <w:pPr>
        <w:spacing w:after="0" w:line="127"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6"/>
          <w:szCs w:val="16"/>
          <w:b w:val="1"/>
          <w:bCs w:val="1"/>
          <w:color w:val="auto"/>
        </w:rPr>
        <w:t xml:space="preserve">ATTENTION PARTICIPANTS IN BWXT’S THRIFT PLAN: </w:t>
      </w:r>
      <w:r>
        <w:rPr>
          <w:rFonts w:ascii="Times New Roman" w:cs="Times New Roman" w:eastAsia="Times New Roman" w:hAnsi="Times New Roman"/>
          <w:sz w:val="16"/>
          <w:szCs w:val="16"/>
          <w:color w:val="auto"/>
        </w:rPr>
        <w:t>If you held shares of BWX Technologies, Inc. (“BWXT”) common stock through the BWXT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Thrift Plan for Employees and Participating Subsidiary and Affiliated Companies (the “Thrift Plan”), this proxy covers all shares for which the undersigned has</w:t>
      </w:r>
    </w:p>
    <w:p>
      <w:pPr>
        <w:spacing w:after="0" w:line="1"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16"/>
          <w:szCs w:val="16"/>
          <w:color w:val="auto"/>
        </w:rPr>
        <w:t>the right to give voting instructions to Vanguard Fiduciary Trust Company (“Vanguard”), Trustee of the Thrift Plan. Your proxy must be received no later than 11:59 p.m. Eastern Time on April 26, 2023. Any shares of BWXT common stock held in the Thrift Plan that are not voted or for which Vanguard does not receive timely voting instructions, will be voted in the same proportion as the shares for which Vanguard receives timely voting instructions for other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participants in the Thrift Plan.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PLEASE MARK, SIGN, DATE AND RETURN THIS PROXY CARD PROMPTLY USING THE ENCLOSED REPLY ENVELOPE.</w:t>
      </w:r>
    </w:p>
    <w:p>
      <w:pPr>
        <w:spacing w:after="0" w:line="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(If you noted any Address Changes/Comments above, please mark corresponding box on the reverse side.)</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CONTINUED AND TO BE SIGNED ON REVERSE SIDE</w:t>
      </w:r>
    </w:p>
    <w:sectPr>
      <w:pgSz w:w="11900" w:h="16838" w:orient="portrait"/>
      <w:cols w:equalWidth="0" w:num="1">
        <w:col w:w="10400"/>
      </w:cols>
      <w:pgMar w:left="740" w:top="1440"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FFF902"/>
    <w:multiLevelType w:val="hybridMultilevel"/>
    <w:lvl w:ilvl="0">
      <w:lvlJc w:val="left"/>
      <w:lvlText w:val="☐"/>
      <w:numFmt w:val="bullet"/>
      <w:start w:val="1"/>
    </w:lvl>
  </w:abstractNum>
  <w:abstractNum w:abstractNumId="1">
    <w:nsid w:val="684A481A"/>
    <w:multiLevelType w:val="hybridMultilevel"/>
    <w:lvl w:ilvl="0">
      <w:lvlJc w:val="left"/>
      <w:lvlText w:val="☒"/>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1)"/>
      <w:numFmt w:val="decimal"/>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lvl w:ilvl="1">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1"/>
      <w:numFmt w:val="bullet"/>
      <w:start w:val="1"/>
    </w:lvl>
  </w:abstractNum>
  <w:abstractNum w:abstractNumId="14">
    <w:nsid w:val="649BB77C"/>
    <w:multiLevelType w:val="hybridMultilevel"/>
    <w:lvl w:ilvl="0">
      <w:lvlJc w:val="left"/>
      <w:lvlText w:val="2"/>
      <w:numFmt w:val="bullet"/>
      <w:start w:val="1"/>
    </w:lvl>
  </w:abstractNum>
  <w:abstractNum w:abstractNumId="15">
    <w:nsid w:val="275AC794"/>
    <w:multiLevelType w:val="hybridMultilevel"/>
    <w:lvl w:ilvl="0">
      <w:lvlJc w:val="left"/>
      <w:lvlText w:val="3"/>
      <w:numFmt w:val="bullet"/>
      <w:start w:val="1"/>
    </w:lvl>
  </w:abstractNum>
  <w:abstractNum w:abstractNumId="16">
    <w:nsid w:val="39386575"/>
    <w:multiLevelType w:val="hybridMultilevel"/>
    <w:lvl w:ilvl="0">
      <w:lvlJc w:val="left"/>
      <w:lvlText w:val="4"/>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1"/>
      <w:numFmt w:val="bullet"/>
      <w:start w:val="1"/>
    </w:lvl>
  </w:abstractNum>
  <w:abstractNum w:abstractNumId="19">
    <w:nsid w:val="235BA861"/>
    <w:multiLevelType w:val="hybridMultilevel"/>
    <w:lvl w:ilvl="0">
      <w:lvlJc w:val="left"/>
      <w:lvlText w:val="2"/>
      <w:numFmt w:val="bullet"/>
      <w:start w:val="1"/>
    </w:lvl>
  </w:abstractNum>
  <w:abstractNum w:abstractNumId="20">
    <w:nsid w:val="47398C89"/>
    <w:multiLevelType w:val="hybridMultilevel"/>
    <w:lvl w:ilvl="0">
      <w:lvlJc w:val="left"/>
      <w:lvlText w:val="3"/>
      <w:numFmt w:val="bullet"/>
      <w:start w:val="1"/>
    </w:lvl>
  </w:abstractNum>
  <w:abstractNum w:abstractNumId="21">
    <w:nsid w:val="354FE9F9"/>
    <w:multiLevelType w:val="hybridMultilevel"/>
    <w:lvl w:ilvl="0">
      <w:lvlJc w:val="left"/>
      <w:lvlText w:val="4"/>
      <w:numFmt w:val="bullet"/>
      <w:start w:val="1"/>
    </w:lvl>
  </w:abstractNum>
  <w:abstractNum w:abstractNumId="22">
    <w:nsid w:val="15B5AF5C"/>
    <w:multiLevelType w:val="hybridMultilevel"/>
    <w:lvl w:ilvl="0">
      <w:lvlJc w:val="left"/>
      <w:lvlText w:val="1"/>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abstractNum>
  <w:abstractNum w:abstractNumId="28">
    <w:nsid w:val="7E0C57B1"/>
    <w:multiLevelType w:val="hybridMultilevel"/>
    <w:lvl w:ilvl="0">
      <w:lvlJc w:val="left"/>
      <w:lvlText w:val="•"/>
      <w:numFmt w:val="bullet"/>
      <w:start w:val="1"/>
    </w:lvl>
  </w:abstractNum>
  <w:abstractNum w:abstractNumId="29">
    <w:nsid w:val="77AE35EB"/>
    <w:multiLevelType w:val="hybridMultilevel"/>
    <w:lvl w:ilvl="0">
      <w:lvlJc w:val="left"/>
      <w:lvlText w:val="\endash "/>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
      <w:numFmt w:val="bullet"/>
      <w:start w:val="1"/>
    </w:lvl>
  </w:abstractNum>
  <w:abstractNum w:abstractNumId="38">
    <w:nsid w:val="1381823A"/>
    <w:multiLevelType w:val="hybridMultilevel"/>
    <w:lvl w:ilvl="0">
      <w:lvlJc w:val="left"/>
      <w:lvlText w:val="•"/>
      <w:numFmt w:val="bullet"/>
      <w:start w:val="1"/>
    </w:lvl>
  </w:abstractNum>
  <w:abstractNum w:abstractNumId="39">
    <w:nsid w:val="5DB70AE5"/>
    <w:multiLevelType w:val="hybridMultilevel"/>
    <w:lvl w:ilvl="0">
      <w:lvlJc w:val="left"/>
      <w:lvlText w:val="\endash "/>
      <w:numFmt w:val="bullet"/>
      <w:start w:val="1"/>
    </w:lvl>
  </w:abstractNum>
  <w:abstractNum w:abstractNumId="40">
    <w:nsid w:val="100F8FCA"/>
    <w:multiLevelType w:val="hybridMultilevel"/>
    <w:lvl w:ilvl="0">
      <w:lvlJc w:val="left"/>
      <w:lvlText w:val="•"/>
      <w:numFmt w:val="bullet"/>
      <w:start w:val="1"/>
    </w:lvl>
  </w:abstractNum>
  <w:abstractNum w:abstractNumId="41">
    <w:nsid w:val="6590700B"/>
    <w:multiLevelType w:val="hybridMultilevel"/>
    <w:lvl w:ilvl="0">
      <w:lvlJc w:val="left"/>
      <w:lvlText w:val="\endash "/>
      <w:numFmt w:val="bullet"/>
      <w:start w:val="1"/>
    </w:lvl>
  </w:abstractNum>
  <w:abstractNum w:abstractNumId="42">
    <w:nsid w:val="15014ACB"/>
    <w:multiLevelType w:val="hybridMultilevel"/>
    <w:lvl w:ilvl="0">
      <w:lvlJc w:val="left"/>
      <w:lvlText w:val="•"/>
      <w:numFmt w:val="bullet"/>
      <w:start w:val="1"/>
    </w:lvl>
  </w:abstractNum>
  <w:abstractNum w:abstractNumId="43">
    <w:nsid w:val="5F5E7FD0"/>
    <w:multiLevelType w:val="hybridMultilevel"/>
    <w:lvl w:ilvl="0">
      <w:lvlJc w:val="left"/>
      <w:lvlText w:val="•"/>
      <w:numFmt w:val="bullet"/>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
      <w:numFmt w:val="bullet"/>
      <w:start w:val="1"/>
    </w:lvl>
  </w:abstractNum>
  <w:abstractNum w:abstractNumId="46">
    <w:nsid w:val="6B94764"/>
    <w:multiLevelType w:val="hybridMultilevel"/>
    <w:lvl w:ilvl="0">
      <w:lvlJc w:val="left"/>
      <w:lvlText w:val="•"/>
      <w:numFmt w:val="bullet"/>
      <w:start w:val="1"/>
    </w:lvl>
  </w:abstractNum>
  <w:abstractNum w:abstractNumId="47">
    <w:nsid w:val="42C296BD"/>
    <w:multiLevelType w:val="hybridMultilevel"/>
    <w:lvl w:ilvl="0">
      <w:lvlJc w:val="left"/>
      <w:lvlText w:val="•"/>
      <w:numFmt w:val="bullet"/>
      <w:start w:val="1"/>
    </w:lvl>
  </w:abstractNum>
  <w:abstractNum w:abstractNumId="48">
    <w:nsid w:val="168E121F"/>
    <w:multiLevelType w:val="hybridMultilevel"/>
    <w:lvl w:ilvl="0">
      <w:lvlJc w:val="left"/>
      <w:lvlText w:val="•"/>
      <w:numFmt w:val="bullet"/>
      <w:start w:val="1"/>
    </w:lvl>
  </w:abstractNum>
  <w:abstractNum w:abstractNumId="49">
    <w:nsid w:val="1EBA5D23"/>
    <w:multiLevelType w:val="hybridMultilevel"/>
    <w:lvl w:ilvl="0">
      <w:lvlJc w:val="left"/>
      <w:lvlText w:val="(%1)"/>
      <w:numFmt w:val="decimal"/>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abstractNum>
  <w:abstractNum w:abstractNumId="52">
    <w:nsid w:val="540A471C"/>
    <w:multiLevelType w:val="hybridMultilevel"/>
    <w:lvl w:ilvl="0">
      <w:lvlJc w:val="left"/>
      <w:lvlText w:val="•"/>
      <w:numFmt w:val="bullet"/>
      <w:start w:val="1"/>
    </w:lvl>
  </w:abstractNum>
  <w:abstractNum w:abstractNumId="53">
    <w:nsid w:val="7BD3EE7B"/>
    <w:multiLevelType w:val="hybridMultilevel"/>
    <w:lvl w:ilvl="0">
      <w:lvlJc w:val="left"/>
      <w:lvlText w:val="•"/>
      <w:numFmt w:val="bullet"/>
      <w:start w:val="1"/>
    </w:lvl>
    <w:lvl w:ilvl="1">
      <w:lvlJc w:val="left"/>
      <w:lvlText w:val="*"/>
      <w:numFmt w:val="bullet"/>
      <w:start w:val="1"/>
    </w:lvl>
  </w:abstractNum>
  <w:abstractNum w:abstractNumId="54">
    <w:nsid w:val="51D9C564"/>
    <w:multiLevelType w:val="hybridMultilevel"/>
    <w:lvl w:ilvl="0">
      <w:lvlJc w:val="left"/>
      <w:lvlText w:val="(%1)"/>
      <w:numFmt w:val="decimal"/>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
      <w:numFmt w:val="bullet"/>
      <w:start w:val="1"/>
    </w:lvl>
    <w:lvl w:ilvl="1">
      <w:lvlJc w:val="left"/>
      <w:lvlText w:val="◦"/>
      <w:numFmt w:val="bullet"/>
      <w:start w:val="1"/>
    </w:lvl>
  </w:abstractNum>
  <w:abstractNum w:abstractNumId="60">
    <w:nsid w:val="8F2B15E"/>
    <w:multiLevelType w:val="hybridMultilevel"/>
    <w:lvl w:ilvl="0">
      <w:lvlJc w:val="left"/>
      <w:lvlText w:val="•"/>
      <w:numFmt w:val="bullet"/>
      <w:start w:val="1"/>
    </w:lvl>
  </w:abstractNum>
  <w:abstractNum w:abstractNumId="61">
    <w:nsid w:val="1A32234B"/>
    <w:multiLevelType w:val="hybridMultilevel"/>
    <w:lvl w:ilvl="0">
      <w:lvlJc w:val="left"/>
      <w:lvlText w:val="•"/>
      <w:numFmt w:val="bullet"/>
      <w:start w:val="1"/>
    </w:lvl>
    <w:lvl w:ilvl="1">
      <w:lvlJc w:val="left"/>
      <w:lvlText w:val="◦"/>
      <w:numFmt w:val="bullet"/>
      <w:start w:val="1"/>
    </w:lvl>
  </w:abstractNum>
  <w:abstractNum w:abstractNumId="62">
    <w:nsid w:val="3B0FD379"/>
    <w:multiLevelType w:val="hybridMultilevel"/>
    <w:lvl w:ilvl="0">
      <w:lvlJc w:val="left"/>
      <w:lvlText w:val="•"/>
      <w:numFmt w:val="bullet"/>
      <w:start w:val="1"/>
    </w:lvl>
  </w:abstractNum>
  <w:abstractNum w:abstractNumId="63">
    <w:nsid w:val="68EB2F63"/>
    <w:multiLevelType w:val="hybridMultilevel"/>
    <w:lvl w:ilvl="0">
      <w:lvlJc w:val="left"/>
      <w:lvlText w:val="•"/>
      <w:numFmt w:val="bullet"/>
      <w:start w:val="1"/>
    </w:lvl>
  </w:abstractNum>
  <w:abstractNum w:abstractNumId="64">
    <w:nsid w:val="4962813B"/>
    <w:multiLevelType w:val="hybridMultilevel"/>
    <w:lvl w:ilvl="0">
      <w:lvlJc w:val="left"/>
      <w:lvlText w:val="(%1)"/>
      <w:numFmt w:val="decimal"/>
      <w:start w:val="1"/>
    </w:lvl>
  </w:abstractNum>
  <w:abstractNum w:abstractNumId="65">
    <w:nsid w:val="60B6DF70"/>
    <w:multiLevelType w:val="hybridMultilevel"/>
    <w:lvl w:ilvl="0">
      <w:lvlJc w:val="left"/>
      <w:lvlText w:val="(%1)"/>
      <w:numFmt w:val="decimal"/>
      <w:start w:val="1"/>
    </w:lvl>
  </w:abstractNum>
  <w:abstractNum w:abstractNumId="66">
    <w:nsid w:val="6A5EE64"/>
    <w:multiLevelType w:val="hybridMultilevel"/>
    <w:lvl w:ilvl="0">
      <w:lvlJc w:val="left"/>
      <w:lvlText w:val="(%1)"/>
      <w:numFmt w:val="decimal"/>
      <w:start w:val="1"/>
    </w:lvl>
  </w:abstractNum>
  <w:abstractNum w:abstractNumId="67">
    <w:nsid w:val="14330624"/>
    <w:multiLevelType w:val="hybridMultilevel"/>
    <w:lvl w:ilvl="0">
      <w:lvlJc w:val="left"/>
      <w:lvlText w:val="(%1)"/>
      <w:numFmt w:val="decimal"/>
      <w:start w:val="1"/>
    </w:lvl>
  </w:abstractNum>
  <w:abstractNum w:abstractNumId="68">
    <w:nsid w:val="7FFFCA11"/>
    <w:multiLevelType w:val="hybridMultilevel"/>
    <w:lvl w:ilvl="0">
      <w:lvlJc w:val="left"/>
      <w:lvlText w:val="(%1)"/>
      <w:numFmt w:val="decimal"/>
      <w:start w:val="1"/>
    </w:lvl>
  </w:abstractNum>
  <w:abstractNum w:abstractNumId="69">
    <w:nsid w:val="1A27709E"/>
    <w:multiLevelType w:val="hybridMultilevel"/>
    <w:lvl w:ilvl="0">
      <w:lvlJc w:val="left"/>
      <w:lvlText w:val="(%1)"/>
      <w:numFmt w:val="decimal"/>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
      <w:numFmt w:val="bullet"/>
      <w:start w:val="1"/>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1)"/>
      <w:numFmt w:val="decimal"/>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
    </w:lvl>
  </w:abstractNum>
  <w:abstractNum w:abstractNumId="80">
    <w:nsid w:val="14E17E33"/>
    <w:multiLevelType w:val="hybridMultilevel"/>
    <w:lvl w:ilvl="0">
      <w:lvlJc w:val="left"/>
      <w:lvlText w:val="(%1)"/>
      <w:numFmt w:val="decimal"/>
      <w:start w:val="1"/>
    </w:lvl>
  </w:abstractNum>
  <w:abstractNum w:abstractNumId="81">
    <w:nsid w:val="3222E7CD"/>
    <w:multiLevelType w:val="hybridMultilevel"/>
    <w:lvl w:ilvl="0">
      <w:lvlJc w:val="left"/>
      <w:lvlText w:val="•"/>
      <w:numFmt w:val="bullet"/>
      <w:start w:val="1"/>
    </w:lvl>
  </w:abstractNum>
  <w:abstractNum w:abstractNumId="82">
    <w:nsid w:val="74DE0EE3"/>
    <w:multiLevelType w:val="hybridMultilevel"/>
    <w:lvl w:ilvl="0">
      <w:lvlJc w:val="left"/>
      <w:lvlText w:val="•"/>
      <w:numFmt w:val="bullet"/>
      <w:start w:val="1"/>
    </w:lvl>
  </w:abstractNum>
  <w:abstractNum w:abstractNumId="83">
    <w:nsid w:val="68EBC550"/>
    <w:multiLevelType w:val="hybridMultilevel"/>
    <w:lvl w:ilvl="0">
      <w:lvlJc w:val="left"/>
      <w:lvlText w:val="•"/>
      <w:numFmt w:val="bullet"/>
      <w:start w:val="1"/>
    </w:lvl>
  </w:abstractNum>
  <w:abstractNum w:abstractNumId="84">
    <w:nsid w:val="2DF6D648"/>
    <w:multiLevelType w:val="hybridMultilevel"/>
    <w:lvl w:ilvl="0">
      <w:lvlJc w:val="left"/>
      <w:lvlText w:val="(%1)"/>
      <w:numFmt w:val="decimal"/>
      <w:start w:val="1"/>
    </w:lvl>
    <w:lvl w:ilvl="1">
      <w:lvlJc w:val="left"/>
      <w:lvlText w:val="•"/>
      <w:numFmt w:val="bullet"/>
      <w:start w:val="1"/>
    </w:lvl>
  </w:abstractNum>
  <w:abstractNum w:abstractNumId="85">
    <w:nsid w:val="46B7D447"/>
    <w:multiLevelType w:val="hybridMultilevel"/>
    <w:lvl w:ilvl="0">
      <w:lvlJc w:val="left"/>
      <w:lvlText w:val="(%1)"/>
      <w:numFmt w:val="decimal"/>
      <w:start w:val="6"/>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1"/>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
      <w:numFmt w:val="bullet"/>
      <w:start w:val="1"/>
    </w:lvl>
  </w:abstractNum>
  <w:abstractNum w:abstractNumId="90">
    <w:nsid w:val="43F18422"/>
    <w:multiLevelType w:val="hybridMultilevel"/>
    <w:lvl w:ilvl="0">
      <w:lvlJc w:val="left"/>
      <w:lvlText w:val="(%1)"/>
      <w:numFmt w:val="decimal"/>
      <w:start w:val="1"/>
    </w:lvl>
  </w:abstractNum>
  <w:abstractNum w:abstractNumId="91">
    <w:nsid w:val="60EF0119"/>
    <w:multiLevelType w:val="hybridMultilevel"/>
    <w:lvl w:ilvl="0">
      <w:lvlJc w:val="left"/>
      <w:lvlText w:val="(%1)"/>
      <w:numFmt w:val="decimal"/>
      <w:start w:val="1"/>
    </w:lvl>
  </w:abstractNum>
  <w:abstractNum w:abstractNumId="92">
    <w:nsid w:val="26F324BA"/>
    <w:multiLevelType w:val="hybridMultilevel"/>
    <w:lvl w:ilvl="0">
      <w:lvlJc w:val="left"/>
      <w:lvlText w:val="%1."/>
      <w:numFmt w:val="decimal"/>
      <w:start w:val="1"/>
    </w:lvl>
  </w:abstractNum>
  <w:abstractNum w:abstractNumId="93">
    <w:nsid w:val="7F01579B"/>
    <w:multiLevelType w:val="hybridMultilevel"/>
    <w:lvl w:ilvl="0">
      <w:lvlJc w:val="left"/>
      <w:lvlText w:val="%1."/>
      <w:numFmt w:val="decimal"/>
      <w:start w:val="2"/>
    </w:lvl>
  </w:abstractNum>
  <w:abstractNum w:abstractNumId="94">
    <w:nsid w:val="49DA307D"/>
    <w:multiLevelType w:val="hybridMultilevel"/>
    <w:lvl w:ilvl="0">
      <w:lvlJc w:val="left"/>
      <w:lvlText w:val="%1."/>
      <w:numFmt w:val="decimal"/>
      <w:start w:val="3"/>
    </w:lvl>
  </w:abstractNum>
  <w:abstractNum w:abstractNumId="95">
    <w:nsid w:val="7055A5F5"/>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jpe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jpe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jpe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jpe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jpe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2023-03-15T06:51:36Z</dcterms:created>
  <dcterms:modified xsi:type="dcterms:W3CDTF">2023-03-15T06:51:36Z</dcterms:modified>
</cp:coreProperties>
</file>