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_____________________________________________</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_____________________________________________</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_____________________________________________</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25, 2019</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BWX TECHNOLOGIES,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2440" w:type="dxa"/>
        <w:tblCellMar>
          <w:top w:w="0" w:type="dxa"/>
          <w:left w:w="0" w:type="dxa"/>
          <w:bottom w:w="0" w:type="dxa"/>
          <w:right w:w="0" w:type="dxa"/>
        </w:tblCellMar>
      </w:tblPr>
      <w:tr>
        <w:trPr>
          <w:trHeight w:val="234"/>
        </w:trPr>
        <w:tc>
          <w:tcPr>
            <w:tcW w:w="260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Delaware</w:t>
            </w:r>
          </w:p>
        </w:tc>
        <w:tc>
          <w:tcPr>
            <w:tcW w:w="1640" w:type="dxa"/>
            <w:vAlign w:val="bottom"/>
          </w:tcPr>
          <w:p>
            <w:pPr>
              <w:ind w:left="280"/>
              <w:spacing w:after="0"/>
              <w:rPr>
                <w:sz w:val="20"/>
                <w:szCs w:val="20"/>
                <w:color w:val="auto"/>
              </w:rPr>
            </w:pPr>
            <w:r>
              <w:rPr>
                <w:rFonts w:ascii="Arial" w:cs="Arial" w:eastAsia="Arial" w:hAnsi="Arial"/>
                <w:sz w:val="18"/>
                <w:szCs w:val="18"/>
                <w:b w:val="1"/>
                <w:bCs w:val="1"/>
                <w:color w:val="auto"/>
              </w:rPr>
              <w:t>001-34658</w:t>
            </w:r>
          </w:p>
        </w:tc>
        <w:tc>
          <w:tcPr>
            <w:tcW w:w="1680" w:type="dxa"/>
            <w:vAlign w:val="bottom"/>
          </w:tcPr>
          <w:p>
            <w:pPr>
              <w:jc w:val="right"/>
              <w:ind w:right="61"/>
              <w:spacing w:after="0"/>
              <w:rPr>
                <w:sz w:val="20"/>
                <w:szCs w:val="20"/>
                <w:color w:val="auto"/>
              </w:rPr>
            </w:pPr>
            <w:r>
              <w:rPr>
                <w:rFonts w:ascii="Arial" w:cs="Arial" w:eastAsia="Arial" w:hAnsi="Arial"/>
                <w:sz w:val="18"/>
                <w:szCs w:val="18"/>
                <w:b w:val="1"/>
                <w:bCs w:val="1"/>
                <w:color w:val="auto"/>
              </w:rPr>
              <w:t>80-0558025</w:t>
            </w:r>
          </w:p>
        </w:tc>
      </w:tr>
      <w:tr>
        <w:trPr>
          <w:trHeight w:val="218"/>
        </w:trPr>
        <w:tc>
          <w:tcPr>
            <w:tcW w:w="26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1640" w:type="dxa"/>
            <w:vAlign w:val="bottom"/>
          </w:tcPr>
          <w:p>
            <w:pPr>
              <w:ind w:left="260"/>
              <w:spacing w:after="0"/>
              <w:rPr>
                <w:sz w:val="20"/>
                <w:szCs w:val="20"/>
                <w:color w:val="auto"/>
              </w:rPr>
            </w:pPr>
            <w:r>
              <w:rPr>
                <w:rFonts w:ascii="Arial" w:cs="Arial" w:eastAsia="Arial" w:hAnsi="Arial"/>
                <w:sz w:val="14"/>
                <w:szCs w:val="14"/>
                <w:b w:val="1"/>
                <w:bCs w:val="1"/>
                <w:color w:val="auto"/>
              </w:rPr>
              <w:t>(Commission</w:t>
            </w:r>
          </w:p>
        </w:tc>
        <w:tc>
          <w:tcPr>
            <w:tcW w:w="1680" w:type="dxa"/>
            <w:vAlign w:val="bottom"/>
          </w:tcPr>
          <w:p>
            <w:pPr>
              <w:jc w:val="center"/>
              <w:ind w:left="461"/>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26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of incorporation)</w:t>
            </w:r>
          </w:p>
        </w:tc>
        <w:tc>
          <w:tcPr>
            <w:tcW w:w="1640" w:type="dxa"/>
            <w:vAlign w:val="bottom"/>
          </w:tcPr>
          <w:p>
            <w:pPr>
              <w:ind w:left="24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tcPr>
          <w:p>
            <w:pPr>
              <w:jc w:val="center"/>
              <w:ind w:left="48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26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800 Main Street, 4th Floor</w:t>
            </w: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2600" w:type="dxa"/>
            <w:vAlign w:val="bottom"/>
          </w:tcPr>
          <w:p>
            <w:pPr>
              <w:jc w:val="center"/>
              <w:ind w:right="159"/>
              <w:spacing w:after="0"/>
              <w:rPr>
                <w:sz w:val="20"/>
                <w:szCs w:val="20"/>
                <w:color w:val="auto"/>
              </w:rPr>
            </w:pPr>
            <w:r>
              <w:rPr>
                <w:rFonts w:ascii="Arial" w:cs="Arial" w:eastAsia="Arial" w:hAnsi="Arial"/>
                <w:sz w:val="18"/>
                <w:szCs w:val="18"/>
                <w:b w:val="1"/>
                <w:bCs w:val="1"/>
                <w:color w:val="auto"/>
                <w:w w:val="92"/>
              </w:rPr>
              <w:t>Lynchburg, Virginia</w:t>
            </w:r>
          </w:p>
        </w:tc>
        <w:tc>
          <w:tcPr>
            <w:tcW w:w="1640" w:type="dxa"/>
            <w:vAlign w:val="bottom"/>
          </w:tcPr>
          <w:p>
            <w:pPr>
              <w:spacing w:after="0"/>
              <w:rPr>
                <w:sz w:val="23"/>
                <w:szCs w:val="23"/>
                <w:color w:val="auto"/>
              </w:rPr>
            </w:pPr>
          </w:p>
        </w:tc>
        <w:tc>
          <w:tcPr>
            <w:tcW w:w="1680" w:type="dxa"/>
            <w:vAlign w:val="bottom"/>
          </w:tcPr>
          <w:p>
            <w:pPr>
              <w:jc w:val="right"/>
              <w:ind w:right="261"/>
              <w:spacing w:after="0"/>
              <w:rPr>
                <w:sz w:val="20"/>
                <w:szCs w:val="20"/>
                <w:color w:val="auto"/>
              </w:rPr>
            </w:pPr>
            <w:r>
              <w:rPr>
                <w:rFonts w:ascii="Arial" w:cs="Arial" w:eastAsia="Arial" w:hAnsi="Arial"/>
                <w:sz w:val="18"/>
                <w:szCs w:val="18"/>
                <w:b w:val="1"/>
                <w:bCs w:val="1"/>
                <w:color w:val="auto"/>
              </w:rPr>
              <w:t>24504</w:t>
            </w:r>
          </w:p>
        </w:tc>
      </w:tr>
      <w:tr>
        <w:trPr>
          <w:trHeight w:val="218"/>
        </w:trPr>
        <w:tc>
          <w:tcPr>
            <w:tcW w:w="260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40" w:type="dxa"/>
            <w:vAlign w:val="bottom"/>
          </w:tcPr>
          <w:p>
            <w:pPr>
              <w:spacing w:after="0"/>
              <w:rPr>
                <w:sz w:val="18"/>
                <w:szCs w:val="18"/>
                <w:color w:val="auto"/>
              </w:rPr>
            </w:pPr>
          </w:p>
        </w:tc>
        <w:tc>
          <w:tcPr>
            <w:tcW w:w="1680" w:type="dxa"/>
            <w:vAlign w:val="bottom"/>
          </w:tcPr>
          <w:p>
            <w:pPr>
              <w:jc w:val="center"/>
              <w:ind w:left="46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(980) 365-4300</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_____________________________________________</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380" w:hanging="2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2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2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80" w:hanging="2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20"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On February 25, 2019, we issued a press release announcing our financial results for the fourth quarter ended December 31, 2018.</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 copy of the press release is attached as Exhibit 99.1, and the information contained in Exhibit 99.1 is incorporated by reference.</w:t>
      </w:r>
    </w:p>
    <w:p>
      <w:pPr>
        <w:spacing w:after="0" w:line="27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information furnished pursuant to this Item 2.02, including Exhibit 99.1, shall not be deemed to be "filed" for the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filing.</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18"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11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99.1  </w:t>
      </w:r>
      <w:hyperlink w:anchor="page3">
        <w:r>
          <w:rPr>
            <w:rFonts w:ascii="Arial" w:cs="Arial" w:eastAsia="Arial" w:hAnsi="Arial"/>
            <w:sz w:val="22"/>
            <w:szCs w:val="22"/>
            <w:u w:val="single" w:color="auto"/>
            <w:color w:val="0000FF"/>
          </w:rPr>
          <w:t>Earnings Release dated February 25, 2019</w:t>
        </w:r>
      </w:hyperlink>
      <w:r>
        <w:rPr>
          <w:rFonts w:ascii="Arial" w:cs="Arial" w:eastAsia="Arial" w:hAnsi="Arial"/>
          <w:sz w:val="22"/>
          <w:szCs w:val="22"/>
          <w:color w:val="auto"/>
        </w:rPr>
        <w: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BWX TECHNOLOGIES, INC.</w:t>
      </w:r>
    </w:p>
    <w:p>
      <w:pPr>
        <w:spacing w:after="0" w:line="226" w:lineRule="exact"/>
        <w:rPr>
          <w:sz w:val="20"/>
          <w:szCs w:val="20"/>
          <w:color w:val="auto"/>
        </w:rPr>
      </w:pPr>
    </w:p>
    <w:p>
      <w:pPr>
        <w:ind w:left="5640"/>
        <w:spacing w:after="0"/>
        <w:tabs>
          <w:tab w:leader="none" w:pos="6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Jason S.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24765</wp:posOffset>
            </wp:positionV>
            <wp:extent cx="2538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Jason S. Kerr</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February 25, 2019</w:t>
      </w:r>
    </w:p>
    <w:p>
      <w:pPr>
        <w:sectPr>
          <w:pgSz w:w="11900" w:h="16838" w:orient="portrait"/>
          <w:cols w:equalWidth="0" w:num="1">
            <w:col w:w="11400"/>
          </w:cols>
          <w:pgMar w:left="240" w:top="625"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166370</wp:posOffset>
            </wp:positionV>
            <wp:extent cx="5848985" cy="969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9690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740" w:right="140"/>
        <w:spacing w:after="0" w:line="282" w:lineRule="auto"/>
        <w:rPr>
          <w:sz w:val="20"/>
          <w:szCs w:val="20"/>
          <w:color w:val="auto"/>
        </w:rPr>
      </w:pPr>
      <w:r>
        <w:rPr>
          <w:rFonts w:ascii="Arial" w:cs="Arial" w:eastAsia="Arial" w:hAnsi="Arial"/>
          <w:sz w:val="25"/>
          <w:szCs w:val="25"/>
          <w:b w:val="1"/>
          <w:bCs w:val="1"/>
          <w:color w:val="auto"/>
        </w:rPr>
        <w:t>BWX Technologies Concludes 2018 with Record Fourth Quarter Results; Positioned for Continued Growth in 2019</w:t>
      </w:r>
    </w:p>
    <w:p>
      <w:pPr>
        <w:spacing w:after="0" w:line="366" w:lineRule="exact"/>
        <w:rPr>
          <w:sz w:val="20"/>
          <w:szCs w:val="20"/>
          <w:color w:val="auto"/>
        </w:rPr>
      </w:pPr>
    </w:p>
    <w:p>
      <w:pPr>
        <w:ind w:left="1300" w:hanging="239"/>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4Q18 GAAP EPS of $0.22; non-GAAP EPS of $0.74; revenue up 11% vs. 4Q17</w:t>
      </w:r>
    </w:p>
    <w:p>
      <w:pPr>
        <w:spacing w:after="0" w:line="111" w:lineRule="exact"/>
        <w:rPr>
          <w:rFonts w:ascii="Arial" w:cs="Arial" w:eastAsia="Arial" w:hAnsi="Arial"/>
          <w:sz w:val="22"/>
          <w:szCs w:val="22"/>
          <w:color w:val="auto"/>
        </w:rPr>
      </w:pPr>
    </w:p>
    <w:p>
      <w:pPr>
        <w:ind w:left="1300" w:hanging="239"/>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2018 GAAP EPS of $2.27; non-GAAP EPS of $2.39; revenue up 7% vs. 2017</w:t>
      </w:r>
    </w:p>
    <w:p>
      <w:pPr>
        <w:spacing w:after="0" w:line="111" w:lineRule="exact"/>
        <w:rPr>
          <w:rFonts w:ascii="Arial" w:cs="Arial" w:eastAsia="Arial" w:hAnsi="Arial"/>
          <w:sz w:val="22"/>
          <w:szCs w:val="22"/>
          <w:color w:val="auto"/>
        </w:rPr>
      </w:pPr>
    </w:p>
    <w:p>
      <w:pPr>
        <w:ind w:left="1300" w:hanging="239"/>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Returned $279 million of cash to shareholders in 2018</w:t>
      </w:r>
    </w:p>
    <w:p>
      <w:pPr>
        <w:spacing w:after="0" w:line="111" w:lineRule="exact"/>
        <w:rPr>
          <w:rFonts w:ascii="Arial" w:cs="Arial" w:eastAsia="Arial" w:hAnsi="Arial"/>
          <w:sz w:val="22"/>
          <w:szCs w:val="22"/>
          <w:color w:val="auto"/>
        </w:rPr>
      </w:pPr>
    </w:p>
    <w:p>
      <w:pPr>
        <w:ind w:left="1300" w:hanging="239"/>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Announces 6% quarterly dividend increase to $0.17 per share</w:t>
      </w:r>
    </w:p>
    <w:p>
      <w:pPr>
        <w:spacing w:after="0" w:line="111" w:lineRule="exact"/>
        <w:rPr>
          <w:rFonts w:ascii="Arial" w:cs="Arial" w:eastAsia="Arial" w:hAnsi="Arial"/>
          <w:sz w:val="22"/>
          <w:szCs w:val="22"/>
          <w:color w:val="auto"/>
        </w:rPr>
      </w:pPr>
    </w:p>
    <w:p>
      <w:pPr>
        <w:ind w:left="1300" w:hanging="239"/>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Issues 2019 guidance: non-GAAP EPS of ~$2.50; revenue growth of ~6%</w:t>
      </w:r>
    </w:p>
    <w:p>
      <w:pPr>
        <w:spacing w:after="0" w:line="111" w:lineRule="exact"/>
        <w:rPr>
          <w:rFonts w:ascii="Arial" w:cs="Arial" w:eastAsia="Arial" w:hAnsi="Arial"/>
          <w:sz w:val="22"/>
          <w:szCs w:val="22"/>
          <w:color w:val="auto"/>
        </w:rPr>
      </w:pPr>
    </w:p>
    <w:p>
      <w:pPr>
        <w:ind w:left="1300" w:hanging="239"/>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Reiterates 3-5 year, low-double-digit non-GAAP EPS CAGR from 2017 results</w:t>
      </w:r>
    </w:p>
    <w:p>
      <w:pPr>
        <w:spacing w:after="0" w:line="32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Lynchburg, VA - February 25, 2019 </w:t>
      </w:r>
      <w:r>
        <w:rPr>
          <w:rFonts w:ascii="Arial" w:cs="Arial" w:eastAsia="Arial" w:hAnsi="Arial"/>
          <w:sz w:val="21"/>
          <w:szCs w:val="21"/>
          <w:color w:val="auto"/>
        </w:rPr>
        <w:t>- BWX Technologies, Inc. (NYSE: BWXT) ("BWXT", "we", "us" or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reported record fourth quarter 2018 revenue of $478 million, an 11% increase compared with $430 million in the fourth quarter of 2017. GAAP net income for the fourth quarter 2018 was $21.9 million, or $0.22 per diluted share, compared with a net loss of $15.7 million, or a loss of $0.16 per share, in the prior-year quarter. Non-GAAP net income for the fourth quarter 2018 was $73.0 million, or $0.74 per diluted share, compared with $47.5 million, or $0.47 per diluted share, in the prior-year quarter. A reconciliation of non-GAAP results is detailed in Exhibit 1.</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Full year 2018 revenue was $1.8 billion, a 6.6% increase compared to $1.7 billion in 2017. GAAP net income for the full year 2018 was $227.0 million, or $2.27 per diluted share, which includes a $0.25 unfavorable impact of non-cash, mark-to-market loss for pension and other post-retirement benefits, compared with $147.8 million, or $1.47 per diluted share, in 2017. Non-GAAP net income for the full year 2018 was $238.8 million, or $2.39 per diluted share, up 17% compared with $205.6 million, or $2.05 per diluted share, in the prior year.</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had an impressive finish to 2018 with record fourth quarter financial results," said Rex D. Geveden, president and chief executive officer. "Despite some operational challenges and pension and interest headwinds especially in the second half, 2018 was yet another stride forward in our aggressive growth plans. We enter 2019 well positioned for continued revenue and earnings growth as we progress toward the achievement of our long-term guidance.”</w:t>
      </w:r>
    </w:p>
    <w:p>
      <w:pPr>
        <w:spacing w:after="0" w:line="22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"Strategic focus areas for 2019 are to ramp up production of the Columbia-class submarine, complete the pricing agreement for a second Ford-Class carrier, industrialize our radioisotope technology, and capitalize future organic growth opportunities.”</w:t>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i w:val="1"/>
          <w:iCs w:val="1"/>
          <w:color w:val="auto"/>
        </w:rPr>
        <w:t>Fourth Quarter and Full Year 2018 Segment Results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Nuclear Operations Group (NOG) segment revenue was $351 million for the fourth quarter of 2018, a 13% increase from the prior-year period, driven primarily by accelerated revenue through favorable EAC changes that included increased future volume assumptions that benefited backlog contracts and higher naval nuclear fuel and downblending services. Full-year segment revenue was $1.3 billion, a 3.7% increase compared with 2017 as a result of increases in volume from naval nuclear components as well as nuclear fuel and downblending operations.</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NOG operating income was $91.1 million in the fourth quarter of 2018, a 41% increase compared with the prior-year period primarily driven by lower costs and favorable EAC changes that included increased future volume assumptions that benefited backlog contracts. Full-year segment operating income was $271 million, inclusive of a $29.2 million reserve for missile tube rework, a 1.3% increase compared with the prior year driven by higher volume and reduced costs. Fourth quarter and full year 2018 segment operating margins were 26.0% and 20.6%, respectively.</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Nuclear Power Group (NPG) segment revenue was $98.2 million for the fourth quarter of 2018, a 15.6% increase from the prior-year period due to increases in field services, fuel handling and manufacturing, and the medical radioisotope acquisition. Full-year segment revenue was $366 million, a 28% increase compared with the prior year primarily from an increase in field services, fuel manufacturing, China steam generator production and the medical radioisotope acquisition.</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NPG operating income was $13.6 million in the fourth quarter of 2018, a 44% increase from the prior-year period driven primarily from higher volume and the medical radioisotope acquisition. Full-year segment operating income was $52.3 million, a 43% increase compared with the prior year driven by higher volume and the medical radioisotope acquisition. Fourth quarter and full-year 2018 segment operating margins were 13.9% and 14.3%, respectively.</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Nuclear Services Group (NSG) segment operating income was $9.2 million for the fourth quarter of 2018 compared with $5.5 million for the fourth quarter of 2017 primarily as a result of an improvement in operational performance and lower costs. Full-year segment operating income was down $1.7 million to $20.4 million primarily driven by a $7.9 million favorable legal settlement in 2017.</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 and Debt</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Company generated $177.7 million of net cash from operating activities in the fourth quarter of 2018 compared with $77.1 million in the prior-year period. At the end of the fourth quarter 2018, the Company’s cash and short-term investments position, net of restricted cash, was $33.5 million.</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2018, the Company had gross debt of $777.4 million and $63.5 million in letters of credit issued under the Company's revolving credit facility. Gross debt included $400.0 million in senior notes, $277.4 million in term loans and $100.0 million in borrowings under the Company’s revolving credit facility. As a result, the Company had $336.5 million in remaining availability under its revolving credit facility.</w:t>
      </w:r>
    </w:p>
    <w:p>
      <w:pPr>
        <w:sectPr>
          <w:pgSz w:w="11900" w:h="16838" w:orient="portrait"/>
          <w:cols w:equalWidth="0" w:num="1">
            <w:col w:w="11420"/>
          </w:cols>
          <w:pgMar w:left="240" w:top="375"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Capital Deployment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Company returned $168 million to shareholders during the fourth quarter 2018, including $152 million in share repurchases and $16 million in dividends. For the fiscal year 2018, the Company returned $279 million of cash to shareholders, including $215 million in share repurchases and $64 million in dividends. As of December 31, 2018, the total remaining share repurchase authorization stands at $185 million.</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On February 22, 2019, our Board of Directors declared a quarterly cash dividend of $0.17 per common share. The dividend will be payable on March 28, 2019, to shareholders of record on March 11, 2019.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Guidance</w:t>
      </w:r>
    </w:p>
    <w:p>
      <w:pPr>
        <w:spacing w:after="0" w:line="58" w:lineRule="exact"/>
        <w:rPr>
          <w:sz w:val="20"/>
          <w:szCs w:val="20"/>
          <w:color w:val="auto"/>
        </w:rPr>
      </w:pPr>
    </w:p>
    <w:p>
      <w:pPr>
        <w:ind w:left="500" w:hanging="249"/>
        <w:spacing w:after="0"/>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Non-GAAP EPS of ~$2.50 (excluding mark-to-market for pension and post-retirement benefits)</w:t>
      </w:r>
    </w:p>
    <w:p>
      <w:pPr>
        <w:spacing w:after="0" w:line="57" w:lineRule="exact"/>
        <w:rPr>
          <w:rFonts w:ascii="Arial" w:cs="Arial" w:eastAsia="Arial" w:hAnsi="Arial"/>
          <w:sz w:val="22"/>
          <w:szCs w:val="22"/>
          <w:color w:val="auto"/>
        </w:rPr>
      </w:pPr>
    </w:p>
    <w:p>
      <w:pPr>
        <w:ind w:left="500" w:hanging="249"/>
        <w:spacing w:after="0"/>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Consolidated revenue growth of ~6%</w:t>
      </w:r>
    </w:p>
    <w:p>
      <w:pPr>
        <w:spacing w:after="0" w:line="57" w:lineRule="exact"/>
        <w:rPr>
          <w:rFonts w:ascii="Arial" w:cs="Arial" w:eastAsia="Arial" w:hAnsi="Arial"/>
          <w:sz w:val="22"/>
          <w:szCs w:val="22"/>
          <w:color w:val="auto"/>
        </w:rPr>
      </w:pPr>
    </w:p>
    <w:p>
      <w:pPr>
        <w:ind w:left="900" w:hanging="244"/>
        <w:spacing w:after="0"/>
        <w:tabs>
          <w:tab w:leader="none" w:pos="900" w:val="left"/>
        </w:tabs>
        <w:numPr>
          <w:ilvl w:val="1"/>
          <w:numId w:val="4"/>
        </w:numPr>
        <w:rPr>
          <w:rFonts w:ascii="Arial" w:cs="Arial" w:eastAsia="Arial" w:hAnsi="Arial"/>
          <w:sz w:val="22"/>
          <w:szCs w:val="22"/>
          <w:color w:val="auto"/>
        </w:rPr>
      </w:pPr>
      <w:r>
        <w:rPr>
          <w:rFonts w:ascii="Arial" w:cs="Arial" w:eastAsia="Arial" w:hAnsi="Arial"/>
          <w:sz w:val="22"/>
          <w:szCs w:val="22"/>
          <w:color w:val="auto"/>
        </w:rPr>
        <w:t>NOG revenue growth of ~6%</w:t>
      </w:r>
    </w:p>
    <w:p>
      <w:pPr>
        <w:spacing w:after="0" w:line="57" w:lineRule="exact"/>
        <w:rPr>
          <w:rFonts w:ascii="Arial" w:cs="Arial" w:eastAsia="Arial" w:hAnsi="Arial"/>
          <w:sz w:val="22"/>
          <w:szCs w:val="22"/>
          <w:color w:val="auto"/>
        </w:rPr>
      </w:pPr>
    </w:p>
    <w:p>
      <w:pPr>
        <w:ind w:left="900" w:hanging="244"/>
        <w:spacing w:after="0"/>
        <w:tabs>
          <w:tab w:leader="none" w:pos="900" w:val="left"/>
        </w:tabs>
        <w:numPr>
          <w:ilvl w:val="1"/>
          <w:numId w:val="4"/>
        </w:numPr>
        <w:rPr>
          <w:rFonts w:ascii="Arial" w:cs="Arial" w:eastAsia="Arial" w:hAnsi="Arial"/>
          <w:sz w:val="22"/>
          <w:szCs w:val="22"/>
          <w:color w:val="auto"/>
        </w:rPr>
      </w:pPr>
      <w:r>
        <w:rPr>
          <w:rFonts w:ascii="Arial" w:cs="Arial" w:eastAsia="Arial" w:hAnsi="Arial"/>
          <w:sz w:val="22"/>
          <w:szCs w:val="22"/>
          <w:color w:val="auto"/>
        </w:rPr>
        <w:t>NPG revenue ~flat</w:t>
      </w:r>
    </w:p>
    <w:p>
      <w:pPr>
        <w:spacing w:after="0" w:line="57" w:lineRule="exact"/>
        <w:rPr>
          <w:rFonts w:ascii="Arial" w:cs="Arial" w:eastAsia="Arial" w:hAnsi="Arial"/>
          <w:sz w:val="22"/>
          <w:szCs w:val="22"/>
          <w:color w:val="auto"/>
        </w:rPr>
      </w:pPr>
    </w:p>
    <w:p>
      <w:pPr>
        <w:ind w:left="500" w:hanging="249"/>
        <w:spacing w:after="0"/>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income and margin</w:t>
      </w:r>
    </w:p>
    <w:p>
      <w:pPr>
        <w:spacing w:after="0" w:line="57" w:lineRule="exact"/>
        <w:rPr>
          <w:rFonts w:ascii="Arial" w:cs="Arial" w:eastAsia="Arial" w:hAnsi="Arial"/>
          <w:sz w:val="22"/>
          <w:szCs w:val="22"/>
          <w:color w:val="auto"/>
        </w:rPr>
      </w:pPr>
    </w:p>
    <w:p>
      <w:pPr>
        <w:ind w:left="900" w:hanging="244"/>
        <w:spacing w:after="0"/>
        <w:tabs>
          <w:tab w:leader="none" w:pos="900" w:val="left"/>
        </w:tabs>
        <w:numPr>
          <w:ilvl w:val="1"/>
          <w:numId w:val="4"/>
        </w:numPr>
        <w:rPr>
          <w:rFonts w:ascii="Arial" w:cs="Arial" w:eastAsia="Arial" w:hAnsi="Arial"/>
          <w:sz w:val="22"/>
          <w:szCs w:val="22"/>
          <w:color w:val="auto"/>
        </w:rPr>
      </w:pPr>
      <w:r>
        <w:rPr>
          <w:rFonts w:ascii="Arial" w:cs="Arial" w:eastAsia="Arial" w:hAnsi="Arial"/>
          <w:sz w:val="22"/>
          <w:szCs w:val="22"/>
          <w:color w:val="auto"/>
        </w:rPr>
        <w:t>NOG operating margin in the “high teens” with upside potential from CAS pension reimbursement</w:t>
      </w:r>
    </w:p>
    <w:p>
      <w:pPr>
        <w:spacing w:after="0" w:line="57" w:lineRule="exact"/>
        <w:rPr>
          <w:rFonts w:ascii="Arial" w:cs="Arial" w:eastAsia="Arial" w:hAnsi="Arial"/>
          <w:sz w:val="22"/>
          <w:szCs w:val="22"/>
          <w:color w:val="auto"/>
        </w:rPr>
      </w:pPr>
    </w:p>
    <w:p>
      <w:pPr>
        <w:ind w:left="900" w:hanging="244"/>
        <w:spacing w:after="0"/>
        <w:tabs>
          <w:tab w:leader="none" w:pos="900" w:val="left"/>
        </w:tabs>
        <w:numPr>
          <w:ilvl w:val="1"/>
          <w:numId w:val="4"/>
        </w:numPr>
        <w:rPr>
          <w:rFonts w:ascii="Arial" w:cs="Arial" w:eastAsia="Arial" w:hAnsi="Arial"/>
          <w:sz w:val="22"/>
          <w:szCs w:val="22"/>
          <w:color w:val="auto"/>
        </w:rPr>
      </w:pPr>
      <w:r>
        <w:rPr>
          <w:rFonts w:ascii="Arial" w:cs="Arial" w:eastAsia="Arial" w:hAnsi="Arial"/>
          <w:sz w:val="22"/>
          <w:szCs w:val="22"/>
          <w:color w:val="auto"/>
        </w:rPr>
        <w:t>NPG operating margin of ~13%</w:t>
      </w:r>
    </w:p>
    <w:p>
      <w:pPr>
        <w:spacing w:after="0" w:line="57" w:lineRule="exact"/>
        <w:rPr>
          <w:rFonts w:ascii="Arial" w:cs="Arial" w:eastAsia="Arial" w:hAnsi="Arial"/>
          <w:sz w:val="22"/>
          <w:szCs w:val="22"/>
          <w:color w:val="auto"/>
        </w:rPr>
      </w:pPr>
    </w:p>
    <w:p>
      <w:pPr>
        <w:ind w:left="900" w:hanging="244"/>
        <w:spacing w:after="0"/>
        <w:tabs>
          <w:tab w:leader="none" w:pos="900" w:val="left"/>
        </w:tabs>
        <w:numPr>
          <w:ilvl w:val="1"/>
          <w:numId w:val="4"/>
        </w:numPr>
        <w:rPr>
          <w:rFonts w:ascii="Arial" w:cs="Arial" w:eastAsia="Arial" w:hAnsi="Arial"/>
          <w:sz w:val="22"/>
          <w:szCs w:val="22"/>
          <w:color w:val="auto"/>
        </w:rPr>
      </w:pPr>
      <w:r>
        <w:rPr>
          <w:rFonts w:ascii="Arial" w:cs="Arial" w:eastAsia="Arial" w:hAnsi="Arial"/>
          <w:sz w:val="22"/>
          <w:szCs w:val="22"/>
          <w:color w:val="auto"/>
        </w:rPr>
        <w:t>NSG operating income of ~$25 million</w:t>
      </w:r>
    </w:p>
    <w:p>
      <w:pPr>
        <w:spacing w:after="0" w:line="57" w:lineRule="exact"/>
        <w:rPr>
          <w:rFonts w:ascii="Arial" w:cs="Arial" w:eastAsia="Arial" w:hAnsi="Arial"/>
          <w:sz w:val="22"/>
          <w:szCs w:val="22"/>
          <w:color w:val="auto"/>
        </w:rPr>
      </w:pPr>
    </w:p>
    <w:p>
      <w:pPr>
        <w:ind w:left="900" w:hanging="244"/>
        <w:spacing w:after="0"/>
        <w:tabs>
          <w:tab w:leader="none" w:pos="900" w:val="left"/>
        </w:tabs>
        <w:numPr>
          <w:ilvl w:val="1"/>
          <w:numId w:val="4"/>
        </w:numPr>
        <w:rPr>
          <w:rFonts w:ascii="Arial" w:cs="Arial" w:eastAsia="Arial" w:hAnsi="Arial"/>
          <w:sz w:val="22"/>
          <w:szCs w:val="22"/>
          <w:color w:val="auto"/>
        </w:rPr>
      </w:pPr>
      <w:r>
        <w:rPr>
          <w:rFonts w:ascii="Arial" w:cs="Arial" w:eastAsia="Arial" w:hAnsi="Arial"/>
          <w:sz w:val="22"/>
          <w:szCs w:val="22"/>
          <w:color w:val="auto"/>
        </w:rPr>
        <w:t>Other segment operating expense primarily R&amp;D of ~1% of revenue</w:t>
      </w:r>
    </w:p>
    <w:p>
      <w:pPr>
        <w:spacing w:after="0" w:line="57" w:lineRule="exact"/>
        <w:rPr>
          <w:rFonts w:ascii="Arial" w:cs="Arial" w:eastAsia="Arial" w:hAnsi="Arial"/>
          <w:sz w:val="22"/>
          <w:szCs w:val="22"/>
          <w:color w:val="auto"/>
        </w:rPr>
      </w:pPr>
    </w:p>
    <w:p>
      <w:pPr>
        <w:ind w:left="500" w:hanging="249"/>
        <w:spacing w:after="0"/>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Unallocated corporate expenses of ~$20 million</w:t>
      </w:r>
    </w:p>
    <w:p>
      <w:pPr>
        <w:spacing w:after="0" w:line="57" w:lineRule="exact"/>
        <w:rPr>
          <w:rFonts w:ascii="Arial" w:cs="Arial" w:eastAsia="Arial" w:hAnsi="Arial"/>
          <w:sz w:val="22"/>
          <w:szCs w:val="22"/>
          <w:color w:val="auto"/>
        </w:rPr>
      </w:pPr>
    </w:p>
    <w:p>
      <w:pPr>
        <w:ind w:left="500" w:hanging="249"/>
        <w:spacing w:after="0"/>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Other income primarily related to pension and other post-employment benefits of ~$22 million</w:t>
      </w:r>
    </w:p>
    <w:p>
      <w:pPr>
        <w:spacing w:after="0" w:line="57" w:lineRule="exact"/>
        <w:rPr>
          <w:rFonts w:ascii="Arial" w:cs="Arial" w:eastAsia="Arial" w:hAnsi="Arial"/>
          <w:sz w:val="22"/>
          <w:szCs w:val="22"/>
          <w:color w:val="auto"/>
        </w:rPr>
      </w:pPr>
    </w:p>
    <w:p>
      <w:pPr>
        <w:ind w:left="500" w:hanging="249"/>
        <w:spacing w:after="0"/>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Non-GAAP effective tax rate in a range of 23% to 24%</w:t>
      </w:r>
    </w:p>
    <w:p>
      <w:pPr>
        <w:spacing w:after="0" w:line="57" w:lineRule="exact"/>
        <w:rPr>
          <w:rFonts w:ascii="Arial" w:cs="Arial" w:eastAsia="Arial" w:hAnsi="Arial"/>
          <w:sz w:val="22"/>
          <w:szCs w:val="22"/>
          <w:color w:val="auto"/>
        </w:rPr>
      </w:pPr>
    </w:p>
    <w:p>
      <w:pPr>
        <w:ind w:left="500" w:hanging="249"/>
        <w:spacing w:after="0"/>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Capital expenditures of ~$225 million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Guidance</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BWXT reiterated long-term guidance that excluding the benefit of tax reform, the Company anticipates a non-GAAP EPS compound annual growth rate (CAGR) in the low-double digits over a three to five year period from 2017 based on a robust organic growth strategy and balance sheet capacity.</w:t>
      </w:r>
    </w:p>
    <w:p>
      <w:pPr>
        <w:spacing w:after="0" w:line="288"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The Company does not provide GAAP guidance because it is unable to reliably forecast most of the items that are excluded from GAAP to calculate non-GAAP results. These items could cause GAAP results to differ materially from non-GAAP results. See reconciliation of non-GAAP results in Exhibit 1 for additional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Conference Call to Discuss Fourth Quarter and Full Year 2018 Results</w:t>
      </w:r>
    </w:p>
    <w:p>
      <w:pPr>
        <w:spacing w:after="0" w:line="25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color w:val="auto"/>
        </w:rPr>
        <w:t>Tuesday, February 26, 2019, at 8:30 a.m. EDT</w:t>
      </w:r>
    </w:p>
    <w:p>
      <w:pPr>
        <w:spacing w:after="0" w:line="28"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b w:val="1"/>
          <w:bCs w:val="1"/>
          <w:color w:val="auto"/>
        </w:rPr>
        <w:t>Live Webcast:</w:t>
      </w:r>
      <w:r>
        <w:rPr>
          <w:sz w:val="20"/>
          <w:szCs w:val="20"/>
          <w:color w:val="auto"/>
        </w:rPr>
        <w:tab/>
      </w:r>
      <w:r>
        <w:rPr>
          <w:rFonts w:ascii="Arial" w:cs="Arial" w:eastAsia="Arial" w:hAnsi="Arial"/>
          <w:sz w:val="19"/>
          <w:szCs w:val="19"/>
          <w:color w:val="auto"/>
        </w:rPr>
        <w:t xml:space="preserve">Investor Relations section of website at </w:t>
      </w:r>
      <w:r>
        <w:rPr>
          <w:rFonts w:ascii="Arial" w:cs="Arial" w:eastAsia="Arial" w:hAnsi="Arial"/>
          <w:sz w:val="19"/>
          <w:szCs w:val="19"/>
          <w:u w:val="single" w:color="auto"/>
          <w:color w:val="0000FF"/>
        </w:rPr>
        <w:t>www.bwxt.com</w:t>
      </w:r>
    </w:p>
    <w:p>
      <w:pPr>
        <w:sectPr>
          <w:pgSz w:w="11900" w:h="16838" w:orient="portrait"/>
          <w:cols w:equalWidth="0" w:num="1">
            <w:col w:w="11420"/>
          </w:cols>
          <w:pgMar w:left="240" w:top="37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Forward-Looking Statements</w:t>
      </w:r>
    </w:p>
    <w:p>
      <w:pPr>
        <w:spacing w:after="0" w:line="2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BWXT cautions that this release contains forward-looking statements, including, without limitation, statements relating to backlog, to the extent they may be viewed as an indicator of future revenues; completion of our multi-year pricing agreement; the integration and anticipated benefits of our acquisition of Nordion’s medical isotope business; timing of future revenues from the acquisition of Nordion’s medical isotope business and new medical radioisotope business; the timing and impact of the missile tube welding issue; our plans and expectations for the NOG, NPG and NSG segments; and our 2019 guidance and long-term guidance. These forward-looking statements are based on management’s current expectations and involve a number of risks and uncertainties, including, among other things, our ability to execute contracts in backlog; the lack of, or adverse changes in, Federal appropriations to government programs in which we participate; the demand for and competitiveness of nuclear power; capital priorities of power generating utilities; adverse changes in the industries in which we operate and delays, changes or termination of contracts in backlog. If one or more of these risks or other risks materialize, actual results may vary materially from those expressed. For a more complete discussion of these and other risk factors, see BWXT’s filings with the Securities and Exchange Commission, including our annual report on Form 10-K for the year ended December 31, 2018 and subsequent quarterly reports on Form 10-Q. BWXT cautions not to place undue reliance on these forward-looking statements, which speak only as of the date of this release, and undertakes no obligation to update or revise any forward-looking statement, except to the extent required by applicable law.</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About BWXT</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Headquartered in Lynchburg, Va., BWX Technologies, Inc. (NYSE:BWXT) is a leading supplier of nuclear components and fuel to the U.S. government; provides technical and management services to support the U.S. government in the operation of complex facilities and environmental remediation activities; and supplies precision manufactured components, services and fuel for the commercial nuclear power industry. With approximately 6,250 employees, BWXT has 11 major operating sites in the U.S. and Canada. In addition, BWXT joint ventures provide management and operations at more than a dozen U.S. Department of Energy and two NASA facilities. Follow us on Twitter @BWXTech and learn more at www.bwxt.com.</w:t>
      </w:r>
    </w:p>
    <w:p>
      <w:pPr>
        <w:spacing w:after="0" w:line="332"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Investor Contact:</w:t>
            </w:r>
          </w:p>
        </w:tc>
        <w:tc>
          <w:tcPr>
            <w:tcW w:w="1500" w:type="dxa"/>
            <w:vAlign w:val="bottom"/>
          </w:tcPr>
          <w:p>
            <w:pPr>
              <w:ind w:left="220"/>
              <w:spacing w:after="0"/>
              <w:rPr>
                <w:sz w:val="20"/>
                <w:szCs w:val="20"/>
                <w:color w:val="auto"/>
              </w:rPr>
            </w:pPr>
            <w:r>
              <w:rPr>
                <w:rFonts w:ascii="Arial" w:cs="Arial" w:eastAsia="Arial" w:hAnsi="Arial"/>
                <w:sz w:val="18"/>
                <w:szCs w:val="18"/>
                <w:b w:val="1"/>
                <w:bCs w:val="1"/>
                <w:color w:val="auto"/>
                <w:w w:val="97"/>
              </w:rPr>
              <w:t>Media Contact:</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Alan Nethery</w:t>
            </w: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Jud Simmons</w:t>
            </w: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3920" w:type="dxa"/>
            <w:vAlign w:val="bottom"/>
            <w:gridSpan w:val="3"/>
          </w:tcPr>
          <w:p>
            <w:pPr>
              <w:spacing w:after="0"/>
              <w:rPr>
                <w:sz w:val="20"/>
                <w:szCs w:val="20"/>
                <w:color w:val="auto"/>
              </w:rPr>
            </w:pPr>
            <w:r>
              <w:rPr>
                <w:rFonts w:ascii="Arial" w:cs="Arial" w:eastAsia="Arial" w:hAnsi="Arial"/>
                <w:sz w:val="18"/>
                <w:szCs w:val="18"/>
                <w:color w:val="auto"/>
                <w:w w:val="96"/>
              </w:rPr>
              <w:t>Vice President and Chief Investor Relations Officer</w:t>
            </w:r>
          </w:p>
        </w:tc>
        <w:tc>
          <w:tcPr>
            <w:tcW w:w="3240" w:type="dxa"/>
            <w:vAlign w:val="bottom"/>
            <w:gridSpan w:val="3"/>
          </w:tcPr>
          <w:p>
            <w:pPr>
              <w:ind w:left="220"/>
              <w:spacing w:after="0"/>
              <w:rPr>
                <w:sz w:val="20"/>
                <w:szCs w:val="20"/>
                <w:color w:val="auto"/>
              </w:rPr>
            </w:pPr>
            <w:r>
              <w:rPr>
                <w:rFonts w:ascii="Arial" w:cs="Arial" w:eastAsia="Arial" w:hAnsi="Arial"/>
                <w:sz w:val="18"/>
                <w:szCs w:val="18"/>
                <w:color w:val="auto"/>
              </w:rPr>
              <w:t>Director, Media and Public Relations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980-365-4300</w:t>
            </w:r>
          </w:p>
        </w:tc>
        <w:tc>
          <w:tcPr>
            <w:tcW w:w="2580" w:type="dxa"/>
            <w:vAlign w:val="bottom"/>
            <w:gridSpan w:val="2"/>
          </w:tcPr>
          <w:p>
            <w:pPr>
              <w:spacing w:after="0"/>
              <w:rPr>
                <w:sz w:val="20"/>
                <w:szCs w:val="20"/>
                <w:color w:val="auto"/>
              </w:rPr>
            </w:pPr>
            <w:r>
              <w:rPr>
                <w:rFonts w:ascii="Arial" w:cs="Arial" w:eastAsia="Arial" w:hAnsi="Arial"/>
                <w:sz w:val="18"/>
                <w:szCs w:val="18"/>
                <w:color w:val="0000FF"/>
              </w:rPr>
              <w:t>Investors@bwxt.com</w:t>
            </w:r>
          </w:p>
        </w:tc>
        <w:tc>
          <w:tcPr>
            <w:tcW w:w="1500" w:type="dxa"/>
            <w:vAlign w:val="bottom"/>
          </w:tcPr>
          <w:p>
            <w:pPr>
              <w:ind w:left="220"/>
              <w:spacing w:after="0"/>
              <w:rPr>
                <w:sz w:val="20"/>
                <w:szCs w:val="20"/>
                <w:color w:val="auto"/>
              </w:rPr>
            </w:pPr>
            <w:r>
              <w:rPr>
                <w:rFonts w:ascii="Arial" w:cs="Arial" w:eastAsia="Arial" w:hAnsi="Arial"/>
                <w:sz w:val="18"/>
                <w:szCs w:val="18"/>
                <w:color w:val="auto"/>
              </w:rPr>
              <w:t>434-522-6462</w:t>
            </w:r>
          </w:p>
        </w:tc>
        <w:tc>
          <w:tcPr>
            <w:tcW w:w="1740" w:type="dxa"/>
            <w:vAlign w:val="bottom"/>
            <w:gridSpan w:val="2"/>
          </w:tcPr>
          <w:p>
            <w:pPr>
              <w:ind w:left="80"/>
              <w:spacing w:after="0"/>
              <w:rPr>
                <w:sz w:val="20"/>
                <w:szCs w:val="20"/>
                <w:color w:val="auto"/>
              </w:rPr>
            </w:pPr>
            <w:r>
              <w:rPr>
                <w:rFonts w:ascii="Arial" w:cs="Arial" w:eastAsia="Arial" w:hAnsi="Arial"/>
                <w:sz w:val="18"/>
                <w:szCs w:val="18"/>
                <w:color w:val="0000FF"/>
                <w:w w:val="90"/>
              </w:rPr>
              <w:t>hjsimmons@bwxt.com</w:t>
            </w:r>
          </w:p>
        </w:tc>
      </w:tr>
      <w:tr>
        <w:trPr>
          <w:trHeight w:val="20"/>
        </w:trPr>
        <w:tc>
          <w:tcPr>
            <w:tcW w:w="13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r>
    </w:tbl>
    <w:p>
      <w:pPr>
        <w:spacing w:after="0" w:line="24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Mark Kratz</w:t>
      </w:r>
    </w:p>
    <w:p>
      <w:pPr>
        <w:spacing w:after="0" w:line="6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Manager, Investor Relations</w:t>
      </w:r>
    </w:p>
    <w:p>
      <w:pPr>
        <w:spacing w:after="0" w:line="63" w:lineRule="exact"/>
        <w:rPr>
          <w:sz w:val="20"/>
          <w:szCs w:val="20"/>
          <w:color w:val="auto"/>
        </w:rPr>
      </w:pPr>
    </w:p>
    <w:p>
      <w:pPr>
        <w:ind w:left="1860"/>
        <w:spacing w:after="0"/>
        <w:tabs>
          <w:tab w:leader="none" w:pos="3180" w:val="left"/>
        </w:tabs>
        <w:rPr>
          <w:sz w:val="20"/>
          <w:szCs w:val="20"/>
          <w:color w:val="auto"/>
        </w:rPr>
      </w:pPr>
      <w:r>
        <w:rPr>
          <w:rFonts w:ascii="Arial" w:cs="Arial" w:eastAsia="Arial" w:hAnsi="Arial"/>
          <w:sz w:val="18"/>
          <w:szCs w:val="18"/>
          <w:color w:val="auto"/>
        </w:rPr>
        <w:t>434-522-3883</w:t>
      </w:r>
      <w:r>
        <w:rPr>
          <w:sz w:val="20"/>
          <w:szCs w:val="20"/>
          <w:color w:val="auto"/>
        </w:rPr>
        <w:tab/>
      </w:r>
      <w:r>
        <w:rPr>
          <w:rFonts w:ascii="Arial" w:cs="Arial" w:eastAsia="Arial" w:hAnsi="Arial"/>
          <w:sz w:val="16"/>
          <w:szCs w:val="16"/>
          <w:u w:val="single" w:color="auto"/>
          <w:color w:val="0000FF"/>
        </w:rPr>
        <w:t>makratz@bwxt.com</w:t>
      </w:r>
    </w:p>
    <w:p>
      <w:pPr>
        <w:sectPr>
          <w:pgSz w:w="11900" w:h="16838" w:orient="portrait"/>
          <w:cols w:equalWidth="0" w:num="1">
            <w:col w:w="11420"/>
          </w:cols>
          <w:pgMar w:left="240" w:top="375"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EXHIBIT 1</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BWX TECHNOLOGIES, INC.</w:t>
      </w:r>
    </w:p>
    <w:p>
      <w:pPr>
        <w:jc w:val="center"/>
        <w:ind w:right="60"/>
        <w:spacing w:after="0" w:line="204" w:lineRule="auto"/>
        <w:rPr>
          <w:sz w:val="20"/>
          <w:szCs w:val="20"/>
          <w:color w:val="auto"/>
        </w:rPr>
      </w:pPr>
      <w:r>
        <w:rPr>
          <w:rFonts w:ascii="Arial" w:cs="Arial" w:eastAsia="Arial" w:hAnsi="Arial"/>
          <w:sz w:val="18"/>
          <w:szCs w:val="18"/>
          <w:b w:val="1"/>
          <w:bCs w:val="1"/>
          <w:color w:val="auto"/>
        </w:rPr>
        <w:t>RECONCILIATION OF NON-GAAP OPERATING INCOME AND EARNINGS PER SHARE</w:t>
      </w:r>
      <w:r>
        <w:rPr>
          <w:rFonts w:ascii="Arial" w:cs="Arial" w:eastAsia="Arial" w:hAnsi="Arial"/>
          <w:sz w:val="25"/>
          <w:szCs w:val="25"/>
          <w:b w:val="1"/>
          <w:bCs w:val="1"/>
          <w:color w:val="auto"/>
          <w:vertAlign w:val="superscript"/>
        </w:rPr>
        <w:t>(1)(2)(3)</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180" w:type="dxa"/>
            <w:vAlign w:val="bottom"/>
            <w:gridSpan w:val="6"/>
          </w:tcPr>
          <w:p>
            <w:pPr>
              <w:jc w:val="right"/>
              <w:ind w:right="448"/>
              <w:spacing w:after="0"/>
              <w:rPr>
                <w:sz w:val="20"/>
                <w:szCs w:val="20"/>
                <w:color w:val="auto"/>
              </w:rPr>
            </w:pPr>
            <w:r>
              <w:rPr>
                <w:rFonts w:ascii="Arial" w:cs="Arial" w:eastAsia="Arial" w:hAnsi="Arial"/>
                <w:sz w:val="14"/>
                <w:szCs w:val="14"/>
                <w:b w:val="1"/>
                <w:bCs w:val="1"/>
                <w:color w:val="auto"/>
                <w:w w:val="98"/>
              </w:rPr>
              <w:t>Three Months Ended December 31, 2018</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GAAP</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Pension &amp; OPEB MTM</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right w:val="single" w:sz="8" w:color="auto"/>
            </w:tcBorders>
            <w:gridSpan w:val="3"/>
          </w:tcPr>
          <w:p>
            <w:pPr>
              <w:ind w:left="40"/>
              <w:spacing w:after="0" w:line="139" w:lineRule="exact"/>
              <w:rPr>
                <w:sz w:val="20"/>
                <w:szCs w:val="20"/>
                <w:color w:val="auto"/>
              </w:rPr>
            </w:pPr>
            <w:r>
              <w:rPr>
                <w:rFonts w:ascii="Arial" w:cs="Arial" w:eastAsia="Arial" w:hAnsi="Arial"/>
                <w:sz w:val="14"/>
                <w:szCs w:val="14"/>
                <w:b w:val="1"/>
                <w:bCs w:val="1"/>
                <w:color w:val="auto"/>
              </w:rPr>
              <w:t>One Time Tax (Benefit) /</w:t>
            </w:r>
          </w:p>
        </w:tc>
        <w:tc>
          <w:tcPr>
            <w:tcW w:w="28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(Gain) / Loss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8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3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right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CCEEFF"/>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64"/>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0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10"/>
        </w:trPr>
        <w:tc>
          <w:tcPr>
            <w:tcW w:w="3220" w:type="dxa"/>
            <w:vAlign w:val="bottom"/>
          </w:tcPr>
          <w:p>
            <w:pPr>
              <w:ind w:left="40"/>
              <w:spacing w:after="0"/>
              <w:rPr>
                <w:sz w:val="20"/>
                <w:szCs w:val="20"/>
                <w:color w:val="auto"/>
              </w:rPr>
            </w:pPr>
            <w:r>
              <w:rPr>
                <w:rFonts w:ascii="Arial" w:cs="Arial" w:eastAsia="Arial" w:hAnsi="Arial"/>
                <w:sz w:val="14"/>
                <w:szCs w:val="14"/>
                <w:color w:val="auto"/>
              </w:rPr>
              <w:t>Net Income Attributable to BWXT</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4"/>
                <w:szCs w:val="24"/>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color w:val="auto"/>
              </w:rPr>
              <w:t>Diluted Shares Outstanding</w:t>
            </w:r>
          </w:p>
        </w:tc>
        <w:tc>
          <w:tcPr>
            <w:tcW w:w="108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98.6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76"/>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Borders>
              <w:right w:val="single" w:sz="8" w:color="auto"/>
            </w:tcBorders>
            <w:shd w:val="clear" w:color="auto" w:fill="CCEEFF"/>
          </w:tcPr>
          <w:p>
            <w:pPr>
              <w:spacing w:after="0"/>
              <w:rPr>
                <w:sz w:val="24"/>
                <w:szCs w:val="24"/>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Effective Tax Rate</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1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December 31, 2017</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GAAP</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Pension &amp; OPEB MTM</w:t>
            </w:r>
          </w:p>
        </w:tc>
        <w:tc>
          <w:tcPr>
            <w:tcW w:w="1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Executive Restructuring</w:t>
            </w:r>
          </w:p>
        </w:tc>
        <w:tc>
          <w:tcPr>
            <w:tcW w:w="1720" w:type="dxa"/>
            <w:vAlign w:val="bottom"/>
            <w:tcBorders>
              <w:right w:val="single" w:sz="8" w:color="auto"/>
            </w:tcBorders>
            <w:gridSpan w:val="3"/>
          </w:tcPr>
          <w:p>
            <w:pPr>
              <w:ind w:left="40"/>
              <w:spacing w:after="0" w:line="139" w:lineRule="exact"/>
              <w:rPr>
                <w:sz w:val="20"/>
                <w:szCs w:val="20"/>
                <w:color w:val="auto"/>
              </w:rPr>
            </w:pPr>
            <w:r>
              <w:rPr>
                <w:rFonts w:ascii="Arial" w:cs="Arial" w:eastAsia="Arial" w:hAnsi="Arial"/>
                <w:sz w:val="14"/>
                <w:szCs w:val="14"/>
                <w:b w:val="1"/>
                <w:bCs w:val="1"/>
                <w:color w:val="auto"/>
              </w:rPr>
              <w:t>One Time Tax (Benefit) /</w:t>
            </w:r>
          </w:p>
        </w:tc>
        <w:tc>
          <w:tcPr>
            <w:tcW w:w="28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(Gain) / Loss</w:t>
            </w:r>
          </w:p>
        </w:tc>
        <w:tc>
          <w:tcPr>
            <w:tcW w:w="16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3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54.6</w:t>
            </w:r>
          </w:p>
        </w:tc>
        <w:tc>
          <w:tcPr>
            <w:tcW w:w="140" w:type="dxa"/>
            <w:vAlign w:val="bottom"/>
            <w:tcBorders>
              <w:right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w:t>
            </w:r>
          </w:p>
        </w:tc>
        <w:tc>
          <w:tcPr>
            <w:tcW w:w="140" w:type="dxa"/>
            <w:vAlign w:val="bottom"/>
            <w:tcBorders>
              <w:bottom w:val="single" w:sz="8" w:color="CCEEFF"/>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264"/>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2"/>
                <w:szCs w:val="22"/>
                <w:color w:val="auto"/>
              </w:rPr>
            </w:pPr>
          </w:p>
        </w:tc>
        <w:tc>
          <w:tcPr>
            <w:tcW w:w="13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310"/>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Attributable to BWXT</w:t>
            </w: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54.6</w:t>
            </w:r>
          </w:p>
        </w:tc>
        <w:tc>
          <w:tcPr>
            <w:tcW w:w="140" w:type="dxa"/>
            <w:vAlign w:val="bottom"/>
            <w:tcBorders>
              <w:bottom w:val="single" w:sz="8" w:color="CCEEFF"/>
              <w:right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color w:val="auto"/>
              </w:rPr>
              <w:t>Diluted Shares Outstanding</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276"/>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0.54</w:t>
            </w:r>
          </w:p>
        </w:tc>
        <w:tc>
          <w:tcPr>
            <w:tcW w:w="140" w:type="dxa"/>
            <w:vAlign w:val="bottom"/>
            <w:tcBorders>
              <w:right w:val="single" w:sz="8" w:color="auto"/>
            </w:tcBorders>
            <w:shd w:val="clear" w:color="auto" w:fill="CCEEFF"/>
          </w:tcPr>
          <w:p>
            <w:pPr>
              <w:spacing w:after="0"/>
              <w:rPr>
                <w:sz w:val="24"/>
                <w:szCs w:val="24"/>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Effective Tax Rate</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2"/>
              </w:rPr>
              <w:t>127.6%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54875" cy="875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398" w:lineRule="exact"/>
        <w:rPr>
          <w:sz w:val="20"/>
          <w:szCs w:val="20"/>
          <w:color w:val="auto"/>
        </w:rPr>
      </w:pPr>
    </w:p>
    <w:p>
      <w:pPr>
        <w:ind w:left="380" w:hanging="331"/>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Tables may not foot due to rounding.</w:t>
      </w:r>
    </w:p>
    <w:p>
      <w:pPr>
        <w:spacing w:after="0" w:line="93" w:lineRule="exact"/>
        <w:rPr>
          <w:rFonts w:ascii="Arial" w:cs="Arial" w:eastAsia="Arial" w:hAnsi="Arial"/>
          <w:sz w:val="13"/>
          <w:szCs w:val="13"/>
          <w:color w:val="auto"/>
        </w:rPr>
      </w:pPr>
    </w:p>
    <w:p>
      <w:pPr>
        <w:ind w:left="380" w:right="200" w:hanging="331"/>
        <w:spacing w:after="0" w:line="25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BWXT is providing non-GAAP information regarding certain of its historical results and guidance on future earnings per share to supplement the results provided in accordance with GAAP and it should not be considered superior to, or as a substitute for, the comparable GAAP measures. BWXT believes the non-GAAP measures provide meaningful insight and transparency into the Company’s operational performance and provides these measures to investors to help facilitate comparisons of operating results with prior periods and to assist them in understanding BWXT's ongoing operations.</w:t>
      </w:r>
    </w:p>
    <w:p>
      <w:pPr>
        <w:spacing w:after="0" w:line="21" w:lineRule="exact"/>
        <w:rPr>
          <w:rFonts w:ascii="Arial" w:cs="Arial" w:eastAsia="Arial" w:hAnsi="Arial"/>
          <w:sz w:val="12"/>
          <w:szCs w:val="12"/>
          <w:color w:val="auto"/>
        </w:rPr>
      </w:pPr>
    </w:p>
    <w:p>
      <w:pPr>
        <w:ind w:left="380" w:right="500" w:hanging="331"/>
        <w:spacing w:after="0" w:line="237"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BWXT has not included a reconciliation of provided non-GAAP guidance to the comparable GAAP measures due to the difficulty of estimating any mark-to-market adjustments for pension and post-retirement benefits, which are determined at the end of the year.</w:t>
      </w:r>
    </w:p>
    <w:p>
      <w:pPr>
        <w:sectPr>
          <w:pgSz w:w="11900" w:h="16838" w:orient="portrait"/>
          <w:cols w:equalWidth="0" w:num="1">
            <w:col w:w="11440"/>
          </w:cols>
          <w:pgMar w:left="240" w:top="585" w:right="21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EXHIBIT 1 (continued)</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BWX TECHNOLOGIES, INC.</w:t>
      </w:r>
    </w:p>
    <w:p>
      <w:pPr>
        <w:jc w:val="center"/>
        <w:ind w:right="60"/>
        <w:spacing w:after="0" w:line="204" w:lineRule="auto"/>
        <w:rPr>
          <w:sz w:val="20"/>
          <w:szCs w:val="20"/>
          <w:color w:val="auto"/>
        </w:rPr>
      </w:pPr>
      <w:r>
        <w:rPr>
          <w:rFonts w:ascii="Arial" w:cs="Arial" w:eastAsia="Arial" w:hAnsi="Arial"/>
          <w:sz w:val="18"/>
          <w:szCs w:val="18"/>
          <w:b w:val="1"/>
          <w:bCs w:val="1"/>
          <w:color w:val="auto"/>
        </w:rPr>
        <w:t>RECONCILIATION OF NON-GAAP OPERATING INCOME AND EARNINGS PER SHARE</w:t>
      </w:r>
      <w:r>
        <w:rPr>
          <w:rFonts w:ascii="Arial" w:cs="Arial" w:eastAsia="Arial" w:hAnsi="Arial"/>
          <w:sz w:val="25"/>
          <w:szCs w:val="25"/>
          <w:b w:val="1"/>
          <w:bCs w:val="1"/>
          <w:color w:val="auto"/>
          <w:vertAlign w:val="superscript"/>
        </w:rPr>
        <w:t>(1)(2)(3)</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8"/>
          </w:tcPr>
          <w:p>
            <w:pPr>
              <w:jc w:val="right"/>
              <w:spacing w:after="0"/>
              <w:rPr>
                <w:sz w:val="20"/>
                <w:szCs w:val="20"/>
                <w:color w:val="auto"/>
              </w:rPr>
            </w:pPr>
            <w:r>
              <w:rPr>
                <w:rFonts w:ascii="Arial" w:cs="Arial" w:eastAsia="Arial" w:hAnsi="Arial"/>
                <w:sz w:val="14"/>
                <w:szCs w:val="14"/>
                <w:b w:val="1"/>
                <w:bCs w:val="1"/>
                <w:color w:val="auto"/>
                <w:w w:val="92"/>
              </w:rPr>
              <w:t>Twelve Months Ended December 31, 2018</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Pension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9"/>
              </w:rPr>
              <w:t>Recognition of</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Gain on</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One Time Tax</w:t>
            </w:r>
          </w:p>
        </w:tc>
        <w:tc>
          <w:tcPr>
            <w:tcW w:w="10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Debt Issuance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4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Missile Tube</w:t>
            </w:r>
          </w:p>
        </w:tc>
        <w:tc>
          <w:tcPr>
            <w:tcW w:w="2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11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rPr>
              <w:t>OPEB MTM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Costs from Former</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Forward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 /</w:t>
            </w:r>
          </w:p>
        </w:tc>
        <w:tc>
          <w:tcPr>
            <w:tcW w:w="11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(Gain) / Loss</w:t>
            </w:r>
          </w:p>
        </w:tc>
        <w:tc>
          <w:tcPr>
            <w:tcW w:w="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Related Costs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Credit Facility</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1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240" w:type="dxa"/>
            <w:vAlign w:val="bottom"/>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307.5</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227.3</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CCEEFF"/>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239.1</w:t>
            </w: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Attributable to</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Noncontrolling Interest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7"/>
        </w:trPr>
        <w:tc>
          <w:tcPr>
            <w:tcW w:w="2080" w:type="dxa"/>
            <w:vAlign w:val="bottom"/>
          </w:tcPr>
          <w:p>
            <w:pPr>
              <w:ind w:left="40"/>
              <w:spacing w:after="0" w:line="137" w:lineRule="exact"/>
              <w:rPr>
                <w:sz w:val="20"/>
                <w:szCs w:val="20"/>
                <w:color w:val="auto"/>
              </w:rPr>
            </w:pPr>
            <w:r>
              <w:rPr>
                <w:rFonts w:ascii="Arial" w:cs="Arial" w:eastAsia="Arial" w:hAnsi="Arial"/>
                <w:sz w:val="14"/>
                <w:szCs w:val="14"/>
                <w:color w:val="auto"/>
              </w:rPr>
              <w:t>Net Income Attributable to</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227.0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25.1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BWXT</w:t>
            </w:r>
          </w:p>
        </w:tc>
        <w:tc>
          <w:tcPr>
            <w:tcW w:w="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Diluted Shares Outstanding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3"/>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Common</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Effective Tax Rate</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NOG segment margins</w:t>
            </w:r>
            <w:r>
              <w:rPr>
                <w:rFonts w:ascii="Arial" w:cs="Arial" w:eastAsia="Arial" w:hAnsi="Arial"/>
                <w:sz w:val="8"/>
                <w:szCs w:val="8"/>
                <w:color w:val="auto"/>
              </w:rPr>
              <w:t>(4)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331"/>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8"/>
          </w:tcPr>
          <w:p>
            <w:pPr>
              <w:jc w:val="right"/>
              <w:spacing w:after="0"/>
              <w:rPr>
                <w:sz w:val="20"/>
                <w:szCs w:val="20"/>
                <w:color w:val="auto"/>
              </w:rPr>
            </w:pPr>
            <w:r>
              <w:rPr>
                <w:rFonts w:ascii="Arial" w:cs="Arial" w:eastAsia="Arial" w:hAnsi="Arial"/>
                <w:sz w:val="14"/>
                <w:szCs w:val="14"/>
                <w:b w:val="1"/>
                <w:bCs w:val="1"/>
                <w:color w:val="auto"/>
                <w:w w:val="92"/>
              </w:rPr>
              <w:t>Twelve Months Ended December 31, 2017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00"/>
              <w:spacing w:after="0" w:line="139" w:lineRule="exact"/>
              <w:rPr>
                <w:sz w:val="20"/>
                <w:szCs w:val="20"/>
                <w:color w:val="auto"/>
              </w:rPr>
            </w:pPr>
            <w:r>
              <w:rPr>
                <w:rFonts w:ascii="Arial" w:cs="Arial" w:eastAsia="Arial" w:hAnsi="Arial"/>
                <w:sz w:val="14"/>
                <w:szCs w:val="14"/>
                <w:b w:val="1"/>
                <w:bCs w:val="1"/>
                <w:color w:val="auto"/>
                <w:w w:val="93"/>
              </w:rPr>
              <w:t>Pension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Executive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Impairment</w:t>
            </w:r>
          </w:p>
        </w:tc>
        <w:tc>
          <w:tcPr>
            <w:tcW w:w="112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One Time Tax</w:t>
            </w:r>
          </w:p>
        </w:tc>
        <w:tc>
          <w:tcPr>
            <w:tcW w:w="10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OPEB MTM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Litigation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(Gains) /</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 /</w:t>
            </w:r>
          </w:p>
        </w:tc>
        <w:tc>
          <w:tcPr>
            <w:tcW w:w="10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(Gain) / 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Restructuring</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0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CCEEFF"/>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Attributable to</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Noncontrolling Interest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310"/>
        </w:trPr>
        <w:tc>
          <w:tcPr>
            <w:tcW w:w="2080" w:type="dxa"/>
            <w:vAlign w:val="bottom"/>
          </w:tcPr>
          <w:p>
            <w:pPr>
              <w:ind w:left="40"/>
              <w:spacing w:after="0"/>
              <w:rPr>
                <w:sz w:val="20"/>
                <w:szCs w:val="20"/>
                <w:color w:val="auto"/>
              </w:rPr>
            </w:pPr>
            <w:r>
              <w:rPr>
                <w:rFonts w:ascii="Arial" w:cs="Arial" w:eastAsia="Arial" w:hAnsi="Arial"/>
                <w:sz w:val="14"/>
                <w:szCs w:val="14"/>
                <w:color w:val="auto"/>
                <w:w w:val="97"/>
              </w:rPr>
              <w:t>Net Income Attributable to BWXT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147.8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70"/>
        </w:trPr>
        <w:tc>
          <w:tcPr>
            <w:tcW w:w="2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Diluted Shares Outstanding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63"/>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Common</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Effective Tax Rate</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54875" cy="1089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1089025"/>
                    </a:xfrm>
                    <a:prstGeom prst="rect">
                      <a:avLst/>
                    </a:prstGeom>
                    <a:noFill/>
                  </pic:spPr>
                </pic:pic>
              </a:graphicData>
            </a:graphic>
          </wp:anchor>
        </w:drawing>
      </w:r>
    </w:p>
    <w:p>
      <w:pPr>
        <w:spacing w:after="0" w:line="371" w:lineRule="exact"/>
        <w:rPr>
          <w:sz w:val="20"/>
          <w:szCs w:val="20"/>
          <w:color w:val="auto"/>
        </w:rPr>
      </w:pPr>
    </w:p>
    <w:p>
      <w:pPr>
        <w:ind w:left="260" w:hanging="211"/>
        <w:spacing w:after="0"/>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Tables may not foot due to rounding.</w:t>
      </w:r>
    </w:p>
    <w:p>
      <w:pPr>
        <w:spacing w:after="0" w:line="93" w:lineRule="exact"/>
        <w:rPr>
          <w:rFonts w:ascii="Arial" w:cs="Arial" w:eastAsia="Arial" w:hAnsi="Arial"/>
          <w:sz w:val="13"/>
          <w:szCs w:val="13"/>
          <w:color w:val="auto"/>
        </w:rPr>
      </w:pPr>
    </w:p>
    <w:p>
      <w:pPr>
        <w:ind w:left="260" w:right="320" w:hanging="211"/>
        <w:spacing w:after="0" w:line="254" w:lineRule="auto"/>
        <w:tabs>
          <w:tab w:leader="none" w:pos="260" w:val="left"/>
        </w:tabs>
        <w:numPr>
          <w:ilvl w:val="0"/>
          <w:numId w:val="6"/>
        </w:numPr>
        <w:rPr>
          <w:rFonts w:ascii="Arial" w:cs="Arial" w:eastAsia="Arial" w:hAnsi="Arial"/>
          <w:sz w:val="12"/>
          <w:szCs w:val="12"/>
          <w:color w:val="auto"/>
        </w:rPr>
      </w:pPr>
      <w:r>
        <w:rPr>
          <w:rFonts w:ascii="Arial" w:cs="Arial" w:eastAsia="Arial" w:hAnsi="Arial"/>
          <w:sz w:val="12"/>
          <w:szCs w:val="12"/>
          <w:color w:val="auto"/>
        </w:rPr>
        <w:t>BWXT is providing non-GAAP information regarding certain of its historical results and guidance on future earnings per share to supplement the results provided in accordance with GAAP and it should not be considered superior to, or as a substitute for, the comparable GAAP measures. BWXT believes the non-GAAP measures provide meaningful insight and transparency into the Company’s operational performance and provides these measures to investors to help facilitate comparisons of operating results with prior periods and to assist them in understanding BWXT's ongoing operations.</w:t>
      </w:r>
    </w:p>
    <w:p>
      <w:pPr>
        <w:spacing w:after="0" w:line="21" w:lineRule="exact"/>
        <w:rPr>
          <w:rFonts w:ascii="Arial" w:cs="Arial" w:eastAsia="Arial" w:hAnsi="Arial"/>
          <w:sz w:val="12"/>
          <w:szCs w:val="12"/>
          <w:color w:val="auto"/>
        </w:rPr>
      </w:pPr>
    </w:p>
    <w:p>
      <w:pPr>
        <w:ind w:left="260" w:right="160" w:hanging="211"/>
        <w:spacing w:after="0" w:line="237" w:lineRule="auto"/>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BWXT has not included a reconciliation of provided non-GAAP guidance to the comparable GAAP measures due to the difficulty of estimating any mark-to-market adjustments for pension and post-retirement benefits, which are determined at the end of the year.</w:t>
      </w:r>
    </w:p>
    <w:p>
      <w:pPr>
        <w:spacing w:after="0" w:line="28" w:lineRule="exact"/>
        <w:rPr>
          <w:rFonts w:ascii="Arial" w:cs="Arial" w:eastAsia="Arial" w:hAnsi="Arial"/>
          <w:sz w:val="13"/>
          <w:szCs w:val="13"/>
          <w:color w:val="auto"/>
        </w:rPr>
      </w:pPr>
    </w:p>
    <w:p>
      <w:pPr>
        <w:ind w:left="260" w:right="500" w:hanging="211"/>
        <w:spacing w:after="0" w:line="237" w:lineRule="auto"/>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Additional information about the missile tube reserve impact to Revenue, Operating Income and Operating Margin for 2Q, 3Q and 2018 can be found in our most recent Investor Briefing on the BWXT website at www.bwxt.com/investors.</w:t>
      </w:r>
    </w:p>
    <w:p>
      <w:pPr>
        <w:sectPr>
          <w:pgSz w:w="11900" w:h="16838" w:orient="portrait"/>
          <w:cols w:equalWidth="0" w:num="1">
            <w:col w:w="11440"/>
          </w:cols>
          <w:pgMar w:left="240" w:top="585"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29,871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203,404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2,934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189,217</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Accounts receivable – 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13,374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19,365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318,454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420,628</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43,859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30,437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542,448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873,090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1,132,392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1,013,141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693,153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664,512</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439,239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348,629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274,082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218,331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86,740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63,746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43,266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228,676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35,615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22,577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1,655,096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1,712,339</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52"/>
        </w:trPr>
        <w:tc>
          <w:tcPr>
            <w:tcW w:w="8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gridSpan w:val="4"/>
          </w:tcPr>
          <w:p>
            <w:pPr>
              <w:jc w:val="center"/>
              <w:ind w:right="251"/>
              <w:spacing w:after="0" w:line="153" w:lineRule="exact"/>
              <w:rPr>
                <w:sz w:val="20"/>
                <w:szCs w:val="20"/>
                <w:color w:val="auto"/>
              </w:rPr>
            </w:pPr>
            <w:r>
              <w:rPr>
                <w:rFonts w:ascii="Arial" w:cs="Arial" w:eastAsia="Arial" w:hAnsi="Arial"/>
                <w:sz w:val="14"/>
                <w:szCs w:val="14"/>
                <w:b w:val="1"/>
                <w:bCs w:val="1"/>
                <w:color w:val="auto"/>
                <w:w w:val="90"/>
              </w:rPr>
              <w:t>(In thousands, except share</w:t>
            </w:r>
          </w:p>
        </w:tc>
      </w:tr>
      <w:tr>
        <w:trPr>
          <w:trHeight w:val="192"/>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0"/>
              </w:rPr>
              <w:t>and per share amounts)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27,870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93,421</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Accrued employee benefits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77,386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82,477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 – 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64,738</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Advance billings on contracts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98,477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246,192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warranty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13,428</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377,348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528,126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753,617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481,059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19,236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21,368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79,786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Pension Liability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173,469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296,444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360" w:type="dxa"/>
            <w:vAlign w:val="bottom"/>
          </w:tcPr>
          <w:p>
            <w:pPr>
              <w:ind w:left="280"/>
              <w:spacing w:after="0"/>
              <w:rPr>
                <w:sz w:val="20"/>
                <w:szCs w:val="20"/>
                <w:color w:val="auto"/>
              </w:rPr>
            </w:pPr>
            <w:r>
              <w:rPr>
                <w:rFonts w:ascii="Arial" w:cs="Arial" w:eastAsia="Arial" w:hAnsi="Arial"/>
                <w:sz w:val="18"/>
                <w:szCs w:val="18"/>
                <w:color w:val="auto"/>
              </w:rPr>
              <w:t>Common stock, par value $0.01 per share, authorized 325,000,000 shares; issued 125,871,866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125,381,591 shares at December 31, 2018 and December 31, 2017, respectively</w:t>
            </w: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par value $0.01 per share, authorized 75,000,000 shares; no shares issued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Capital in excess of par value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115,725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98,843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1,166,762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990,652</w:t>
            </w:r>
          </w:p>
        </w:tc>
      </w:tr>
      <w:tr>
        <w:trPr>
          <w:trHeight w:val="229"/>
        </w:trPr>
        <w:tc>
          <w:tcPr>
            <w:tcW w:w="8360" w:type="dxa"/>
            <w:vAlign w:val="bottom"/>
          </w:tcPr>
          <w:p>
            <w:pPr>
              <w:ind w:left="280"/>
              <w:spacing w:after="0"/>
              <w:rPr>
                <w:sz w:val="20"/>
                <w:szCs w:val="20"/>
                <w:color w:val="auto"/>
              </w:rPr>
            </w:pPr>
            <w:r>
              <w:rPr>
                <w:rFonts w:ascii="Arial" w:cs="Arial" w:eastAsia="Arial" w:hAnsi="Arial"/>
                <w:sz w:val="18"/>
                <w:szCs w:val="18"/>
                <w:color w:val="auto"/>
                <w:w w:val="94"/>
              </w:rPr>
              <w:t>Treasury stock at cost, 30,625,074 and 25,964,088 shares at December 31, 2018 and December 31, 2017,</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(1,037,795)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(814,809)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9,454</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Stockholders' Equity – BWX Technologies, Inc.</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235,662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285,394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235,701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285,757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1,655,096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1,712,339</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60" w:type="dxa"/>
            <w:vAlign w:val="bottom"/>
          </w:tcPr>
          <w:p>
            <w:pPr>
              <w:spacing w:after="0"/>
              <w:rPr>
                <w:sz w:val="16"/>
                <w:szCs w:val="16"/>
                <w:color w:val="auto"/>
              </w:rPr>
            </w:pPr>
          </w:p>
        </w:tc>
        <w:tc>
          <w:tcPr>
            <w:tcW w:w="270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5"/>
              </w:rPr>
              <w:t>Twelve Months Ended December 31,</w:t>
            </w: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80" w:type="dxa"/>
            <w:vAlign w:val="bottom"/>
            <w:gridSpan w:val="7"/>
          </w:tcPr>
          <w:p>
            <w:pPr>
              <w:ind w:left="60"/>
              <w:spacing w:after="0"/>
              <w:rPr>
                <w:sz w:val="20"/>
                <w:szCs w:val="20"/>
                <w:color w:val="auto"/>
              </w:rPr>
            </w:pPr>
            <w:r>
              <w:rPr>
                <w:rFonts w:ascii="Arial" w:cs="Arial" w:eastAsia="Arial" w:hAnsi="Arial"/>
                <w:sz w:val="14"/>
                <w:szCs w:val="14"/>
                <w:b w:val="1"/>
                <w:bCs w:val="1"/>
                <w:color w:val="auto"/>
                <w:w w:val="92"/>
              </w:rPr>
              <w:t>(In thousands, except share and per share amounts)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477,998</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1,799,889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1,687,738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323,989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1,191,983</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 costs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on asset disposals and impairments,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54,893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214,092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210,148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382,498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369,172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1,525,255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1,409,127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Equity in Income of Investees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304,977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292,223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295,780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9,262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147,415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22,081</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148,365</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21,935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226,958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147,844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Pr>
          <w:p>
            <w:pPr>
              <w:ind w:left="50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Pr>
          <w:p>
            <w:pPr>
              <w:ind w:left="50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the computation of earnings per share: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97,619,549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99,398,096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99,062,087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99,334,472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98,571,419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99,398,096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100,019,053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100,369,190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76"/>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227,305</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148,365</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60,097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56,557</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of investees, net of dividends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6"/>
                <w:szCs w:val="16"/>
                <w:color w:val="auto"/>
              </w:rPr>
              <w:t>Gain on forward contracts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Recognition of debt issuance costs from Former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6"/>
                <w:szCs w:val="16"/>
                <w:color w:val="auto"/>
              </w:rPr>
              <w:t>Provision for (benefit from) deferred taxes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17,446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93,461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Recognition of losses for pension and postretirement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12,823</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11,883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15,222</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62,193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(42,803)</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(7,476)</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Contracts in progress and advance billings on contracts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35,272</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15,124</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Accrued and other current liabilities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11,596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(26,610)</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Pension liability, accrued postretirement benefit obligation and employee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(79,311)</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169,290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221,960</w:t>
            </w:r>
          </w:p>
        </w:tc>
        <w:tc>
          <w:tcPr>
            <w:tcW w:w="0" w:type="dxa"/>
            <w:vAlign w:val="bottom"/>
          </w:tcPr>
          <w:p>
            <w:pPr>
              <w:spacing w:after="0"/>
              <w:rPr>
                <w:sz w:val="1"/>
                <w:szCs w:val="1"/>
                <w:color w:val="auto"/>
              </w:rPr>
            </w:pPr>
          </w:p>
        </w:tc>
      </w:tr>
      <w:tr>
        <w:trPr>
          <w:trHeight w:val="231"/>
        </w:trPr>
        <w:tc>
          <w:tcPr>
            <w:tcW w:w="83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(96,880)</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Acquisition of businesses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(212,993)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Sales and maturities of securities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12,852</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Investments, net of return of capital, in equity method investees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(326,724)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(89,681)</w:t>
            </w:r>
          </w:p>
        </w:tc>
        <w:tc>
          <w:tcPr>
            <w:tcW w:w="0" w:type="dxa"/>
            <w:vAlign w:val="bottom"/>
          </w:tcPr>
          <w:p>
            <w:pPr>
              <w:spacing w:after="0"/>
              <w:rPr>
                <w:sz w:val="1"/>
                <w:szCs w:val="1"/>
                <w:color w:val="auto"/>
              </w:rPr>
            </w:pPr>
          </w:p>
        </w:tc>
      </w:tr>
      <w:tr>
        <w:trPr>
          <w:trHeight w:val="231"/>
        </w:trPr>
        <w:tc>
          <w:tcPr>
            <w:tcW w:w="83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1,158,800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109,400</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Repayments of long-term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(876,206)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(137,053)</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Repurchase of common shares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(214,759)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 to common shareholders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(42,043)</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17,117</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shares withheld to satisfy employee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(8,049)</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(61,178)</w:t>
            </w:r>
          </w:p>
        </w:tc>
        <w:tc>
          <w:tcPr>
            <w:tcW w:w="0" w:type="dxa"/>
            <w:vAlign w:val="bottom"/>
          </w:tcPr>
          <w:p>
            <w:pPr>
              <w:spacing w:after="0"/>
              <w:rPr>
                <w:sz w:val="1"/>
                <w:szCs w:val="1"/>
                <w:color w:val="auto"/>
              </w:rPr>
            </w:pP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color w:val="auto"/>
              </w:rPr>
              <w:t>EFFECTS OF EXCHANGE RATE CHANGES ON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7,443</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(DECREASE) INCREASE IN CASH AND CASH EQUIVALENTS AND RESTRICTED CASH AND CASH</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(176,736)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78,544</w:t>
            </w:r>
          </w:p>
        </w:tc>
        <w:tc>
          <w:tcPr>
            <w:tcW w:w="0" w:type="dxa"/>
            <w:vAlign w:val="bottom"/>
          </w:tcPr>
          <w:p>
            <w:pPr>
              <w:spacing w:after="0"/>
              <w:rPr>
                <w:sz w:val="1"/>
                <w:szCs w:val="1"/>
                <w:color w:val="auto"/>
              </w:rPr>
            </w:pPr>
          </w:p>
        </w:tc>
      </w:tr>
      <w:tr>
        <w:trPr>
          <w:trHeight w:val="200"/>
        </w:trPr>
        <w:tc>
          <w:tcPr>
            <w:tcW w:w="836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AND CASH EQUIVALENTS AT BEGINNING OF</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ind w:left="280"/>
              <w:spacing w:after="0"/>
              <w:rPr>
                <w:sz w:val="20"/>
                <w:szCs w:val="20"/>
                <w:color w:val="auto"/>
              </w:rPr>
            </w:pPr>
            <w:r>
              <w:rPr>
                <w:rFonts w:ascii="Arial" w:cs="Arial" w:eastAsia="Arial" w:hAnsi="Arial"/>
                <w:sz w:val="16"/>
                <w:szCs w:val="16"/>
                <w:color w:val="auto"/>
              </w:rPr>
              <w:t>PERIOD</w:t>
            </w: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213,144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134,600</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AND RESTRICTED CASH AND CASH EQUIVALENTS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36,408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213,144</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6"/>
                <w:szCs w:val="16"/>
                <w:color w:val="auto"/>
              </w:rPr>
              <w:t>Interest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16,993</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14,252</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(net of refunds)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38,425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SCHEDULE OF NON-CASH INVESTING ACTIVITY:</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capital expenditures included in accounts payable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29,470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8,454</w:t>
            </w:r>
          </w:p>
        </w:tc>
        <w:tc>
          <w:tcPr>
            <w:tcW w:w="0" w:type="dxa"/>
            <w:vAlign w:val="bottom"/>
          </w:tcPr>
          <w:p>
            <w:pPr>
              <w:spacing w:after="0"/>
              <w:rPr>
                <w:sz w:val="1"/>
                <w:szCs w:val="1"/>
                <w:color w:val="auto"/>
              </w:rPr>
            </w:pPr>
          </w:p>
        </w:tc>
      </w:tr>
      <w:tr>
        <w:trPr>
          <w:trHeight w:val="33"/>
        </w:trPr>
        <w:tc>
          <w:tcPr>
            <w:tcW w:w="8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3"/>
              </w:rPr>
              <w:t>Twelve Months Ended December 31,</w:t>
            </w:r>
          </w:p>
        </w:tc>
      </w:tr>
      <w:tr>
        <w:trPr>
          <w:trHeight w:val="276"/>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52"/>
        </w:trPr>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5160" w:type="dxa"/>
            <w:vAlign w:val="bottom"/>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Nuclear Operations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351,074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309,369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1,319,170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1,271,861</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Nuclear Services Group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137,249</w:t>
            </w: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Nuclear Power Group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98,236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84,967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365,911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285,831</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Adjustments and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r>
      <w:tr>
        <w:trPr>
          <w:trHeight w:val="297"/>
        </w:trPr>
        <w:tc>
          <w:tcPr>
            <w:tcW w:w="4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gridSpan w:val="5"/>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477,998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430,138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1,799,889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1,687,738</w:t>
            </w:r>
          </w:p>
        </w:tc>
      </w:tr>
      <w:tr>
        <w:trPr>
          <w:trHeight w:val="257"/>
        </w:trPr>
        <w:tc>
          <w:tcPr>
            <w:tcW w:w="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03"/>
        </w:trPr>
        <w:tc>
          <w:tcPr>
            <w:tcW w:w="516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SEGMENT INCOME: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Nuclear Operations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267,930</w:t>
            </w: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Nuclear Services Group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9,192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22,083</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Nuclear Power Group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36,548</w:t>
            </w: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(10,688)</w:t>
            </w:r>
          </w:p>
        </w:tc>
      </w:tr>
      <w:tr>
        <w:trPr>
          <w:trHeight w:val="27"/>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SUBTOTAL</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315,873</w:t>
            </w:r>
          </w:p>
        </w:tc>
      </w:tr>
      <w:tr>
        <w:trPr>
          <w:trHeight w:val="237"/>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Unallocated Corporate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(23,650)</w:t>
            </w:r>
          </w:p>
        </w:tc>
      </w:tr>
      <w:tr>
        <w:trPr>
          <w:trHeight w:val="27"/>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103,145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63,746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304,977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292,223</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3"/>
        </w:trPr>
        <w:tc>
          <w:tcPr>
            <w:tcW w:w="516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DEPRECIATION AND AMORTIZATION:</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Nuclear Operations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8,128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32,132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31,289</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Nuclear Services Group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w:t>
            </w: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Nuclear Power Group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13,751</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7,815</w:t>
            </w:r>
          </w:p>
        </w:tc>
      </w:tr>
      <w:tr>
        <w:trPr>
          <w:trHeight w:val="27"/>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60,097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56,557</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3"/>
        </w:trPr>
        <w:tc>
          <w:tcPr>
            <w:tcW w:w="516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CAPITAL EXPENDITURES: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Nuclear Operations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42,889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43,233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93,360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86,323</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Nuclear Services Group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Nuclear Power Group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3,856</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4,559</w:t>
            </w:r>
          </w:p>
        </w:tc>
      </w:tr>
      <w:tr>
        <w:trPr>
          <w:trHeight w:val="27"/>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48,850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47,519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109,338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96,880</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3"/>
              </w:rPr>
              <w:t>Twelve Months Ended December 31,</w:t>
            </w:r>
          </w:p>
        </w:tc>
      </w:tr>
      <w:tr>
        <w:trPr>
          <w:trHeight w:val="27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BACKLOG:</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Nuclear Operations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2,636,824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3,304,416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2,636,824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3,304,416</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Nuclear Services Group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29,285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Nuclear Power Group</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803,634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637,053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803,634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637,053</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3,478,600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3,970,754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3,478,600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3,970,754</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BOOKINGS: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Nuclear Operations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47,387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642,969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694,085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1,089,740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Nuclear Services Group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136,640</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Nuclear Power Group</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32,947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194,262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535,032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449,332</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122,204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865,576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1,357,096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1,675,712</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2020-01-09T22:13:31Z</dcterms:created>
  <dcterms:modified xsi:type="dcterms:W3CDTF">2020-01-09T22:13:31Z</dcterms:modified>
</cp:coreProperties>
</file>