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SCHEDULE 14A</w:t>
      </w:r>
    </w:p>
    <w:p>
      <w:pPr>
        <w:spacing w:after="0" w:line="47" w:lineRule="exact"/>
        <w:rPr>
          <w:sz w:val="24"/>
          <w:szCs w:val="24"/>
          <w:color w:val="auto"/>
        </w:rPr>
      </w:pPr>
    </w:p>
    <w:p>
      <w:pPr>
        <w:ind w:left="4980"/>
        <w:spacing w:after="0"/>
        <w:rPr>
          <w:sz w:val="20"/>
          <w:szCs w:val="20"/>
          <w:color w:val="auto"/>
        </w:rPr>
      </w:pPr>
      <w:r>
        <w:rPr>
          <w:rFonts w:ascii="Arial" w:cs="Arial" w:eastAsia="Arial" w:hAnsi="Arial"/>
          <w:sz w:val="22"/>
          <w:szCs w:val="22"/>
          <w:b w:val="1"/>
          <w:bCs w:val="1"/>
          <w:color w:val="auto"/>
        </w:rPr>
        <w:t>(Rule 14a-101)</w:t>
      </w:r>
    </w:p>
    <w:p>
      <w:pPr>
        <w:spacing w:after="0" w:line="86" w:lineRule="exact"/>
        <w:rPr>
          <w:sz w:val="24"/>
          <w:szCs w:val="24"/>
          <w:color w:val="auto"/>
        </w:rPr>
      </w:pPr>
    </w:p>
    <w:p>
      <w:pPr>
        <w:ind w:left="320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4" w:lineRule="exact"/>
        <w:rPr>
          <w:sz w:val="24"/>
          <w:szCs w:val="24"/>
          <w:color w:val="auto"/>
        </w:rPr>
      </w:pPr>
    </w:p>
    <w:p>
      <w:pPr>
        <w:jc w:val="center"/>
        <w:ind w:right="-39"/>
        <w:spacing w:after="0"/>
        <w:tabs>
          <w:tab w:leader="none" w:pos="28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173" w:lineRule="exact"/>
        <w:rPr>
          <w:sz w:val="24"/>
          <w:szCs w:val="24"/>
          <w:color w:val="auto"/>
        </w:rPr>
      </w:pPr>
    </w:p>
    <w:p>
      <w:pPr>
        <w:spacing w:after="0" w:line="184" w:lineRule="exact"/>
        <w:tabs>
          <w:tab w:leader="none" w:pos="3200"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Filed by a Party other than the Registrant _</w:t>
      </w:r>
    </w:p>
    <w:p>
      <w:pPr>
        <w:spacing w:after="0" w:line="155"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167" w:lineRule="exact"/>
        <w:rPr>
          <w:sz w:val="24"/>
          <w:szCs w:val="24"/>
          <w:color w:val="auto"/>
        </w:rPr>
      </w:pPr>
    </w:p>
    <w:p>
      <w:pPr>
        <w:ind w:left="840" w:hanging="805"/>
        <w:spacing w:after="0"/>
        <w:tabs>
          <w:tab w:leader="none" w:pos="8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Preliminary Proxy Statement</w:t>
      </w:r>
    </w:p>
    <w:p>
      <w:pPr>
        <w:spacing w:after="0" w:line="161" w:lineRule="exact"/>
        <w:rPr>
          <w:sz w:val="24"/>
          <w:szCs w:val="24"/>
          <w:color w:val="auto"/>
        </w:rPr>
      </w:pPr>
    </w:p>
    <w:p>
      <w:pPr>
        <w:ind w:left="840" w:hanging="805"/>
        <w:spacing w:after="0"/>
        <w:tabs>
          <w:tab w:leader="none" w:pos="84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214" w:lineRule="exact"/>
        <w:rPr>
          <w:sz w:val="24"/>
          <w:szCs w:val="24"/>
          <w:color w:val="auto"/>
        </w:rPr>
      </w:pPr>
    </w:p>
    <w:p>
      <w:pPr>
        <w:ind w:left="840" w:hanging="805"/>
        <w:spacing w:after="0"/>
        <w:tabs>
          <w:tab w:leader="none" w:pos="8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81" w:lineRule="exact"/>
        <w:rPr>
          <w:sz w:val="24"/>
          <w:szCs w:val="24"/>
          <w:color w:val="auto"/>
        </w:rPr>
      </w:pPr>
    </w:p>
    <w:p>
      <w:pPr>
        <w:ind w:left="840" w:hanging="805"/>
        <w:spacing w:after="0"/>
        <w:tabs>
          <w:tab w:leader="none" w:pos="840" w:val="left"/>
        </w:tabs>
        <w:numPr>
          <w:ilvl w:val="0"/>
          <w:numId w:val="4"/>
        </w:numPr>
        <w:rPr>
          <w:rFonts w:ascii="Arial" w:cs="Arial" w:eastAsia="Arial" w:hAnsi="Arial"/>
          <w:sz w:val="16"/>
          <w:szCs w:val="16"/>
          <w:color w:val="auto"/>
        </w:rPr>
      </w:pPr>
      <w:r>
        <w:rPr>
          <w:rFonts w:ascii="Arial" w:cs="Arial" w:eastAsia="Arial" w:hAnsi="Arial"/>
          <w:sz w:val="16"/>
          <w:szCs w:val="16"/>
          <w:color w:val="auto"/>
        </w:rPr>
        <w:t>Definitive Additional Materials</w:t>
      </w:r>
    </w:p>
    <w:p>
      <w:pPr>
        <w:spacing w:after="0" w:line="181" w:lineRule="exact"/>
        <w:rPr>
          <w:sz w:val="24"/>
          <w:szCs w:val="24"/>
          <w:color w:val="auto"/>
        </w:rPr>
      </w:pPr>
    </w:p>
    <w:p>
      <w:pPr>
        <w:ind w:left="840" w:hanging="805"/>
        <w:spacing w:after="0"/>
        <w:tabs>
          <w:tab w:leader="none" w:pos="840" w:val="left"/>
        </w:tabs>
        <w:numPr>
          <w:ilvl w:val="0"/>
          <w:numId w:val="5"/>
        </w:numPr>
        <w:rPr>
          <w:rFonts w:ascii="Arial" w:cs="Arial" w:eastAsia="Arial" w:hAnsi="Arial"/>
          <w:sz w:val="16"/>
          <w:szCs w:val="16"/>
          <w:color w:val="auto"/>
        </w:rPr>
      </w:pPr>
      <w:r>
        <w:rPr>
          <w:rFonts w:ascii="Arial" w:cs="Arial" w:eastAsia="Arial" w:hAnsi="Arial"/>
          <w:sz w:val="16"/>
          <w:szCs w:val="16"/>
          <w:color w:val="auto"/>
        </w:rPr>
        <w:t>Soliciting Material Pursuant to §240.14a-12</w:t>
      </w: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BWX TECHNOLOGIES, INC.</w:t>
      </w:r>
    </w:p>
    <w:p>
      <w:pPr>
        <w:spacing w:after="0" w:line="6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6" w:lineRule="exact"/>
        <w:rPr>
          <w:sz w:val="24"/>
          <w:szCs w:val="24"/>
          <w:color w:val="auto"/>
        </w:rPr>
      </w:pPr>
    </w:p>
    <w:p>
      <w:pPr>
        <w:ind w:left="33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167" w:lineRule="exact"/>
        <w:rPr>
          <w:sz w:val="24"/>
          <w:szCs w:val="24"/>
          <w:color w:val="auto"/>
        </w:rPr>
      </w:pPr>
    </w:p>
    <w:p>
      <w:pPr>
        <w:ind w:left="620" w:hanging="585"/>
        <w:spacing w:after="0"/>
        <w:tabs>
          <w:tab w:leader="none" w:pos="620" w:val="left"/>
        </w:tabs>
        <w:numPr>
          <w:ilvl w:val="0"/>
          <w:numId w:val="6"/>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86" w:lineRule="exact"/>
        <w:rPr>
          <w:sz w:val="24"/>
          <w:szCs w:val="24"/>
          <w:color w:val="auto"/>
        </w:rPr>
      </w:pPr>
    </w:p>
    <w:p>
      <w:pPr>
        <w:ind w:left="620" w:hanging="585"/>
        <w:spacing w:after="0"/>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86" w:lineRule="exact"/>
        <w:rPr>
          <w:rFonts w:ascii="Arial" w:cs="Arial" w:eastAsia="Arial" w:hAnsi="Arial"/>
          <w:sz w:val="16"/>
          <w:szCs w:val="16"/>
          <w:color w:val="auto"/>
        </w:rPr>
      </w:pPr>
    </w:p>
    <w:p>
      <w:pPr>
        <w:ind w:left="1300" w:hanging="396"/>
        <w:spacing w:after="0"/>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61" w:lineRule="exact"/>
        <w:rPr>
          <w:rFonts w:ascii="Arial" w:cs="Arial" w:eastAsia="Arial" w:hAnsi="Arial"/>
          <w:sz w:val="16"/>
          <w:szCs w:val="16"/>
          <w:color w:val="auto"/>
        </w:rPr>
      </w:pPr>
    </w:p>
    <w:p>
      <w:pPr>
        <w:ind w:left="1300" w:hanging="396"/>
        <w:spacing w:after="0"/>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61" w:lineRule="exact"/>
        <w:rPr>
          <w:rFonts w:ascii="Arial" w:cs="Arial" w:eastAsia="Arial" w:hAnsi="Arial"/>
          <w:sz w:val="16"/>
          <w:szCs w:val="16"/>
          <w:color w:val="auto"/>
        </w:rPr>
      </w:pPr>
    </w:p>
    <w:p>
      <w:pPr>
        <w:ind w:left="1300" w:hanging="396"/>
        <w:spacing w:after="0" w:line="260"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236" w:lineRule="exact"/>
        <w:rPr>
          <w:rFonts w:ascii="Arial" w:cs="Arial" w:eastAsia="Arial" w:hAnsi="Arial"/>
          <w:sz w:val="16"/>
          <w:szCs w:val="16"/>
          <w:color w:val="auto"/>
        </w:rPr>
      </w:pPr>
    </w:p>
    <w:p>
      <w:pPr>
        <w:ind w:left="1300" w:hanging="396"/>
        <w:spacing w:after="0"/>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61" w:lineRule="exact"/>
        <w:rPr>
          <w:rFonts w:ascii="Arial" w:cs="Arial" w:eastAsia="Arial" w:hAnsi="Arial"/>
          <w:sz w:val="16"/>
          <w:szCs w:val="16"/>
          <w:color w:val="auto"/>
        </w:rPr>
      </w:pPr>
    </w:p>
    <w:p>
      <w:pPr>
        <w:ind w:left="1300" w:hanging="396"/>
        <w:spacing w:after="0"/>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802640</wp:posOffset>
            </wp:positionH>
            <wp:positionV relativeFrom="paragraph">
              <wp:posOffset>139065</wp:posOffset>
            </wp:positionV>
            <wp:extent cx="64490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490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-142875</wp:posOffset>
            </wp:positionV>
            <wp:extent cx="64490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490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-426085</wp:posOffset>
            </wp:positionV>
            <wp:extent cx="64490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490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-829310</wp:posOffset>
            </wp:positionV>
            <wp:extent cx="64490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490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-1111885</wp:posOffset>
            </wp:positionV>
            <wp:extent cx="64490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228" w:lineRule="exact"/>
        <w:rPr>
          <w:sz w:val="24"/>
          <w:szCs w:val="24"/>
          <w:color w:val="auto"/>
        </w:rPr>
      </w:pPr>
    </w:p>
    <w:p>
      <w:pPr>
        <w:ind w:left="620" w:hanging="585"/>
        <w:spacing w:after="0"/>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208" w:lineRule="exact"/>
        <w:rPr>
          <w:sz w:val="24"/>
          <w:szCs w:val="24"/>
          <w:color w:val="auto"/>
        </w:rPr>
      </w:pPr>
    </w:p>
    <w:p>
      <w:pPr>
        <w:ind w:left="620" w:right="500" w:hanging="585"/>
        <w:spacing w:after="0" w:line="260" w:lineRule="auto"/>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3" w:lineRule="exact"/>
        <w:rPr>
          <w:rFonts w:ascii="Arial" w:cs="Arial" w:eastAsia="Arial" w:hAnsi="Arial"/>
          <w:sz w:val="16"/>
          <w:szCs w:val="16"/>
          <w:color w:val="auto"/>
        </w:rPr>
      </w:pPr>
    </w:p>
    <w:p>
      <w:pPr>
        <w:ind w:left="1300" w:hanging="396"/>
        <w:spacing w:after="0"/>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61" w:lineRule="exact"/>
        <w:rPr>
          <w:rFonts w:ascii="Arial" w:cs="Arial" w:eastAsia="Arial" w:hAnsi="Arial"/>
          <w:sz w:val="16"/>
          <w:szCs w:val="16"/>
          <w:color w:val="auto"/>
        </w:rPr>
      </w:pPr>
    </w:p>
    <w:p>
      <w:pPr>
        <w:ind w:left="1300" w:hanging="396"/>
        <w:spacing w:after="0"/>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61" w:lineRule="exact"/>
        <w:rPr>
          <w:rFonts w:ascii="Arial" w:cs="Arial" w:eastAsia="Arial" w:hAnsi="Arial"/>
          <w:sz w:val="16"/>
          <w:szCs w:val="16"/>
          <w:color w:val="auto"/>
        </w:rPr>
      </w:pPr>
    </w:p>
    <w:p>
      <w:pPr>
        <w:ind w:left="1300" w:hanging="396"/>
        <w:spacing w:after="0"/>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61" w:lineRule="exact"/>
        <w:rPr>
          <w:rFonts w:ascii="Arial" w:cs="Arial" w:eastAsia="Arial" w:hAnsi="Arial"/>
          <w:sz w:val="16"/>
          <w:szCs w:val="16"/>
          <w:color w:val="auto"/>
        </w:rPr>
      </w:pPr>
    </w:p>
    <w:p>
      <w:pPr>
        <w:ind w:left="1300" w:hanging="396"/>
        <w:spacing w:after="0"/>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802640</wp:posOffset>
            </wp:positionH>
            <wp:positionV relativeFrom="paragraph">
              <wp:posOffset>139065</wp:posOffset>
            </wp:positionV>
            <wp:extent cx="64490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490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-142875</wp:posOffset>
            </wp:positionV>
            <wp:extent cx="64490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490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-426085</wp:posOffset>
            </wp:positionV>
            <wp:extent cx="64490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490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-709295</wp:posOffset>
            </wp:positionV>
            <wp:extent cx="64490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ectPr>
          <w:pgSz w:w="11900" w:h="16838" w:orient="portrait"/>
          <w:cols w:equalWidth="0" w:num="1">
            <w:col w:w="11380"/>
          </w:cols>
          <w:pgMar w:left="240" w:top="207" w:right="27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2696210</wp:posOffset>
            </wp:positionH>
            <wp:positionV relativeFrom="page">
              <wp:posOffset>431800</wp:posOffset>
            </wp:positionV>
            <wp:extent cx="2178050" cy="10807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178050" cy="108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9340"/>
        <w:spacing w:after="0"/>
        <w:rPr>
          <w:sz w:val="20"/>
          <w:szCs w:val="20"/>
          <w:color w:val="auto"/>
        </w:rPr>
      </w:pPr>
      <w:r>
        <w:rPr>
          <w:rFonts w:ascii="Arial" w:cs="Arial" w:eastAsia="Arial" w:hAnsi="Arial"/>
          <w:sz w:val="17"/>
          <w:szCs w:val="17"/>
          <w:color w:val="auto"/>
        </w:rPr>
        <w:t>800 Main Street, 4th Floor</w:t>
      </w:r>
    </w:p>
    <w:p>
      <w:pPr>
        <w:spacing w:after="0" w:line="21" w:lineRule="exact"/>
        <w:rPr>
          <w:sz w:val="20"/>
          <w:szCs w:val="20"/>
          <w:color w:val="auto"/>
        </w:rPr>
      </w:pPr>
    </w:p>
    <w:p>
      <w:pPr>
        <w:ind w:left="9340"/>
        <w:spacing w:after="0"/>
        <w:rPr>
          <w:sz w:val="20"/>
          <w:szCs w:val="20"/>
          <w:color w:val="auto"/>
        </w:rPr>
      </w:pPr>
      <w:r>
        <w:rPr>
          <w:rFonts w:ascii="Arial" w:cs="Arial" w:eastAsia="Arial" w:hAnsi="Arial"/>
          <w:sz w:val="17"/>
          <w:szCs w:val="17"/>
          <w:color w:val="auto"/>
        </w:rPr>
        <w:t>Lynchburg, Virginia 24504</w:t>
      </w:r>
    </w:p>
    <w:p>
      <w:pPr>
        <w:spacing w:after="0" w:line="183" w:lineRule="exact"/>
        <w:rPr>
          <w:sz w:val="20"/>
          <w:szCs w:val="20"/>
          <w:color w:val="auto"/>
        </w:rPr>
      </w:pPr>
    </w:p>
    <w:p>
      <w:pPr>
        <w:ind w:left="10160"/>
        <w:spacing w:after="0"/>
        <w:rPr>
          <w:sz w:val="20"/>
          <w:szCs w:val="20"/>
          <w:color w:val="auto"/>
        </w:rPr>
      </w:pPr>
      <w:r>
        <w:rPr>
          <w:rFonts w:ascii="Arial" w:cs="Arial" w:eastAsia="Arial" w:hAnsi="Arial"/>
          <w:sz w:val="18"/>
          <w:szCs w:val="18"/>
          <w:color w:val="auto"/>
        </w:rPr>
        <w:t>March 23,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90"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You are cordially invited to attend this year’s Annual Meeting of Stockholders of BWX Technologies, Inc., which will be held on Friday, May 4, 2018, at the Craddock Terry Hotel, Riverside Foyer, 1312 Commerce Street, Lynchburg, Virginia 24504, commencing at 9:30 a.m. local time. The Notice of Annual Meeting and Proxy Statement following this letter describe the matters to be acted on at the meeting.</w:t>
      </w:r>
    </w:p>
    <w:p>
      <w:pPr>
        <w:spacing w:after="0" w:line="6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 a demonstration of our commitment to transparency and good corporate governance practices, we have continued our practice of engaging directly with our stockholders over the past year to discuss matters of interest. We value the feedback we received from our stockholders in recent years, and it has informed our decisions on executive compensation.</w:t>
      </w:r>
    </w:p>
    <w:p>
      <w:pPr>
        <w:spacing w:after="0" w:line="6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are utilizing the Securities and Exchange Commission’s Notice and Access proxy rule, which allows us to furnish proxy materials to you via the Internet as an alternative to the traditional approach of mailing a printed set to each stockholder. In accordance with these rules, we have sent a Notice of Internet Availability of Proxy Materials to all stockholders who have not previously elected to receive a printed set of proxy materials. The Notice contains instructions on how to access our 2018 Proxy Statement and 2017 Annual Report, as well as how to vote either online, by telephone or in person for the Annual Meeting.</w:t>
      </w:r>
    </w:p>
    <w:p>
      <w:pPr>
        <w:spacing w:after="0" w:line="70"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It is very important that your shares are represented and voted at the Annual Meeting. Please vote your shares by Internet or telephone, or, if you received a printed set of materials by mail, by returning the accompanying proxy card, as soon as possible to ensure that your shares are voted at the meeting. Further instructions on how to vote your shares can be found in our Proxy Statement.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support of our company.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1715135" cy="5918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513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Rex D. Geveden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1241425</wp:posOffset>
            </wp:positionV>
            <wp:extent cx="7246620"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9E3039"/>
        </w:rPr>
        <w:t>YOUR VOTE IS IMPORTANT.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Whether or not you plan to attend the Annual Meeting, please take a few minutes now to vote your shares.</w:t>
      </w:r>
    </w:p>
    <w:p>
      <w:pPr>
        <w:sectPr>
          <w:pgSz w:w="11900" w:h="16838" w:orient="portrait"/>
          <w:cols w:equalWidth="0" w:num="1">
            <w:col w:w="11420"/>
          </w:cols>
          <w:pgMar w:left="240" w:top="1440" w:right="239" w:bottom="1440" w:gutter="0" w:footer="0" w:header="0"/>
        </w:sectPr>
      </w:pPr>
    </w:p>
    <w:bookmarkStart w:id="2" w:name="page3"/>
    <w:bookmarkEnd w:id="2"/>
    <w:p>
      <w:pPr>
        <w:ind w:left="40"/>
        <w:spacing w:after="0"/>
        <w:rPr>
          <w:sz w:val="20"/>
          <w:szCs w:val="20"/>
          <w:color w:val="auto"/>
        </w:rPr>
      </w:pPr>
      <w:r>
        <w:rPr>
          <w:rFonts w:ascii="Arial" w:cs="Arial" w:eastAsia="Arial" w:hAnsi="Arial"/>
          <w:sz w:val="17"/>
          <w:szCs w:val="17"/>
          <w:b w:val="1"/>
          <w:bCs w:val="1"/>
          <w:color w:val="9E3039"/>
        </w:rPr>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t>Important Notice Regarding the Availability of Proxy Materials for the Annual Meeting of Stockholders To Be Held on May 4, 2018.</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The proxy statement and annual report are available on the Internet at www.proxyvote.com.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applicable to the Annual Meeting may be found in the proxy statement and accompanying proxy card:</w:t>
      </w:r>
    </w:p>
    <w:p>
      <w:pPr>
        <w:spacing w:after="0" w:line="117" w:lineRule="exact"/>
        <w:rPr>
          <w:sz w:val="20"/>
          <w:szCs w:val="20"/>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date, time and location of the meeting;</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list of the matters intended to be acted on and our recommendations regarding those matters;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control/identification numbers that you need to access your proxy card; and</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information about attending the meeting and voting in person.</w:t>
      </w:r>
    </w:p>
    <w:p>
      <w:pPr>
        <w:sectPr>
          <w:pgSz w:w="11900" w:h="16838" w:orient="portrait"/>
          <w:cols w:equalWidth="0" w:num="1">
            <w:col w:w="11080"/>
          </w:cols>
          <w:pgMar w:left="240" w:top="819" w:right="57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25"/>
          <w:szCs w:val="25"/>
          <w:b w:val="1"/>
          <w:bCs w:val="1"/>
          <w:color w:val="auto"/>
        </w:rPr>
        <w:t>BWX TECHNOLOGIES, INC.</w:t>
      </w:r>
    </w:p>
    <w:p>
      <w:pPr>
        <w:spacing w:after="0" w:line="3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800 Main Street, 4th Floor</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Lynchburg, Virginia 24504</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____________________________________________________</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w:t>
      </w:r>
      <w:r>
        <w:rPr>
          <w:rFonts w:ascii="Arial" w:cs="Arial" w:eastAsia="Arial" w:hAnsi="Arial"/>
          <w:sz w:val="14"/>
          <w:szCs w:val="14"/>
          <w:b w:val="1"/>
          <w:bCs w:val="1"/>
          <w:color w:val="auto"/>
        </w:rPr>
        <w:t>OTICE OF</w:t>
      </w:r>
      <w:r>
        <w:rPr>
          <w:rFonts w:ascii="Arial" w:cs="Arial" w:eastAsia="Arial" w:hAnsi="Arial"/>
          <w:sz w:val="20"/>
          <w:szCs w:val="20"/>
          <w:b w:val="1"/>
          <w:bCs w:val="1"/>
          <w:color w:val="auto"/>
        </w:rPr>
        <w:t xml:space="preserve"> 2018 A</w:t>
      </w:r>
      <w:r>
        <w:rPr>
          <w:rFonts w:ascii="Arial" w:cs="Arial" w:eastAsia="Arial" w:hAnsi="Arial"/>
          <w:sz w:val="14"/>
          <w:szCs w:val="14"/>
          <w:b w:val="1"/>
          <w:bCs w:val="1"/>
          <w:color w:val="auto"/>
        </w:rPr>
        <w:t>NNUAL</w:t>
      </w:r>
      <w:r>
        <w:rPr>
          <w:rFonts w:ascii="Arial" w:cs="Arial" w:eastAsia="Arial" w:hAnsi="Arial"/>
          <w:sz w:val="20"/>
          <w:szCs w:val="20"/>
          <w:b w:val="1"/>
          <w:bCs w:val="1"/>
          <w:color w:val="auto"/>
        </w:rPr>
        <w:t xml:space="preserve"> M</w:t>
      </w:r>
      <w:r>
        <w:rPr>
          <w:rFonts w:ascii="Arial" w:cs="Arial" w:eastAsia="Arial" w:hAnsi="Arial"/>
          <w:sz w:val="14"/>
          <w:szCs w:val="14"/>
          <w:b w:val="1"/>
          <w:bCs w:val="1"/>
          <w:color w:val="auto"/>
        </w:rPr>
        <w:t>EETING OF</w:t>
      </w:r>
      <w:r>
        <w:rPr>
          <w:rFonts w:ascii="Arial" w:cs="Arial" w:eastAsia="Arial" w:hAnsi="Arial"/>
          <w:sz w:val="20"/>
          <w:szCs w:val="20"/>
          <w:b w:val="1"/>
          <w:bCs w:val="1"/>
          <w:color w:val="auto"/>
        </w:rPr>
        <w:t xml:space="preserve"> S</w:t>
      </w:r>
      <w:r>
        <w:rPr>
          <w:rFonts w:ascii="Arial" w:cs="Arial" w:eastAsia="Arial" w:hAnsi="Arial"/>
          <w:sz w:val="14"/>
          <w:szCs w:val="14"/>
          <w:b w:val="1"/>
          <w:bCs w:val="1"/>
          <w:color w:val="auto"/>
        </w:rPr>
        <w:t>TOCKHOLDERS</w:t>
      </w:r>
    </w:p>
    <w:p>
      <w:pPr>
        <w:spacing w:after="0" w:line="5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____________________________________________________</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2018 Annual Meeting of Stockholders of BWX Technologies, Inc., will be held at the Craddock Terry Hotel, Riverside Foyer, 1312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Commerce Street, Lynchburg, Virginia 24504, on Friday, May 4, 2018, at 9:30 a.m. Eastern Time, in order to:</w:t>
      </w:r>
    </w:p>
    <w:p>
      <w:pPr>
        <w:spacing w:after="0" w:line="9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elect Jan A. Bertsch, James M. Jaska and Kenneth J. Krieg as Class II directors of our Board of Directors;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hold an advisory vote on the compensation of our named executive officers;</w:t>
      </w:r>
    </w:p>
    <w:p>
      <w:pPr>
        <w:spacing w:after="0" w:line="90"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ratify the appointment of Deloitte &amp; Touche LLP as our independent registered public accounting firm for the year ending December 31, 2018; and</w:t>
      </w:r>
    </w:p>
    <w:p>
      <w:pPr>
        <w:spacing w:after="0" w:line="6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transact such other business as may properly come before the meeting or any adjournment thereof.</w:t>
      </w:r>
    </w:p>
    <w:p>
      <w:pPr>
        <w:spacing w:after="0" w:line="90"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If you were a stockholder as of the close of business on March 12, 2018, you are entitled to vote at the meeting and at any adjournment thereof.</w:t>
      </w:r>
    </w:p>
    <w:p>
      <w:pPr>
        <w:spacing w:after="0" w:line="6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Instead of mailing a printed copy of our proxy materials, including our 2017 Annual Report, to each stockholder of record, we are providing access to these materials via the Internet. This reduces the amount of paper necessary to produce these materials, as well as the costs associated with mailing these materials to all stockholders. Accordingly, on March 23, 2018, we mailed the Notice of Internet Availability of Proxy Materials (the “Notice”), or our proxy statement if you previously elected to receive a printed copy of the materials, to all stockholders of record as of March 12, 2018 and posted our proxy materials on the website referenced in the Notice (</w:t>
      </w:r>
      <w:r>
        <w:rPr>
          <w:rFonts w:ascii="Arial" w:cs="Arial" w:eastAsia="Arial" w:hAnsi="Arial"/>
          <w:sz w:val="18"/>
          <w:szCs w:val="18"/>
          <w:u w:val="single" w:color="auto"/>
          <w:color w:val="auto"/>
        </w:rPr>
        <w:t>www.proxyvote.com</w:t>
      </w:r>
      <w:r>
        <w:rPr>
          <w:rFonts w:ascii="Arial" w:cs="Arial" w:eastAsia="Arial" w:hAnsi="Arial"/>
          <w:sz w:val="18"/>
          <w:szCs w:val="18"/>
          <w:color w:val="auto"/>
        </w:rPr>
        <w:t>). As more fully described in the Notice, all stockholders may choose to access our proxy materials on the website referred to in the Notice or may request a printed set of our proxy materials. The Notice and website provide information regarding how you may request to receive proxy materials in printed form by mail or electronically by email on an ongoing basis.</w:t>
      </w:r>
    </w:p>
    <w:p>
      <w:pPr>
        <w:spacing w:after="0" w:line="71"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If you previously elected to receive a printed copy of the materials, we have enclosed a copy of our 2017 Annual Report to Stockholders with this notice and proxy statement.</w:t>
      </w:r>
    </w:p>
    <w:p>
      <w:pPr>
        <w:spacing w:after="0" w:line="39" w:lineRule="exact"/>
        <w:rPr>
          <w:sz w:val="20"/>
          <w:szCs w:val="20"/>
          <w:color w:val="auto"/>
        </w:rPr>
      </w:pPr>
    </w:p>
    <w:p>
      <w:pPr>
        <w:ind w:right="300"/>
        <w:spacing w:after="0" w:line="269" w:lineRule="auto"/>
        <w:rPr>
          <w:sz w:val="20"/>
          <w:szCs w:val="20"/>
          <w:color w:val="auto"/>
        </w:rPr>
      </w:pPr>
      <w:r>
        <w:rPr>
          <w:rFonts w:ascii="Arial" w:cs="Arial" w:eastAsia="Arial" w:hAnsi="Arial"/>
          <w:sz w:val="18"/>
          <w:szCs w:val="18"/>
          <w:b w:val="1"/>
          <w:bCs w:val="1"/>
          <w:color w:val="auto"/>
        </w:rPr>
        <w:t>Your vote is important. Please vote your proxy promptly so your shares can be represented, even if you plan to attend the Annual Meeting. You can vote by Internet, by telephone, in person or by requesting a printed copy of the proxy materials and using the enclosed proxy card.</w:t>
      </w: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2409825" cy="660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0982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JAMES D. CANAFAX</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Corporate Secretary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23, 2018</w:t>
      </w:r>
    </w:p>
    <w:p>
      <w:pPr>
        <w:sectPr>
          <w:pgSz w:w="11900" w:h="16838" w:orient="portrait"/>
          <w:cols w:equalWidth="0" w:num="1">
            <w:col w:w="11380"/>
          </w:cols>
          <w:pgMar w:left="240" w:top="568" w:right="279" w:bottom="1440" w:gutter="0" w:footer="0" w:header="0"/>
        </w:sectPr>
      </w:pPr>
    </w:p>
    <w:bookmarkStart w:id="4" w:name="page5"/>
    <w:bookmarkEnd w:id="4"/>
    <w:p>
      <w:pPr>
        <w:spacing w:after="0"/>
        <w:rPr>
          <w:sz w:val="20"/>
          <w:szCs w:val="20"/>
          <w:color w:val="auto"/>
        </w:rPr>
      </w:pPr>
      <w:r>
        <w:rPr>
          <w:rFonts w:ascii="Arial" w:cs="Arial" w:eastAsia="Arial" w:hAnsi="Arial"/>
          <w:sz w:val="25"/>
          <w:szCs w:val="25"/>
          <w:b w:val="1"/>
          <w:bCs w:val="1"/>
          <w:color w:val="auto"/>
        </w:rPr>
        <w:t>TABLE OF CONTENTS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392"/>
        </w:trPr>
        <w:tc>
          <w:tcPr>
            <w:tcW w:w="10620" w:type="dxa"/>
            <w:vAlign w:val="bottom"/>
            <w:shd w:val="clear" w:color="auto" w:fill="525252"/>
          </w:tcPr>
          <w:p>
            <w:pPr>
              <w:spacing w:after="0"/>
              <w:rPr>
                <w:sz w:val="24"/>
                <w:szCs w:val="24"/>
                <w:color w:val="auto"/>
              </w:rPr>
            </w:pPr>
          </w:p>
        </w:tc>
        <w:tc>
          <w:tcPr>
            <w:tcW w:w="800" w:type="dxa"/>
            <w:vAlign w:val="bottom"/>
            <w:shd w:val="clear" w:color="auto" w:fill="525252"/>
          </w:tcPr>
          <w:p>
            <w:pPr>
              <w:jc w:val="right"/>
              <w:ind w:right="90"/>
              <w:spacing w:after="0"/>
              <w:rPr>
                <w:sz w:val="20"/>
                <w:szCs w:val="20"/>
                <w:color w:val="auto"/>
              </w:rPr>
            </w:pPr>
            <w:r>
              <w:rPr>
                <w:rFonts w:ascii="Arial" w:cs="Arial" w:eastAsia="Arial" w:hAnsi="Arial"/>
                <w:sz w:val="18"/>
                <w:szCs w:val="18"/>
                <w:color w:val="FFFFFF"/>
              </w:rPr>
              <w:t>Page</w:t>
            </w:r>
          </w:p>
        </w:tc>
      </w:tr>
      <w:tr>
        <w:trPr>
          <w:trHeight w:val="243"/>
        </w:trPr>
        <w:tc>
          <w:tcPr>
            <w:tcW w:w="10620" w:type="dxa"/>
            <w:vAlign w:val="bottom"/>
          </w:tcPr>
          <w:p>
            <w:pPr>
              <w:ind w:left="40"/>
              <w:spacing w:after="0"/>
              <w:rPr>
                <w:rFonts w:ascii="Arial" w:cs="Arial" w:eastAsia="Arial" w:hAnsi="Arial"/>
                <w:sz w:val="18"/>
                <w:szCs w:val="18"/>
                <w:b w:val="1"/>
                <w:bCs w:val="1"/>
                <w:color w:val="auto"/>
              </w:rPr>
            </w:pPr>
            <w:hyperlink w:anchor="page6">
              <w:r>
                <w:rPr>
                  <w:rFonts w:ascii="Arial" w:cs="Arial" w:eastAsia="Arial" w:hAnsi="Arial"/>
                  <w:sz w:val="18"/>
                  <w:szCs w:val="18"/>
                  <w:b w:val="1"/>
                  <w:bCs w:val="1"/>
                  <w:color w:val="auto"/>
                </w:rPr>
                <w:t>2018 PROXY STATEMENT SUMMARY</w:t>
              </w:r>
            </w:hyperlink>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i</w:t>
            </w:r>
          </w:p>
        </w:tc>
      </w:tr>
      <w:tr>
        <w:trPr>
          <w:trHeight w:val="257"/>
        </w:trPr>
        <w:tc>
          <w:tcPr>
            <w:tcW w:w="10620" w:type="dxa"/>
            <w:vAlign w:val="bottom"/>
          </w:tcPr>
          <w:p>
            <w:pPr>
              <w:ind w:left="40"/>
              <w:spacing w:after="0"/>
              <w:rPr>
                <w:rFonts w:ascii="Arial" w:cs="Arial" w:eastAsia="Arial" w:hAnsi="Arial"/>
                <w:sz w:val="18"/>
                <w:szCs w:val="18"/>
                <w:b w:val="1"/>
                <w:bCs w:val="1"/>
                <w:color w:val="auto"/>
              </w:rPr>
            </w:pPr>
            <w:hyperlink w:anchor="page10">
              <w:r>
                <w:rPr>
                  <w:rFonts w:ascii="Arial" w:cs="Arial" w:eastAsia="Arial" w:hAnsi="Arial"/>
                  <w:sz w:val="18"/>
                  <w:szCs w:val="18"/>
                  <w:b w:val="1"/>
                  <w:bCs w:val="1"/>
                  <w:color w:val="auto"/>
                </w:rPr>
                <w:t>GENERAL INFORMATION</w:t>
              </w:r>
            </w:hyperlink>
          </w:p>
        </w:tc>
        <w:tc>
          <w:tcPr>
            <w:tcW w:w="800" w:type="dxa"/>
            <w:vAlign w:val="bottom"/>
          </w:tcPr>
          <w:p>
            <w:pPr>
              <w:jc w:val="right"/>
              <w:spacing w:after="0"/>
              <w:rPr>
                <w:rFonts w:ascii="Arial" w:cs="Arial" w:eastAsia="Arial" w:hAnsi="Arial"/>
                <w:sz w:val="18"/>
                <w:szCs w:val="18"/>
                <w:b w:val="1"/>
                <w:bCs w:val="1"/>
                <w:color w:val="auto"/>
              </w:rPr>
            </w:pPr>
            <w:hyperlink w:anchor="page10">
              <w:r>
                <w:rPr>
                  <w:rFonts w:ascii="Arial" w:cs="Arial" w:eastAsia="Arial" w:hAnsi="Arial"/>
                  <w:sz w:val="18"/>
                  <w:szCs w:val="18"/>
                  <w:b w:val="1"/>
                  <w:bCs w:val="1"/>
                  <w:color w:val="auto"/>
                </w:rPr>
                <w:t>1</w:t>
              </w:r>
            </w:hyperlink>
          </w:p>
        </w:tc>
      </w:tr>
      <w:tr>
        <w:trPr>
          <w:trHeight w:val="257"/>
        </w:trPr>
        <w:tc>
          <w:tcPr>
            <w:tcW w:w="10620" w:type="dxa"/>
            <w:vAlign w:val="bottom"/>
          </w:tcPr>
          <w:p>
            <w:pPr>
              <w:ind w:left="40"/>
              <w:spacing w:after="0"/>
              <w:rPr>
                <w:rFonts w:ascii="Arial" w:cs="Arial" w:eastAsia="Arial" w:hAnsi="Arial"/>
                <w:sz w:val="18"/>
                <w:szCs w:val="18"/>
                <w:b w:val="1"/>
                <w:bCs w:val="1"/>
                <w:color w:val="auto"/>
              </w:rPr>
            </w:pPr>
            <w:hyperlink w:anchor="page10">
              <w:r>
                <w:rPr>
                  <w:rFonts w:ascii="Arial" w:cs="Arial" w:eastAsia="Arial" w:hAnsi="Arial"/>
                  <w:sz w:val="18"/>
                  <w:szCs w:val="18"/>
                  <w:b w:val="1"/>
                  <w:bCs w:val="1"/>
                  <w:color w:val="auto"/>
                </w:rPr>
                <w:t>VOTING INFORMATION</w:t>
              </w:r>
            </w:hyperlink>
          </w:p>
        </w:tc>
        <w:tc>
          <w:tcPr>
            <w:tcW w:w="800" w:type="dxa"/>
            <w:vAlign w:val="bottom"/>
          </w:tcPr>
          <w:p>
            <w:pPr>
              <w:jc w:val="right"/>
              <w:spacing w:after="0"/>
              <w:rPr>
                <w:rFonts w:ascii="Arial" w:cs="Arial" w:eastAsia="Arial" w:hAnsi="Arial"/>
                <w:sz w:val="18"/>
                <w:szCs w:val="18"/>
                <w:b w:val="1"/>
                <w:bCs w:val="1"/>
                <w:color w:val="auto"/>
              </w:rPr>
            </w:pPr>
            <w:hyperlink w:anchor="page10">
              <w:r>
                <w:rPr>
                  <w:rFonts w:ascii="Arial" w:cs="Arial" w:eastAsia="Arial" w:hAnsi="Arial"/>
                  <w:sz w:val="18"/>
                  <w:szCs w:val="18"/>
                  <w:b w:val="1"/>
                  <w:bCs w:val="1"/>
                  <w:color w:val="auto"/>
                </w:rPr>
                <w:t>1</w:t>
              </w:r>
            </w:hyperlink>
          </w:p>
        </w:tc>
      </w:tr>
      <w:tr>
        <w:trPr>
          <w:trHeight w:val="257"/>
        </w:trPr>
        <w:tc>
          <w:tcPr>
            <w:tcW w:w="10620" w:type="dxa"/>
            <w:vAlign w:val="bottom"/>
          </w:tcPr>
          <w:p>
            <w:pPr>
              <w:ind w:left="180"/>
              <w:spacing w:after="0"/>
              <w:rPr>
                <w:rFonts w:ascii="Arial" w:cs="Arial" w:eastAsia="Arial" w:hAnsi="Arial"/>
                <w:sz w:val="18"/>
                <w:szCs w:val="18"/>
                <w:color w:val="auto"/>
              </w:rPr>
            </w:pPr>
            <w:hyperlink w:anchor="page10">
              <w:r>
                <w:rPr>
                  <w:rFonts w:ascii="Arial" w:cs="Arial" w:eastAsia="Arial" w:hAnsi="Arial"/>
                  <w:sz w:val="18"/>
                  <w:szCs w:val="18"/>
                  <w:color w:val="auto"/>
                </w:rPr>
                <w:t>Record Date and Who May Vote</w:t>
              </w:r>
            </w:hyperlink>
          </w:p>
        </w:tc>
        <w:tc>
          <w:tcPr>
            <w:tcW w:w="800" w:type="dxa"/>
            <w:vAlign w:val="bottom"/>
          </w:tcPr>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1</w:t>
              </w:r>
            </w:hyperlink>
          </w:p>
        </w:tc>
      </w:tr>
      <w:tr>
        <w:trPr>
          <w:trHeight w:val="257"/>
        </w:trPr>
        <w:tc>
          <w:tcPr>
            <w:tcW w:w="10620" w:type="dxa"/>
            <w:vAlign w:val="bottom"/>
          </w:tcPr>
          <w:p>
            <w:pPr>
              <w:ind w:left="180"/>
              <w:spacing w:after="0"/>
              <w:rPr>
                <w:rFonts w:ascii="Arial" w:cs="Arial" w:eastAsia="Arial" w:hAnsi="Arial"/>
                <w:sz w:val="18"/>
                <w:szCs w:val="18"/>
                <w:color w:val="auto"/>
              </w:rPr>
            </w:pPr>
            <w:hyperlink w:anchor="page10">
              <w:r>
                <w:rPr>
                  <w:rFonts w:ascii="Arial" w:cs="Arial" w:eastAsia="Arial" w:hAnsi="Arial"/>
                  <w:sz w:val="18"/>
                  <w:szCs w:val="18"/>
                  <w:color w:val="auto"/>
                </w:rPr>
                <w:t>How to Vote</w:t>
              </w:r>
            </w:hyperlink>
          </w:p>
        </w:tc>
        <w:tc>
          <w:tcPr>
            <w:tcW w:w="800" w:type="dxa"/>
            <w:vAlign w:val="bottom"/>
          </w:tcPr>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1</w:t>
              </w:r>
            </w:hyperlink>
          </w:p>
        </w:tc>
      </w:tr>
      <w:tr>
        <w:trPr>
          <w:trHeight w:val="257"/>
        </w:trPr>
        <w:tc>
          <w:tcPr>
            <w:tcW w:w="10620" w:type="dxa"/>
            <w:vAlign w:val="bottom"/>
          </w:tcPr>
          <w:p>
            <w:pPr>
              <w:ind w:left="180"/>
              <w:spacing w:after="0"/>
              <w:rPr>
                <w:rFonts w:ascii="Arial" w:cs="Arial" w:eastAsia="Arial" w:hAnsi="Arial"/>
                <w:sz w:val="18"/>
                <w:szCs w:val="18"/>
                <w:color w:val="auto"/>
              </w:rPr>
            </w:pPr>
            <w:hyperlink w:anchor="page11">
              <w:r>
                <w:rPr>
                  <w:rFonts w:ascii="Arial" w:cs="Arial" w:eastAsia="Arial" w:hAnsi="Arial"/>
                  <w:sz w:val="18"/>
                  <w:szCs w:val="18"/>
                  <w:color w:val="auto"/>
                </w:rPr>
                <w:t>How to Change Your Vote or Revoke Your Proxy</w:t>
              </w:r>
            </w:hyperlink>
          </w:p>
        </w:tc>
        <w:tc>
          <w:tcPr>
            <w:tcW w:w="800" w:type="dxa"/>
            <w:vAlign w:val="bottom"/>
          </w:tcPr>
          <w:p>
            <w:pPr>
              <w:jc w:val="right"/>
              <w:spacing w:after="0"/>
              <w:rPr>
                <w:rFonts w:ascii="Arial" w:cs="Arial" w:eastAsia="Arial" w:hAnsi="Arial"/>
                <w:sz w:val="18"/>
                <w:szCs w:val="18"/>
                <w:color w:val="auto"/>
              </w:rPr>
            </w:pPr>
            <w:hyperlink w:anchor="page11">
              <w:r>
                <w:rPr>
                  <w:rFonts w:ascii="Arial" w:cs="Arial" w:eastAsia="Arial" w:hAnsi="Arial"/>
                  <w:sz w:val="18"/>
                  <w:szCs w:val="18"/>
                  <w:color w:val="auto"/>
                </w:rPr>
                <w:t>2</w:t>
              </w:r>
            </w:hyperlink>
          </w:p>
        </w:tc>
      </w:tr>
      <w:tr>
        <w:trPr>
          <w:trHeight w:val="257"/>
        </w:trPr>
        <w:tc>
          <w:tcPr>
            <w:tcW w:w="10620" w:type="dxa"/>
            <w:vAlign w:val="bottom"/>
          </w:tcPr>
          <w:p>
            <w:pPr>
              <w:ind w:left="180"/>
              <w:spacing w:after="0"/>
              <w:rPr>
                <w:rFonts w:ascii="Arial" w:cs="Arial" w:eastAsia="Arial" w:hAnsi="Arial"/>
                <w:sz w:val="18"/>
                <w:szCs w:val="18"/>
                <w:color w:val="auto"/>
              </w:rPr>
            </w:pPr>
            <w:hyperlink w:anchor="page11">
              <w:r>
                <w:rPr>
                  <w:rFonts w:ascii="Arial" w:cs="Arial" w:eastAsia="Arial" w:hAnsi="Arial"/>
                  <w:sz w:val="18"/>
                  <w:szCs w:val="18"/>
                  <w:color w:val="auto"/>
                </w:rPr>
                <w:t>Quorum</w:t>
              </w:r>
            </w:hyperlink>
          </w:p>
        </w:tc>
        <w:tc>
          <w:tcPr>
            <w:tcW w:w="800" w:type="dxa"/>
            <w:vAlign w:val="bottom"/>
          </w:tcPr>
          <w:p>
            <w:pPr>
              <w:jc w:val="right"/>
              <w:spacing w:after="0"/>
              <w:rPr>
                <w:rFonts w:ascii="Arial" w:cs="Arial" w:eastAsia="Arial" w:hAnsi="Arial"/>
                <w:sz w:val="18"/>
                <w:szCs w:val="18"/>
                <w:color w:val="auto"/>
              </w:rPr>
            </w:pPr>
            <w:hyperlink w:anchor="page11">
              <w:r>
                <w:rPr>
                  <w:rFonts w:ascii="Arial" w:cs="Arial" w:eastAsia="Arial" w:hAnsi="Arial"/>
                  <w:sz w:val="18"/>
                  <w:szCs w:val="18"/>
                  <w:color w:val="auto"/>
                </w:rPr>
                <w:t>2</w:t>
              </w:r>
            </w:hyperlink>
          </w:p>
        </w:tc>
      </w:tr>
      <w:tr>
        <w:trPr>
          <w:trHeight w:val="257"/>
        </w:trPr>
        <w:tc>
          <w:tcPr>
            <w:tcW w:w="10620" w:type="dxa"/>
            <w:vAlign w:val="bottom"/>
          </w:tcPr>
          <w:p>
            <w:pPr>
              <w:ind w:left="180"/>
              <w:spacing w:after="0"/>
              <w:rPr>
                <w:rFonts w:ascii="Arial" w:cs="Arial" w:eastAsia="Arial" w:hAnsi="Arial"/>
                <w:sz w:val="18"/>
                <w:szCs w:val="18"/>
                <w:color w:val="auto"/>
              </w:rPr>
            </w:pPr>
            <w:hyperlink w:anchor="page11">
              <w:r>
                <w:rPr>
                  <w:rFonts w:ascii="Arial" w:cs="Arial" w:eastAsia="Arial" w:hAnsi="Arial"/>
                  <w:sz w:val="18"/>
                  <w:szCs w:val="18"/>
                  <w:color w:val="auto"/>
                </w:rPr>
                <w:t>Proposals to Be Voted on; Vote Required</w:t>
              </w:r>
            </w:hyperlink>
          </w:p>
        </w:tc>
        <w:tc>
          <w:tcPr>
            <w:tcW w:w="800" w:type="dxa"/>
            <w:vAlign w:val="bottom"/>
          </w:tcPr>
          <w:p>
            <w:pPr>
              <w:jc w:val="right"/>
              <w:spacing w:after="0"/>
              <w:rPr>
                <w:rFonts w:ascii="Arial" w:cs="Arial" w:eastAsia="Arial" w:hAnsi="Arial"/>
                <w:sz w:val="18"/>
                <w:szCs w:val="18"/>
                <w:color w:val="auto"/>
              </w:rPr>
            </w:pPr>
            <w:hyperlink w:anchor="page11">
              <w:r>
                <w:rPr>
                  <w:rFonts w:ascii="Arial" w:cs="Arial" w:eastAsia="Arial" w:hAnsi="Arial"/>
                  <w:sz w:val="18"/>
                  <w:szCs w:val="18"/>
                  <w:color w:val="auto"/>
                </w:rPr>
                <w:t>2</w:t>
              </w:r>
            </w:hyperlink>
          </w:p>
        </w:tc>
      </w:tr>
      <w:tr>
        <w:trPr>
          <w:trHeight w:val="257"/>
        </w:trPr>
        <w:tc>
          <w:tcPr>
            <w:tcW w:w="10620" w:type="dxa"/>
            <w:vAlign w:val="bottom"/>
          </w:tcPr>
          <w:p>
            <w:pPr>
              <w:ind w:left="180"/>
              <w:spacing w:after="0"/>
              <w:rPr>
                <w:rFonts w:ascii="Arial" w:cs="Arial" w:eastAsia="Arial" w:hAnsi="Arial"/>
                <w:sz w:val="18"/>
                <w:szCs w:val="18"/>
                <w:color w:val="auto"/>
              </w:rPr>
            </w:pPr>
            <w:hyperlink w:anchor="page12">
              <w:r>
                <w:rPr>
                  <w:rFonts w:ascii="Arial" w:cs="Arial" w:eastAsia="Arial" w:hAnsi="Arial"/>
                  <w:sz w:val="18"/>
                  <w:szCs w:val="18"/>
                  <w:color w:val="auto"/>
                </w:rPr>
                <w:t>How Votes Are Counted; Confidential Voting</w:t>
              </w:r>
            </w:hyperlink>
          </w:p>
        </w:tc>
        <w:tc>
          <w:tcPr>
            <w:tcW w:w="800" w:type="dxa"/>
            <w:vAlign w:val="bottom"/>
          </w:tcPr>
          <w:p>
            <w:pPr>
              <w:jc w:val="right"/>
              <w:spacing w:after="0"/>
              <w:rPr>
                <w:rFonts w:ascii="Arial" w:cs="Arial" w:eastAsia="Arial" w:hAnsi="Arial"/>
                <w:sz w:val="18"/>
                <w:szCs w:val="18"/>
                <w:color w:val="auto"/>
              </w:rPr>
            </w:pPr>
            <w:hyperlink w:anchor="page12">
              <w:r>
                <w:rPr>
                  <w:rFonts w:ascii="Arial" w:cs="Arial" w:eastAsia="Arial" w:hAnsi="Arial"/>
                  <w:sz w:val="18"/>
                  <w:szCs w:val="18"/>
                  <w:color w:val="auto"/>
                </w:rPr>
                <w:t>3</w:t>
              </w:r>
            </w:hyperlink>
          </w:p>
        </w:tc>
      </w:tr>
      <w:tr>
        <w:trPr>
          <w:trHeight w:val="257"/>
        </w:trPr>
        <w:tc>
          <w:tcPr>
            <w:tcW w:w="10620" w:type="dxa"/>
            <w:vAlign w:val="bottom"/>
          </w:tcPr>
          <w:p>
            <w:pPr>
              <w:ind w:left="40"/>
              <w:spacing w:after="0"/>
              <w:rPr>
                <w:rFonts w:ascii="Arial" w:cs="Arial" w:eastAsia="Arial" w:hAnsi="Arial"/>
                <w:sz w:val="18"/>
                <w:szCs w:val="18"/>
                <w:b w:val="1"/>
                <w:bCs w:val="1"/>
                <w:color w:val="auto"/>
              </w:rPr>
            </w:pPr>
            <w:hyperlink w:anchor="page13">
              <w:r>
                <w:rPr>
                  <w:rFonts w:ascii="Arial" w:cs="Arial" w:eastAsia="Arial" w:hAnsi="Arial"/>
                  <w:sz w:val="18"/>
                  <w:szCs w:val="18"/>
                  <w:b w:val="1"/>
                  <w:bCs w:val="1"/>
                  <w:color w:val="auto"/>
                </w:rPr>
                <w:t>PROPOSAL 1: ELECTION OF DIRECTORS</w:t>
              </w:r>
            </w:hyperlink>
          </w:p>
        </w:tc>
        <w:tc>
          <w:tcPr>
            <w:tcW w:w="800" w:type="dxa"/>
            <w:vAlign w:val="bottom"/>
          </w:tcPr>
          <w:p>
            <w:pPr>
              <w:jc w:val="right"/>
              <w:spacing w:after="0"/>
              <w:rPr>
                <w:rFonts w:ascii="Arial" w:cs="Arial" w:eastAsia="Arial" w:hAnsi="Arial"/>
                <w:sz w:val="18"/>
                <w:szCs w:val="18"/>
                <w:b w:val="1"/>
                <w:bCs w:val="1"/>
                <w:color w:val="auto"/>
              </w:rPr>
            </w:pPr>
            <w:hyperlink w:anchor="page13">
              <w:r>
                <w:rPr>
                  <w:rFonts w:ascii="Arial" w:cs="Arial" w:eastAsia="Arial" w:hAnsi="Arial"/>
                  <w:sz w:val="18"/>
                  <w:szCs w:val="18"/>
                  <w:b w:val="1"/>
                  <w:bCs w:val="1"/>
                  <w:color w:val="auto"/>
                </w:rPr>
                <w:t>4</w:t>
              </w:r>
            </w:hyperlink>
          </w:p>
        </w:tc>
      </w:tr>
      <w:tr>
        <w:trPr>
          <w:trHeight w:val="257"/>
        </w:trPr>
        <w:tc>
          <w:tcPr>
            <w:tcW w:w="10620" w:type="dxa"/>
            <w:vAlign w:val="bottom"/>
          </w:tcPr>
          <w:p>
            <w:pPr>
              <w:ind w:left="40"/>
              <w:spacing w:after="0"/>
              <w:rPr>
                <w:rFonts w:ascii="Arial" w:cs="Arial" w:eastAsia="Arial" w:hAnsi="Arial"/>
                <w:sz w:val="18"/>
                <w:szCs w:val="18"/>
                <w:b w:val="1"/>
                <w:bCs w:val="1"/>
                <w:color w:val="auto"/>
              </w:rPr>
            </w:pPr>
            <w:hyperlink w:anchor="page19">
              <w:r>
                <w:rPr>
                  <w:rFonts w:ascii="Arial" w:cs="Arial" w:eastAsia="Arial" w:hAnsi="Arial"/>
                  <w:sz w:val="18"/>
                  <w:szCs w:val="18"/>
                  <w:b w:val="1"/>
                  <w:bCs w:val="1"/>
                  <w:color w:val="auto"/>
                </w:rPr>
                <w:t>CORPORATE GOVERNANCE</w:t>
              </w:r>
            </w:hyperlink>
          </w:p>
        </w:tc>
        <w:tc>
          <w:tcPr>
            <w:tcW w:w="800" w:type="dxa"/>
            <w:vAlign w:val="bottom"/>
          </w:tcPr>
          <w:p>
            <w:pPr>
              <w:jc w:val="right"/>
              <w:spacing w:after="0"/>
              <w:rPr>
                <w:rFonts w:ascii="Arial" w:cs="Arial" w:eastAsia="Arial" w:hAnsi="Arial"/>
                <w:sz w:val="18"/>
                <w:szCs w:val="18"/>
                <w:b w:val="1"/>
                <w:bCs w:val="1"/>
                <w:color w:val="auto"/>
              </w:rPr>
            </w:pPr>
            <w:hyperlink w:anchor="page19">
              <w:r>
                <w:rPr>
                  <w:rFonts w:ascii="Arial" w:cs="Arial" w:eastAsia="Arial" w:hAnsi="Arial"/>
                  <w:sz w:val="18"/>
                  <w:szCs w:val="18"/>
                  <w:b w:val="1"/>
                  <w:bCs w:val="1"/>
                  <w:color w:val="auto"/>
                </w:rPr>
                <w:t>10</w:t>
              </w:r>
            </w:hyperlink>
          </w:p>
        </w:tc>
      </w:tr>
      <w:tr>
        <w:trPr>
          <w:trHeight w:val="257"/>
        </w:trPr>
        <w:tc>
          <w:tcPr>
            <w:tcW w:w="10620" w:type="dxa"/>
            <w:vAlign w:val="bottom"/>
          </w:tcPr>
          <w:p>
            <w:pPr>
              <w:ind w:left="180"/>
              <w:spacing w:after="0"/>
              <w:rPr>
                <w:rFonts w:ascii="Arial" w:cs="Arial" w:eastAsia="Arial" w:hAnsi="Arial"/>
                <w:sz w:val="18"/>
                <w:szCs w:val="18"/>
                <w:color w:val="auto"/>
              </w:rPr>
            </w:pPr>
            <w:hyperlink w:anchor="page19">
              <w:r>
                <w:rPr>
                  <w:rFonts w:ascii="Arial" w:cs="Arial" w:eastAsia="Arial" w:hAnsi="Arial"/>
                  <w:sz w:val="18"/>
                  <w:szCs w:val="18"/>
                  <w:color w:val="auto"/>
                </w:rPr>
                <w:t>Director Independence</w:t>
              </w:r>
            </w:hyperlink>
          </w:p>
        </w:tc>
        <w:tc>
          <w:tcPr>
            <w:tcW w:w="800" w:type="dxa"/>
            <w:vAlign w:val="bottom"/>
          </w:tcPr>
          <w:p>
            <w:pPr>
              <w:jc w:val="right"/>
              <w:spacing w:after="0"/>
              <w:rPr>
                <w:rFonts w:ascii="Arial" w:cs="Arial" w:eastAsia="Arial" w:hAnsi="Arial"/>
                <w:sz w:val="18"/>
                <w:szCs w:val="18"/>
                <w:color w:val="auto"/>
              </w:rPr>
            </w:pPr>
            <w:hyperlink w:anchor="page19">
              <w:r>
                <w:rPr>
                  <w:rFonts w:ascii="Arial" w:cs="Arial" w:eastAsia="Arial" w:hAnsi="Arial"/>
                  <w:sz w:val="18"/>
                  <w:szCs w:val="18"/>
                  <w:color w:val="auto"/>
                </w:rPr>
                <w:t>10</w:t>
              </w:r>
            </w:hyperlink>
          </w:p>
        </w:tc>
      </w:tr>
      <w:tr>
        <w:trPr>
          <w:trHeight w:val="257"/>
        </w:trPr>
        <w:tc>
          <w:tcPr>
            <w:tcW w:w="10620" w:type="dxa"/>
            <w:vAlign w:val="bottom"/>
          </w:tcPr>
          <w:p>
            <w:pPr>
              <w:ind w:left="180"/>
              <w:spacing w:after="0"/>
              <w:rPr>
                <w:rFonts w:ascii="Arial" w:cs="Arial" w:eastAsia="Arial" w:hAnsi="Arial"/>
                <w:sz w:val="18"/>
                <w:szCs w:val="18"/>
                <w:color w:val="auto"/>
              </w:rPr>
            </w:pPr>
            <w:hyperlink w:anchor="page19">
              <w:r>
                <w:rPr>
                  <w:rFonts w:ascii="Arial" w:cs="Arial" w:eastAsia="Arial" w:hAnsi="Arial"/>
                  <w:sz w:val="18"/>
                  <w:szCs w:val="18"/>
                  <w:color w:val="auto"/>
                </w:rPr>
                <w:t>Board Function, Leadership Structure and Executive Sessions</w:t>
              </w:r>
            </w:hyperlink>
          </w:p>
        </w:tc>
        <w:tc>
          <w:tcPr>
            <w:tcW w:w="800" w:type="dxa"/>
            <w:vAlign w:val="bottom"/>
          </w:tcPr>
          <w:p>
            <w:pPr>
              <w:jc w:val="right"/>
              <w:spacing w:after="0"/>
              <w:rPr>
                <w:rFonts w:ascii="Arial" w:cs="Arial" w:eastAsia="Arial" w:hAnsi="Arial"/>
                <w:sz w:val="18"/>
                <w:szCs w:val="18"/>
                <w:color w:val="auto"/>
              </w:rPr>
            </w:pPr>
            <w:hyperlink w:anchor="page19">
              <w:r>
                <w:rPr>
                  <w:rFonts w:ascii="Arial" w:cs="Arial" w:eastAsia="Arial" w:hAnsi="Arial"/>
                  <w:sz w:val="18"/>
                  <w:szCs w:val="18"/>
                  <w:color w:val="auto"/>
                </w:rPr>
                <w:t>10</w:t>
              </w:r>
            </w:hyperlink>
          </w:p>
        </w:tc>
      </w:tr>
      <w:tr>
        <w:trPr>
          <w:trHeight w:val="257"/>
        </w:trPr>
        <w:tc>
          <w:tcPr>
            <w:tcW w:w="10620" w:type="dxa"/>
            <w:vAlign w:val="bottom"/>
          </w:tcPr>
          <w:p>
            <w:pPr>
              <w:ind w:left="180"/>
              <w:spacing w:after="0"/>
              <w:rPr>
                <w:rFonts w:ascii="Arial" w:cs="Arial" w:eastAsia="Arial" w:hAnsi="Arial"/>
                <w:sz w:val="18"/>
                <w:szCs w:val="18"/>
                <w:color w:val="auto"/>
              </w:rPr>
            </w:pPr>
            <w:hyperlink w:anchor="page20">
              <w:r>
                <w:rPr>
                  <w:rFonts w:ascii="Arial" w:cs="Arial" w:eastAsia="Arial" w:hAnsi="Arial"/>
                  <w:sz w:val="18"/>
                  <w:szCs w:val="18"/>
                  <w:color w:val="auto"/>
                </w:rPr>
                <w:t>The Role of the Board in Succession Planning</w:t>
              </w:r>
            </w:hyperlink>
          </w:p>
        </w:tc>
        <w:tc>
          <w:tcPr>
            <w:tcW w:w="800" w:type="dxa"/>
            <w:vAlign w:val="bottom"/>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11</w:t>
              </w:r>
            </w:hyperlink>
          </w:p>
        </w:tc>
      </w:tr>
      <w:tr>
        <w:trPr>
          <w:trHeight w:val="257"/>
        </w:trPr>
        <w:tc>
          <w:tcPr>
            <w:tcW w:w="10620" w:type="dxa"/>
            <w:vAlign w:val="bottom"/>
          </w:tcPr>
          <w:p>
            <w:pPr>
              <w:ind w:left="180"/>
              <w:spacing w:after="0"/>
              <w:rPr>
                <w:rFonts w:ascii="Arial" w:cs="Arial" w:eastAsia="Arial" w:hAnsi="Arial"/>
                <w:sz w:val="18"/>
                <w:szCs w:val="18"/>
                <w:color w:val="auto"/>
              </w:rPr>
            </w:pPr>
            <w:hyperlink w:anchor="page20">
              <w:r>
                <w:rPr>
                  <w:rFonts w:ascii="Arial" w:cs="Arial" w:eastAsia="Arial" w:hAnsi="Arial"/>
                  <w:sz w:val="18"/>
                  <w:szCs w:val="18"/>
                  <w:color w:val="auto"/>
                </w:rPr>
                <w:t>The Role of the Board in Risk Oversight</w:t>
              </w:r>
            </w:hyperlink>
          </w:p>
        </w:tc>
        <w:tc>
          <w:tcPr>
            <w:tcW w:w="800" w:type="dxa"/>
            <w:vAlign w:val="bottom"/>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11</w:t>
              </w:r>
            </w:hyperlink>
          </w:p>
        </w:tc>
      </w:tr>
      <w:tr>
        <w:trPr>
          <w:trHeight w:val="257"/>
        </w:trPr>
        <w:tc>
          <w:tcPr>
            <w:tcW w:w="10620" w:type="dxa"/>
            <w:vAlign w:val="bottom"/>
          </w:tcPr>
          <w:p>
            <w:pPr>
              <w:ind w:left="180"/>
              <w:spacing w:after="0"/>
              <w:rPr>
                <w:rFonts w:ascii="Arial" w:cs="Arial" w:eastAsia="Arial" w:hAnsi="Arial"/>
                <w:sz w:val="18"/>
                <w:szCs w:val="18"/>
                <w:color w:val="auto"/>
              </w:rPr>
            </w:pPr>
            <w:hyperlink w:anchor="page21">
              <w:r>
                <w:rPr>
                  <w:rFonts w:ascii="Arial" w:cs="Arial" w:eastAsia="Arial" w:hAnsi="Arial"/>
                  <w:sz w:val="18"/>
                  <w:szCs w:val="18"/>
                  <w:color w:val="auto"/>
                </w:rPr>
                <w:t>Stockholder Engagement on Governance Matters</w:t>
              </w:r>
            </w:hyperlink>
          </w:p>
        </w:tc>
        <w:tc>
          <w:tcPr>
            <w:tcW w:w="80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12</w:t>
              </w:r>
            </w:hyperlink>
          </w:p>
        </w:tc>
      </w:tr>
      <w:tr>
        <w:trPr>
          <w:trHeight w:val="257"/>
        </w:trPr>
        <w:tc>
          <w:tcPr>
            <w:tcW w:w="10620" w:type="dxa"/>
            <w:vAlign w:val="bottom"/>
          </w:tcPr>
          <w:p>
            <w:pPr>
              <w:ind w:left="180"/>
              <w:spacing w:after="0"/>
              <w:rPr>
                <w:rFonts w:ascii="Arial" w:cs="Arial" w:eastAsia="Arial" w:hAnsi="Arial"/>
                <w:sz w:val="18"/>
                <w:szCs w:val="18"/>
                <w:color w:val="auto"/>
              </w:rPr>
            </w:pPr>
            <w:hyperlink w:anchor="page21">
              <w:r>
                <w:rPr>
                  <w:rFonts w:ascii="Arial" w:cs="Arial" w:eastAsia="Arial" w:hAnsi="Arial"/>
                  <w:sz w:val="18"/>
                  <w:szCs w:val="18"/>
                  <w:color w:val="auto"/>
                </w:rPr>
                <w:t>Communication with the Board</w:t>
              </w:r>
            </w:hyperlink>
          </w:p>
        </w:tc>
        <w:tc>
          <w:tcPr>
            <w:tcW w:w="80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12</w:t>
              </w:r>
            </w:hyperlink>
          </w:p>
        </w:tc>
      </w:tr>
      <w:tr>
        <w:trPr>
          <w:trHeight w:val="257"/>
        </w:trPr>
        <w:tc>
          <w:tcPr>
            <w:tcW w:w="10620" w:type="dxa"/>
            <w:vAlign w:val="bottom"/>
          </w:tcPr>
          <w:p>
            <w:pPr>
              <w:ind w:left="180"/>
              <w:spacing w:after="0"/>
              <w:rPr>
                <w:rFonts w:ascii="Arial" w:cs="Arial" w:eastAsia="Arial" w:hAnsi="Arial"/>
                <w:sz w:val="18"/>
                <w:szCs w:val="18"/>
                <w:color w:val="auto"/>
              </w:rPr>
            </w:pPr>
            <w:hyperlink w:anchor="page21">
              <w:r>
                <w:rPr>
                  <w:rFonts w:ascii="Arial" w:cs="Arial" w:eastAsia="Arial" w:hAnsi="Arial"/>
                  <w:sz w:val="18"/>
                  <w:szCs w:val="18"/>
                  <w:color w:val="auto"/>
                </w:rPr>
                <w:t>Board of Directors and Its Committees</w:t>
              </w:r>
            </w:hyperlink>
          </w:p>
        </w:tc>
        <w:tc>
          <w:tcPr>
            <w:tcW w:w="80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12</w:t>
              </w:r>
            </w:hyperlink>
          </w:p>
        </w:tc>
      </w:tr>
      <w:tr>
        <w:trPr>
          <w:trHeight w:val="257"/>
        </w:trPr>
        <w:tc>
          <w:tcPr>
            <w:tcW w:w="10620" w:type="dxa"/>
            <w:vAlign w:val="bottom"/>
          </w:tcPr>
          <w:p>
            <w:pPr>
              <w:ind w:left="40"/>
              <w:spacing w:after="0"/>
              <w:rPr>
                <w:rFonts w:ascii="Arial" w:cs="Arial" w:eastAsia="Arial" w:hAnsi="Arial"/>
                <w:sz w:val="18"/>
                <w:szCs w:val="18"/>
                <w:b w:val="1"/>
                <w:bCs w:val="1"/>
                <w:color w:val="auto"/>
              </w:rPr>
            </w:pPr>
            <w:hyperlink w:anchor="page27">
              <w:r>
                <w:rPr>
                  <w:rFonts w:ascii="Arial" w:cs="Arial" w:eastAsia="Arial" w:hAnsi="Arial"/>
                  <w:sz w:val="18"/>
                  <w:szCs w:val="18"/>
                  <w:b w:val="1"/>
                  <w:bCs w:val="1"/>
                  <w:color w:val="auto"/>
                </w:rPr>
                <w:t>COMPENSATION OF DIRECTORS</w:t>
              </w:r>
            </w:hyperlink>
          </w:p>
        </w:tc>
        <w:tc>
          <w:tcPr>
            <w:tcW w:w="800" w:type="dxa"/>
            <w:vAlign w:val="bottom"/>
          </w:tcPr>
          <w:p>
            <w:pPr>
              <w:jc w:val="right"/>
              <w:spacing w:after="0"/>
              <w:rPr>
                <w:rFonts w:ascii="Arial" w:cs="Arial" w:eastAsia="Arial" w:hAnsi="Arial"/>
                <w:sz w:val="18"/>
                <w:szCs w:val="18"/>
                <w:b w:val="1"/>
                <w:bCs w:val="1"/>
                <w:color w:val="auto"/>
              </w:rPr>
            </w:pPr>
            <w:hyperlink w:anchor="page27">
              <w:r>
                <w:rPr>
                  <w:rFonts w:ascii="Arial" w:cs="Arial" w:eastAsia="Arial" w:hAnsi="Arial"/>
                  <w:sz w:val="18"/>
                  <w:szCs w:val="18"/>
                  <w:b w:val="1"/>
                  <w:bCs w:val="1"/>
                  <w:color w:val="auto"/>
                </w:rPr>
                <w:t>18</w:t>
              </w:r>
            </w:hyperlink>
          </w:p>
        </w:tc>
      </w:tr>
      <w:tr>
        <w:trPr>
          <w:trHeight w:val="257"/>
        </w:trPr>
        <w:tc>
          <w:tcPr>
            <w:tcW w:w="10620" w:type="dxa"/>
            <w:vAlign w:val="bottom"/>
          </w:tcPr>
          <w:p>
            <w:pPr>
              <w:ind w:left="40"/>
              <w:spacing w:after="0"/>
              <w:rPr>
                <w:rFonts w:ascii="Arial" w:cs="Arial" w:eastAsia="Arial" w:hAnsi="Arial"/>
                <w:sz w:val="18"/>
                <w:szCs w:val="18"/>
                <w:b w:val="1"/>
                <w:bCs w:val="1"/>
                <w:color w:val="auto"/>
              </w:rPr>
            </w:pPr>
            <w:hyperlink w:anchor="page29">
              <w:r>
                <w:rPr>
                  <w:rFonts w:ascii="Arial" w:cs="Arial" w:eastAsia="Arial" w:hAnsi="Arial"/>
                  <w:sz w:val="18"/>
                  <w:szCs w:val="18"/>
                  <w:b w:val="1"/>
                  <w:bCs w:val="1"/>
                  <w:color w:val="auto"/>
                </w:rPr>
                <w:t>NAMED EXECUTIVE PROFILES</w:t>
              </w:r>
            </w:hyperlink>
          </w:p>
        </w:tc>
        <w:tc>
          <w:tcPr>
            <w:tcW w:w="800" w:type="dxa"/>
            <w:vAlign w:val="bottom"/>
          </w:tcPr>
          <w:p>
            <w:pPr>
              <w:jc w:val="right"/>
              <w:spacing w:after="0"/>
              <w:rPr>
                <w:rFonts w:ascii="Arial" w:cs="Arial" w:eastAsia="Arial" w:hAnsi="Arial"/>
                <w:sz w:val="18"/>
                <w:szCs w:val="18"/>
                <w:b w:val="1"/>
                <w:bCs w:val="1"/>
                <w:color w:val="auto"/>
              </w:rPr>
            </w:pPr>
            <w:hyperlink w:anchor="page29">
              <w:r>
                <w:rPr>
                  <w:rFonts w:ascii="Arial" w:cs="Arial" w:eastAsia="Arial" w:hAnsi="Arial"/>
                  <w:sz w:val="18"/>
                  <w:szCs w:val="18"/>
                  <w:b w:val="1"/>
                  <w:bCs w:val="1"/>
                  <w:color w:val="auto"/>
                </w:rPr>
                <w:t>20</w:t>
              </w:r>
            </w:hyperlink>
          </w:p>
        </w:tc>
      </w:tr>
      <w:tr>
        <w:trPr>
          <w:trHeight w:val="257"/>
        </w:trPr>
        <w:tc>
          <w:tcPr>
            <w:tcW w:w="10620" w:type="dxa"/>
            <w:vAlign w:val="bottom"/>
          </w:tcPr>
          <w:p>
            <w:pPr>
              <w:ind w:left="40"/>
              <w:spacing w:after="0"/>
              <w:rPr>
                <w:rFonts w:ascii="Arial" w:cs="Arial" w:eastAsia="Arial" w:hAnsi="Arial"/>
                <w:sz w:val="18"/>
                <w:szCs w:val="18"/>
                <w:b w:val="1"/>
                <w:bCs w:val="1"/>
                <w:color w:val="auto"/>
              </w:rPr>
            </w:pPr>
            <w:hyperlink w:anchor="page30">
              <w:r>
                <w:rPr>
                  <w:rFonts w:ascii="Arial" w:cs="Arial" w:eastAsia="Arial" w:hAnsi="Arial"/>
                  <w:sz w:val="18"/>
                  <w:szCs w:val="18"/>
                  <w:b w:val="1"/>
                  <w:bCs w:val="1"/>
                  <w:color w:val="auto"/>
                </w:rPr>
                <w:t>EXECUTIVE OFFICER PROFILES</w:t>
              </w:r>
            </w:hyperlink>
          </w:p>
        </w:tc>
        <w:tc>
          <w:tcPr>
            <w:tcW w:w="800" w:type="dxa"/>
            <w:vAlign w:val="bottom"/>
          </w:tcPr>
          <w:p>
            <w:pPr>
              <w:jc w:val="right"/>
              <w:spacing w:after="0"/>
              <w:rPr>
                <w:rFonts w:ascii="Arial" w:cs="Arial" w:eastAsia="Arial" w:hAnsi="Arial"/>
                <w:sz w:val="18"/>
                <w:szCs w:val="18"/>
                <w:b w:val="1"/>
                <w:bCs w:val="1"/>
                <w:color w:val="auto"/>
              </w:rPr>
            </w:pPr>
            <w:hyperlink w:anchor="page30">
              <w:r>
                <w:rPr>
                  <w:rFonts w:ascii="Arial" w:cs="Arial" w:eastAsia="Arial" w:hAnsi="Arial"/>
                  <w:sz w:val="18"/>
                  <w:szCs w:val="18"/>
                  <w:b w:val="1"/>
                  <w:bCs w:val="1"/>
                  <w:color w:val="auto"/>
                </w:rPr>
                <w:t>21</w:t>
              </w:r>
            </w:hyperlink>
          </w:p>
        </w:tc>
      </w:tr>
      <w:tr>
        <w:trPr>
          <w:trHeight w:val="257"/>
        </w:trPr>
        <w:tc>
          <w:tcPr>
            <w:tcW w:w="10620" w:type="dxa"/>
            <w:vAlign w:val="bottom"/>
          </w:tcPr>
          <w:p>
            <w:pPr>
              <w:ind w:left="40"/>
              <w:spacing w:after="0"/>
              <w:rPr>
                <w:rFonts w:ascii="Arial" w:cs="Arial" w:eastAsia="Arial" w:hAnsi="Arial"/>
                <w:sz w:val="18"/>
                <w:szCs w:val="18"/>
                <w:b w:val="1"/>
                <w:bCs w:val="1"/>
                <w:color w:val="auto"/>
              </w:rPr>
            </w:pPr>
            <w:hyperlink w:anchor="page31">
              <w:r>
                <w:rPr>
                  <w:rFonts w:ascii="Arial" w:cs="Arial" w:eastAsia="Arial" w:hAnsi="Arial"/>
                  <w:sz w:val="18"/>
                  <w:szCs w:val="18"/>
                  <w:b w:val="1"/>
                  <w:bCs w:val="1"/>
                  <w:color w:val="auto"/>
                </w:rPr>
                <w:t>PROPOSAL 2: ADVISORY VOTE ON EXECUTIVE COMPENSATION</w:t>
              </w:r>
            </w:hyperlink>
          </w:p>
        </w:tc>
        <w:tc>
          <w:tcPr>
            <w:tcW w:w="800" w:type="dxa"/>
            <w:vAlign w:val="bottom"/>
          </w:tcPr>
          <w:p>
            <w:pPr>
              <w:jc w:val="right"/>
              <w:spacing w:after="0"/>
              <w:rPr>
                <w:rFonts w:ascii="Arial" w:cs="Arial" w:eastAsia="Arial" w:hAnsi="Arial"/>
                <w:sz w:val="18"/>
                <w:szCs w:val="18"/>
                <w:b w:val="1"/>
                <w:bCs w:val="1"/>
                <w:color w:val="auto"/>
              </w:rPr>
            </w:pPr>
            <w:hyperlink w:anchor="page31">
              <w:r>
                <w:rPr>
                  <w:rFonts w:ascii="Arial" w:cs="Arial" w:eastAsia="Arial" w:hAnsi="Arial"/>
                  <w:sz w:val="18"/>
                  <w:szCs w:val="18"/>
                  <w:b w:val="1"/>
                  <w:bCs w:val="1"/>
                  <w:color w:val="auto"/>
                </w:rPr>
                <w:t>22</w:t>
              </w:r>
            </w:hyperlink>
          </w:p>
        </w:tc>
      </w:tr>
      <w:tr>
        <w:trPr>
          <w:trHeight w:val="257"/>
        </w:trPr>
        <w:tc>
          <w:tcPr>
            <w:tcW w:w="10620" w:type="dxa"/>
            <w:vAlign w:val="bottom"/>
          </w:tcPr>
          <w:p>
            <w:pPr>
              <w:ind w:left="40"/>
              <w:spacing w:after="0"/>
              <w:rPr>
                <w:rFonts w:ascii="Arial" w:cs="Arial" w:eastAsia="Arial" w:hAnsi="Arial"/>
                <w:sz w:val="18"/>
                <w:szCs w:val="18"/>
                <w:b w:val="1"/>
                <w:bCs w:val="1"/>
                <w:color w:val="auto"/>
              </w:rPr>
            </w:pPr>
            <w:hyperlink w:anchor="page31">
              <w:r>
                <w:rPr>
                  <w:rFonts w:ascii="Arial" w:cs="Arial" w:eastAsia="Arial" w:hAnsi="Arial"/>
                  <w:sz w:val="18"/>
                  <w:szCs w:val="18"/>
                  <w:b w:val="1"/>
                  <w:bCs w:val="1"/>
                  <w:color w:val="auto"/>
                </w:rPr>
                <w:t>COMPENSATION DISCUSSION AND ANALYSIS</w:t>
              </w:r>
            </w:hyperlink>
          </w:p>
        </w:tc>
        <w:tc>
          <w:tcPr>
            <w:tcW w:w="800" w:type="dxa"/>
            <w:vAlign w:val="bottom"/>
          </w:tcPr>
          <w:p>
            <w:pPr>
              <w:jc w:val="right"/>
              <w:spacing w:after="0"/>
              <w:rPr>
                <w:rFonts w:ascii="Arial" w:cs="Arial" w:eastAsia="Arial" w:hAnsi="Arial"/>
                <w:sz w:val="18"/>
                <w:szCs w:val="18"/>
                <w:b w:val="1"/>
                <w:bCs w:val="1"/>
                <w:color w:val="auto"/>
              </w:rPr>
            </w:pPr>
            <w:hyperlink w:anchor="page31">
              <w:r>
                <w:rPr>
                  <w:rFonts w:ascii="Arial" w:cs="Arial" w:eastAsia="Arial" w:hAnsi="Arial"/>
                  <w:sz w:val="18"/>
                  <w:szCs w:val="18"/>
                  <w:b w:val="1"/>
                  <w:bCs w:val="1"/>
                  <w:color w:val="auto"/>
                </w:rPr>
                <w:t>22</w:t>
              </w:r>
            </w:hyperlink>
          </w:p>
        </w:tc>
      </w:tr>
      <w:tr>
        <w:trPr>
          <w:trHeight w:val="257"/>
        </w:trPr>
        <w:tc>
          <w:tcPr>
            <w:tcW w:w="10620" w:type="dxa"/>
            <w:vAlign w:val="bottom"/>
          </w:tcPr>
          <w:p>
            <w:pPr>
              <w:ind w:left="180"/>
              <w:spacing w:after="0"/>
              <w:rPr>
                <w:rFonts w:ascii="Arial" w:cs="Arial" w:eastAsia="Arial" w:hAnsi="Arial"/>
                <w:sz w:val="18"/>
                <w:szCs w:val="18"/>
                <w:color w:val="auto"/>
              </w:rPr>
            </w:pPr>
            <w:hyperlink w:anchor="page32">
              <w:r>
                <w:rPr>
                  <w:rFonts w:ascii="Arial" w:cs="Arial" w:eastAsia="Arial" w:hAnsi="Arial"/>
                  <w:sz w:val="18"/>
                  <w:szCs w:val="18"/>
                  <w:color w:val="auto"/>
                </w:rPr>
                <w:t>Section 1: Executive Summary</w:t>
              </w:r>
            </w:hyperlink>
          </w:p>
        </w:tc>
        <w:tc>
          <w:tcPr>
            <w:tcW w:w="80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23</w:t>
              </w:r>
            </w:hyperlink>
          </w:p>
        </w:tc>
      </w:tr>
      <w:tr>
        <w:trPr>
          <w:trHeight w:val="257"/>
        </w:trPr>
        <w:tc>
          <w:tcPr>
            <w:tcW w:w="10620" w:type="dxa"/>
            <w:vAlign w:val="bottom"/>
          </w:tcPr>
          <w:p>
            <w:pPr>
              <w:ind w:left="180"/>
              <w:spacing w:after="0"/>
              <w:rPr>
                <w:rFonts w:ascii="Arial" w:cs="Arial" w:eastAsia="Arial" w:hAnsi="Arial"/>
                <w:sz w:val="18"/>
                <w:szCs w:val="18"/>
                <w:color w:val="auto"/>
              </w:rPr>
            </w:pPr>
            <w:hyperlink w:anchor="page36">
              <w:r>
                <w:rPr>
                  <w:rFonts w:ascii="Arial" w:cs="Arial" w:eastAsia="Arial" w:hAnsi="Arial"/>
                  <w:sz w:val="18"/>
                  <w:szCs w:val="18"/>
                  <w:color w:val="auto"/>
                </w:rPr>
                <w:t>Section 2: Compensation Structure</w:t>
              </w:r>
            </w:hyperlink>
          </w:p>
        </w:tc>
        <w:tc>
          <w:tcPr>
            <w:tcW w:w="80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27</w:t>
              </w:r>
            </w:hyperlink>
          </w:p>
        </w:tc>
      </w:tr>
      <w:tr>
        <w:trPr>
          <w:trHeight w:val="257"/>
        </w:trPr>
        <w:tc>
          <w:tcPr>
            <w:tcW w:w="10620" w:type="dxa"/>
            <w:vAlign w:val="bottom"/>
          </w:tcPr>
          <w:p>
            <w:pPr>
              <w:ind w:left="180"/>
              <w:spacing w:after="0"/>
              <w:rPr>
                <w:rFonts w:ascii="Arial" w:cs="Arial" w:eastAsia="Arial" w:hAnsi="Arial"/>
                <w:sz w:val="18"/>
                <w:szCs w:val="18"/>
                <w:color w:val="auto"/>
              </w:rPr>
            </w:pPr>
            <w:hyperlink w:anchor="page40">
              <w:r>
                <w:rPr>
                  <w:rFonts w:ascii="Arial" w:cs="Arial" w:eastAsia="Arial" w:hAnsi="Arial"/>
                  <w:sz w:val="18"/>
                  <w:szCs w:val="18"/>
                  <w:color w:val="auto"/>
                </w:rPr>
                <w:t>Section 3: Compensation Analysis and Outcomes</w:t>
              </w:r>
            </w:hyperlink>
          </w:p>
        </w:tc>
        <w:tc>
          <w:tcPr>
            <w:tcW w:w="80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31</w:t>
              </w:r>
            </w:hyperlink>
          </w:p>
        </w:tc>
      </w:tr>
      <w:tr>
        <w:trPr>
          <w:trHeight w:val="257"/>
        </w:trPr>
        <w:tc>
          <w:tcPr>
            <w:tcW w:w="10620" w:type="dxa"/>
            <w:vAlign w:val="bottom"/>
          </w:tcPr>
          <w:p>
            <w:pPr>
              <w:ind w:left="180"/>
              <w:spacing w:after="0"/>
              <w:rPr>
                <w:rFonts w:ascii="Arial" w:cs="Arial" w:eastAsia="Arial" w:hAnsi="Arial"/>
                <w:sz w:val="18"/>
                <w:szCs w:val="18"/>
                <w:color w:val="auto"/>
              </w:rPr>
            </w:pPr>
            <w:hyperlink w:anchor="page45">
              <w:r>
                <w:rPr>
                  <w:rFonts w:ascii="Arial" w:cs="Arial" w:eastAsia="Arial" w:hAnsi="Arial"/>
                  <w:sz w:val="18"/>
                  <w:szCs w:val="18"/>
                  <w:color w:val="auto"/>
                </w:rPr>
                <w:t>Section 4: Other Benefits and Practices</w:t>
              </w:r>
            </w:hyperlink>
          </w:p>
        </w:tc>
        <w:tc>
          <w:tcPr>
            <w:tcW w:w="80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36</w:t>
              </w:r>
            </w:hyperlink>
          </w:p>
        </w:tc>
      </w:tr>
      <w:tr>
        <w:trPr>
          <w:trHeight w:val="257"/>
        </w:trPr>
        <w:tc>
          <w:tcPr>
            <w:tcW w:w="10620" w:type="dxa"/>
            <w:vAlign w:val="bottom"/>
          </w:tcPr>
          <w:p>
            <w:pPr>
              <w:ind w:left="40"/>
              <w:spacing w:after="0"/>
              <w:rPr>
                <w:rFonts w:ascii="Arial" w:cs="Arial" w:eastAsia="Arial" w:hAnsi="Arial"/>
                <w:sz w:val="18"/>
                <w:szCs w:val="18"/>
                <w:b w:val="1"/>
                <w:bCs w:val="1"/>
                <w:color w:val="auto"/>
              </w:rPr>
            </w:pPr>
            <w:hyperlink w:anchor="page48">
              <w:r>
                <w:rPr>
                  <w:rFonts w:ascii="Arial" w:cs="Arial" w:eastAsia="Arial" w:hAnsi="Arial"/>
                  <w:sz w:val="18"/>
                  <w:szCs w:val="18"/>
                  <w:b w:val="1"/>
                  <w:bCs w:val="1"/>
                  <w:color w:val="auto"/>
                </w:rPr>
                <w:t>COMPENSATION COMMITTEE REPORT</w:t>
              </w:r>
            </w:hyperlink>
          </w:p>
        </w:tc>
        <w:tc>
          <w:tcPr>
            <w:tcW w:w="800" w:type="dxa"/>
            <w:vAlign w:val="bottom"/>
          </w:tcPr>
          <w:p>
            <w:pPr>
              <w:jc w:val="right"/>
              <w:spacing w:after="0"/>
              <w:rPr>
                <w:rFonts w:ascii="Arial" w:cs="Arial" w:eastAsia="Arial" w:hAnsi="Arial"/>
                <w:sz w:val="18"/>
                <w:szCs w:val="18"/>
                <w:b w:val="1"/>
                <w:bCs w:val="1"/>
                <w:color w:val="auto"/>
              </w:rPr>
            </w:pPr>
            <w:hyperlink w:anchor="page48">
              <w:r>
                <w:rPr>
                  <w:rFonts w:ascii="Arial" w:cs="Arial" w:eastAsia="Arial" w:hAnsi="Arial"/>
                  <w:sz w:val="18"/>
                  <w:szCs w:val="18"/>
                  <w:b w:val="1"/>
                  <w:bCs w:val="1"/>
                  <w:color w:val="auto"/>
                </w:rPr>
                <w:t>39</w:t>
              </w:r>
            </w:hyperlink>
          </w:p>
        </w:tc>
      </w:tr>
      <w:tr>
        <w:trPr>
          <w:trHeight w:val="257"/>
        </w:trPr>
        <w:tc>
          <w:tcPr>
            <w:tcW w:w="10620" w:type="dxa"/>
            <w:vAlign w:val="bottom"/>
          </w:tcPr>
          <w:p>
            <w:pPr>
              <w:ind w:left="40"/>
              <w:spacing w:after="0"/>
              <w:rPr>
                <w:rFonts w:ascii="Arial" w:cs="Arial" w:eastAsia="Arial" w:hAnsi="Arial"/>
                <w:sz w:val="18"/>
                <w:szCs w:val="18"/>
                <w:b w:val="1"/>
                <w:bCs w:val="1"/>
                <w:color w:val="auto"/>
              </w:rPr>
            </w:pPr>
            <w:hyperlink w:anchor="page49">
              <w:r>
                <w:rPr>
                  <w:rFonts w:ascii="Arial" w:cs="Arial" w:eastAsia="Arial" w:hAnsi="Arial"/>
                  <w:sz w:val="18"/>
                  <w:szCs w:val="18"/>
                  <w:b w:val="1"/>
                  <w:bCs w:val="1"/>
                  <w:color w:val="auto"/>
                </w:rPr>
                <w:t>COMPENSATION OF EXECUTIVE OFFICERS</w:t>
              </w:r>
            </w:hyperlink>
          </w:p>
        </w:tc>
        <w:tc>
          <w:tcPr>
            <w:tcW w:w="800" w:type="dxa"/>
            <w:vAlign w:val="bottom"/>
          </w:tcPr>
          <w:p>
            <w:pPr>
              <w:jc w:val="right"/>
              <w:spacing w:after="0"/>
              <w:rPr>
                <w:rFonts w:ascii="Arial" w:cs="Arial" w:eastAsia="Arial" w:hAnsi="Arial"/>
                <w:sz w:val="18"/>
                <w:szCs w:val="18"/>
                <w:b w:val="1"/>
                <w:bCs w:val="1"/>
                <w:color w:val="auto"/>
              </w:rPr>
            </w:pPr>
            <w:hyperlink w:anchor="page49">
              <w:r>
                <w:rPr>
                  <w:rFonts w:ascii="Arial" w:cs="Arial" w:eastAsia="Arial" w:hAnsi="Arial"/>
                  <w:sz w:val="18"/>
                  <w:szCs w:val="18"/>
                  <w:b w:val="1"/>
                  <w:bCs w:val="1"/>
                  <w:color w:val="auto"/>
                </w:rPr>
                <w:t>40</w:t>
              </w:r>
            </w:hyperlink>
          </w:p>
        </w:tc>
      </w:tr>
      <w:tr>
        <w:trPr>
          <w:trHeight w:val="257"/>
        </w:trPr>
        <w:tc>
          <w:tcPr>
            <w:tcW w:w="10620" w:type="dxa"/>
            <w:vAlign w:val="bottom"/>
          </w:tcPr>
          <w:p>
            <w:pPr>
              <w:ind w:left="180"/>
              <w:spacing w:after="0"/>
              <w:rPr>
                <w:rFonts w:ascii="Arial" w:cs="Arial" w:eastAsia="Arial" w:hAnsi="Arial"/>
                <w:sz w:val="18"/>
                <w:szCs w:val="18"/>
                <w:color w:val="auto"/>
              </w:rPr>
            </w:pPr>
            <w:hyperlink w:anchor="page49">
              <w:r>
                <w:rPr>
                  <w:rFonts w:ascii="Arial" w:cs="Arial" w:eastAsia="Arial" w:hAnsi="Arial"/>
                  <w:sz w:val="18"/>
                  <w:szCs w:val="18"/>
                  <w:color w:val="auto"/>
                </w:rPr>
                <w:t>Summary Compensation Table</w:t>
              </w:r>
            </w:hyperlink>
          </w:p>
        </w:tc>
        <w:tc>
          <w:tcPr>
            <w:tcW w:w="80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40</w:t>
              </w:r>
            </w:hyperlink>
          </w:p>
        </w:tc>
      </w:tr>
      <w:tr>
        <w:trPr>
          <w:trHeight w:val="257"/>
        </w:trPr>
        <w:tc>
          <w:tcPr>
            <w:tcW w:w="10620" w:type="dxa"/>
            <w:vAlign w:val="bottom"/>
          </w:tcPr>
          <w:p>
            <w:pPr>
              <w:ind w:left="180"/>
              <w:spacing w:after="0"/>
              <w:rPr>
                <w:rFonts w:ascii="Arial" w:cs="Arial" w:eastAsia="Arial" w:hAnsi="Arial"/>
                <w:sz w:val="18"/>
                <w:szCs w:val="18"/>
                <w:color w:val="auto"/>
              </w:rPr>
            </w:pPr>
            <w:hyperlink w:anchor="page52">
              <w:r>
                <w:rPr>
                  <w:rFonts w:ascii="Arial" w:cs="Arial" w:eastAsia="Arial" w:hAnsi="Arial"/>
                  <w:sz w:val="18"/>
                  <w:szCs w:val="18"/>
                  <w:color w:val="auto"/>
                </w:rPr>
                <w:t>Grants of Plan-Based Awards</w:t>
              </w:r>
            </w:hyperlink>
          </w:p>
        </w:tc>
        <w:tc>
          <w:tcPr>
            <w:tcW w:w="80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43</w:t>
              </w:r>
            </w:hyperlink>
          </w:p>
        </w:tc>
      </w:tr>
      <w:tr>
        <w:trPr>
          <w:trHeight w:val="257"/>
        </w:trPr>
        <w:tc>
          <w:tcPr>
            <w:tcW w:w="10620" w:type="dxa"/>
            <w:vAlign w:val="bottom"/>
          </w:tcPr>
          <w:p>
            <w:pPr>
              <w:ind w:left="180"/>
              <w:spacing w:after="0"/>
              <w:rPr>
                <w:rFonts w:ascii="Arial" w:cs="Arial" w:eastAsia="Arial" w:hAnsi="Arial"/>
                <w:sz w:val="18"/>
                <w:szCs w:val="18"/>
                <w:color w:val="auto"/>
              </w:rPr>
            </w:pPr>
            <w:hyperlink w:anchor="page54">
              <w:r>
                <w:rPr>
                  <w:rFonts w:ascii="Arial" w:cs="Arial" w:eastAsia="Arial" w:hAnsi="Arial"/>
                  <w:sz w:val="18"/>
                  <w:szCs w:val="18"/>
                  <w:color w:val="auto"/>
                </w:rPr>
                <w:t>Outstanding Equity Awards at Fiscal Year-End</w:t>
              </w:r>
            </w:hyperlink>
          </w:p>
        </w:tc>
        <w:tc>
          <w:tcPr>
            <w:tcW w:w="800" w:type="dxa"/>
            <w:vAlign w:val="bottom"/>
          </w:tcPr>
          <w:p>
            <w:pPr>
              <w:jc w:val="right"/>
              <w:spacing w:after="0"/>
              <w:rPr>
                <w:rFonts w:ascii="Arial" w:cs="Arial" w:eastAsia="Arial" w:hAnsi="Arial"/>
                <w:sz w:val="18"/>
                <w:szCs w:val="18"/>
                <w:color w:val="auto"/>
              </w:rPr>
            </w:pPr>
            <w:hyperlink w:anchor="page54">
              <w:r>
                <w:rPr>
                  <w:rFonts w:ascii="Arial" w:cs="Arial" w:eastAsia="Arial" w:hAnsi="Arial"/>
                  <w:sz w:val="18"/>
                  <w:szCs w:val="18"/>
                  <w:color w:val="auto"/>
                </w:rPr>
                <w:t>45</w:t>
              </w:r>
            </w:hyperlink>
          </w:p>
        </w:tc>
      </w:tr>
      <w:tr>
        <w:trPr>
          <w:trHeight w:val="257"/>
        </w:trPr>
        <w:tc>
          <w:tcPr>
            <w:tcW w:w="10620" w:type="dxa"/>
            <w:vAlign w:val="bottom"/>
          </w:tcPr>
          <w:p>
            <w:pPr>
              <w:ind w:left="180"/>
              <w:spacing w:after="0"/>
              <w:rPr>
                <w:rFonts w:ascii="Arial" w:cs="Arial" w:eastAsia="Arial" w:hAnsi="Arial"/>
                <w:sz w:val="18"/>
                <w:szCs w:val="18"/>
                <w:color w:val="auto"/>
              </w:rPr>
            </w:pPr>
            <w:hyperlink w:anchor="page56">
              <w:r>
                <w:rPr>
                  <w:rFonts w:ascii="Arial" w:cs="Arial" w:eastAsia="Arial" w:hAnsi="Arial"/>
                  <w:sz w:val="18"/>
                  <w:szCs w:val="18"/>
                  <w:color w:val="auto"/>
                </w:rPr>
                <w:t>Option Exercises and Stock Vested</w:t>
              </w:r>
            </w:hyperlink>
          </w:p>
        </w:tc>
        <w:tc>
          <w:tcPr>
            <w:tcW w:w="800" w:type="dxa"/>
            <w:vAlign w:val="bottom"/>
          </w:tcPr>
          <w:p>
            <w:pPr>
              <w:jc w:val="right"/>
              <w:spacing w:after="0"/>
              <w:rPr>
                <w:rFonts w:ascii="Arial" w:cs="Arial" w:eastAsia="Arial" w:hAnsi="Arial"/>
                <w:sz w:val="18"/>
                <w:szCs w:val="18"/>
                <w:color w:val="auto"/>
              </w:rPr>
            </w:pPr>
            <w:hyperlink w:anchor="page56">
              <w:r>
                <w:rPr>
                  <w:rFonts w:ascii="Arial" w:cs="Arial" w:eastAsia="Arial" w:hAnsi="Arial"/>
                  <w:sz w:val="18"/>
                  <w:szCs w:val="18"/>
                  <w:color w:val="auto"/>
                </w:rPr>
                <w:t>47</w:t>
              </w:r>
            </w:hyperlink>
          </w:p>
        </w:tc>
      </w:tr>
      <w:tr>
        <w:trPr>
          <w:trHeight w:val="257"/>
        </w:trPr>
        <w:tc>
          <w:tcPr>
            <w:tcW w:w="10620" w:type="dxa"/>
            <w:vAlign w:val="bottom"/>
          </w:tcPr>
          <w:p>
            <w:pPr>
              <w:ind w:left="180"/>
              <w:spacing w:after="0"/>
              <w:rPr>
                <w:rFonts w:ascii="Arial" w:cs="Arial" w:eastAsia="Arial" w:hAnsi="Arial"/>
                <w:sz w:val="18"/>
                <w:szCs w:val="18"/>
                <w:color w:val="auto"/>
              </w:rPr>
            </w:pPr>
            <w:hyperlink w:anchor="page57">
              <w:r>
                <w:rPr>
                  <w:rFonts w:ascii="Arial" w:cs="Arial" w:eastAsia="Arial" w:hAnsi="Arial"/>
                  <w:sz w:val="18"/>
                  <w:szCs w:val="18"/>
                  <w:color w:val="auto"/>
                </w:rPr>
                <w:t>Pension Benefits</w:t>
              </w:r>
            </w:hyperlink>
          </w:p>
        </w:tc>
        <w:tc>
          <w:tcPr>
            <w:tcW w:w="800" w:type="dxa"/>
            <w:vAlign w:val="bottom"/>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48</w:t>
              </w:r>
            </w:hyperlink>
          </w:p>
        </w:tc>
      </w:tr>
      <w:tr>
        <w:trPr>
          <w:trHeight w:val="257"/>
        </w:trPr>
        <w:tc>
          <w:tcPr>
            <w:tcW w:w="10620" w:type="dxa"/>
            <w:vAlign w:val="bottom"/>
          </w:tcPr>
          <w:p>
            <w:pPr>
              <w:ind w:left="180"/>
              <w:spacing w:after="0"/>
              <w:rPr>
                <w:rFonts w:ascii="Arial" w:cs="Arial" w:eastAsia="Arial" w:hAnsi="Arial"/>
                <w:sz w:val="18"/>
                <w:szCs w:val="18"/>
                <w:color w:val="auto"/>
              </w:rPr>
            </w:pPr>
            <w:hyperlink w:anchor="page58">
              <w:r>
                <w:rPr>
                  <w:rFonts w:ascii="Arial" w:cs="Arial" w:eastAsia="Arial" w:hAnsi="Arial"/>
                  <w:sz w:val="18"/>
                  <w:szCs w:val="18"/>
                  <w:color w:val="auto"/>
                </w:rPr>
                <w:t>Nonqualified Deferred Compensation</w:t>
              </w:r>
            </w:hyperlink>
          </w:p>
        </w:tc>
        <w:tc>
          <w:tcPr>
            <w:tcW w:w="800" w:type="dxa"/>
            <w:vAlign w:val="bottom"/>
          </w:tcPr>
          <w:p>
            <w:pPr>
              <w:jc w:val="right"/>
              <w:spacing w:after="0"/>
              <w:rPr>
                <w:rFonts w:ascii="Arial" w:cs="Arial" w:eastAsia="Arial" w:hAnsi="Arial"/>
                <w:sz w:val="18"/>
                <w:szCs w:val="18"/>
                <w:color w:val="auto"/>
              </w:rPr>
            </w:pPr>
            <w:hyperlink w:anchor="page58">
              <w:r>
                <w:rPr>
                  <w:rFonts w:ascii="Arial" w:cs="Arial" w:eastAsia="Arial" w:hAnsi="Arial"/>
                  <w:sz w:val="18"/>
                  <w:szCs w:val="18"/>
                  <w:color w:val="auto"/>
                </w:rPr>
                <w:t>49</w:t>
              </w:r>
            </w:hyperlink>
          </w:p>
        </w:tc>
      </w:tr>
      <w:tr>
        <w:trPr>
          <w:trHeight w:val="257"/>
        </w:trPr>
        <w:tc>
          <w:tcPr>
            <w:tcW w:w="10620" w:type="dxa"/>
            <w:vAlign w:val="bottom"/>
          </w:tcPr>
          <w:p>
            <w:pPr>
              <w:ind w:left="180"/>
              <w:spacing w:after="0"/>
              <w:rPr>
                <w:rFonts w:ascii="Arial" w:cs="Arial" w:eastAsia="Arial" w:hAnsi="Arial"/>
                <w:sz w:val="18"/>
                <w:szCs w:val="18"/>
                <w:color w:val="auto"/>
              </w:rPr>
            </w:pPr>
            <w:hyperlink w:anchor="page61">
              <w:r>
                <w:rPr>
                  <w:rFonts w:ascii="Arial" w:cs="Arial" w:eastAsia="Arial" w:hAnsi="Arial"/>
                  <w:sz w:val="18"/>
                  <w:szCs w:val="18"/>
                  <w:color w:val="auto"/>
                </w:rPr>
                <w:t>Potential Payments Upon Termination or Change in Control</w:t>
              </w:r>
            </w:hyperlink>
          </w:p>
        </w:tc>
        <w:tc>
          <w:tcPr>
            <w:tcW w:w="800" w:type="dxa"/>
            <w:vAlign w:val="bottom"/>
          </w:tcPr>
          <w:p>
            <w:pPr>
              <w:jc w:val="right"/>
              <w:spacing w:after="0"/>
              <w:rPr>
                <w:rFonts w:ascii="Arial" w:cs="Arial" w:eastAsia="Arial" w:hAnsi="Arial"/>
                <w:sz w:val="18"/>
                <w:szCs w:val="18"/>
                <w:color w:val="auto"/>
              </w:rPr>
            </w:pPr>
            <w:hyperlink w:anchor="page61">
              <w:r>
                <w:rPr>
                  <w:rFonts w:ascii="Arial" w:cs="Arial" w:eastAsia="Arial" w:hAnsi="Arial"/>
                  <w:sz w:val="18"/>
                  <w:szCs w:val="18"/>
                  <w:color w:val="auto"/>
                </w:rPr>
                <w:t>52</w:t>
              </w:r>
            </w:hyperlink>
          </w:p>
        </w:tc>
      </w:tr>
      <w:tr>
        <w:trPr>
          <w:trHeight w:val="257"/>
        </w:trPr>
        <w:tc>
          <w:tcPr>
            <w:tcW w:w="10620" w:type="dxa"/>
            <w:vAlign w:val="bottom"/>
          </w:tcPr>
          <w:p>
            <w:pPr>
              <w:ind w:left="180"/>
              <w:spacing w:after="0"/>
              <w:rPr>
                <w:rFonts w:ascii="Arial" w:cs="Arial" w:eastAsia="Arial" w:hAnsi="Arial"/>
                <w:sz w:val="18"/>
                <w:szCs w:val="18"/>
                <w:color w:val="auto"/>
              </w:rPr>
            </w:pPr>
            <w:hyperlink w:anchor="page68">
              <w:r>
                <w:rPr>
                  <w:rFonts w:ascii="Arial" w:cs="Arial" w:eastAsia="Arial" w:hAnsi="Arial"/>
                  <w:sz w:val="18"/>
                  <w:szCs w:val="18"/>
                  <w:color w:val="auto"/>
                </w:rPr>
                <w:t>CEO Pay Ratio</w:t>
              </w:r>
            </w:hyperlink>
          </w:p>
        </w:tc>
        <w:tc>
          <w:tcPr>
            <w:tcW w:w="800" w:type="dxa"/>
            <w:vAlign w:val="bottom"/>
          </w:tcPr>
          <w:p>
            <w:pPr>
              <w:jc w:val="right"/>
              <w:spacing w:after="0"/>
              <w:rPr>
                <w:rFonts w:ascii="Arial" w:cs="Arial" w:eastAsia="Arial" w:hAnsi="Arial"/>
                <w:sz w:val="18"/>
                <w:szCs w:val="18"/>
                <w:color w:val="auto"/>
              </w:rPr>
            </w:pPr>
            <w:hyperlink w:anchor="page68">
              <w:r>
                <w:rPr>
                  <w:rFonts w:ascii="Arial" w:cs="Arial" w:eastAsia="Arial" w:hAnsi="Arial"/>
                  <w:sz w:val="18"/>
                  <w:szCs w:val="18"/>
                  <w:color w:val="auto"/>
                </w:rPr>
                <w:t>59</w:t>
              </w:r>
            </w:hyperlink>
          </w:p>
        </w:tc>
      </w:tr>
      <w:tr>
        <w:trPr>
          <w:trHeight w:val="257"/>
        </w:trPr>
        <w:tc>
          <w:tcPr>
            <w:tcW w:w="10620" w:type="dxa"/>
            <w:vAlign w:val="bottom"/>
          </w:tcPr>
          <w:p>
            <w:pPr>
              <w:ind w:left="40"/>
              <w:spacing w:after="0"/>
              <w:rPr>
                <w:rFonts w:ascii="Arial" w:cs="Arial" w:eastAsia="Arial" w:hAnsi="Arial"/>
                <w:sz w:val="18"/>
                <w:szCs w:val="18"/>
                <w:b w:val="1"/>
                <w:bCs w:val="1"/>
                <w:color w:val="auto"/>
              </w:rPr>
            </w:pPr>
            <w:hyperlink w:anchor="page68">
              <w:r>
                <w:rPr>
                  <w:rFonts w:ascii="Arial" w:cs="Arial" w:eastAsia="Arial" w:hAnsi="Arial"/>
                  <w:sz w:val="18"/>
                  <w:szCs w:val="18"/>
                  <w:b w:val="1"/>
                  <w:bCs w:val="1"/>
                  <w:color w:val="auto"/>
                </w:rPr>
                <w:t>EQUITY COMPENSATION PLAN INFORMATION</w:t>
              </w:r>
            </w:hyperlink>
          </w:p>
        </w:tc>
        <w:tc>
          <w:tcPr>
            <w:tcW w:w="800" w:type="dxa"/>
            <w:vAlign w:val="bottom"/>
          </w:tcPr>
          <w:p>
            <w:pPr>
              <w:jc w:val="right"/>
              <w:spacing w:after="0"/>
              <w:rPr>
                <w:rFonts w:ascii="Arial" w:cs="Arial" w:eastAsia="Arial" w:hAnsi="Arial"/>
                <w:sz w:val="18"/>
                <w:szCs w:val="18"/>
                <w:b w:val="1"/>
                <w:bCs w:val="1"/>
                <w:color w:val="auto"/>
              </w:rPr>
            </w:pPr>
            <w:hyperlink w:anchor="page68">
              <w:r>
                <w:rPr>
                  <w:rFonts w:ascii="Arial" w:cs="Arial" w:eastAsia="Arial" w:hAnsi="Arial"/>
                  <w:sz w:val="18"/>
                  <w:szCs w:val="18"/>
                  <w:b w:val="1"/>
                  <w:bCs w:val="1"/>
                  <w:color w:val="auto"/>
                </w:rPr>
                <w:t>59</w:t>
              </w:r>
            </w:hyperlink>
          </w:p>
        </w:tc>
      </w:tr>
      <w:tr>
        <w:trPr>
          <w:trHeight w:val="257"/>
        </w:trPr>
        <w:tc>
          <w:tcPr>
            <w:tcW w:w="10620" w:type="dxa"/>
            <w:vAlign w:val="bottom"/>
          </w:tcPr>
          <w:p>
            <w:pPr>
              <w:ind w:left="40"/>
              <w:spacing w:after="0"/>
              <w:rPr>
                <w:rFonts w:ascii="Arial" w:cs="Arial" w:eastAsia="Arial" w:hAnsi="Arial"/>
                <w:sz w:val="18"/>
                <w:szCs w:val="18"/>
                <w:b w:val="1"/>
                <w:bCs w:val="1"/>
                <w:color w:val="auto"/>
              </w:rPr>
            </w:pPr>
            <w:hyperlink w:anchor="page69">
              <w:r>
                <w:rPr>
                  <w:rFonts w:ascii="Arial" w:cs="Arial" w:eastAsia="Arial" w:hAnsi="Arial"/>
                  <w:sz w:val="18"/>
                  <w:szCs w:val="18"/>
                  <w:b w:val="1"/>
                  <w:bCs w:val="1"/>
                  <w:color w:val="auto"/>
                </w:rPr>
                <w:t>SECURITY OWNERSHIP OF DIRECTORS AND EXECUTIVE OFFICERS</w:t>
              </w:r>
            </w:hyperlink>
          </w:p>
        </w:tc>
        <w:tc>
          <w:tcPr>
            <w:tcW w:w="800" w:type="dxa"/>
            <w:vAlign w:val="bottom"/>
          </w:tcPr>
          <w:p>
            <w:pPr>
              <w:jc w:val="right"/>
              <w:spacing w:after="0"/>
              <w:rPr>
                <w:rFonts w:ascii="Arial" w:cs="Arial" w:eastAsia="Arial" w:hAnsi="Arial"/>
                <w:sz w:val="18"/>
                <w:szCs w:val="18"/>
                <w:b w:val="1"/>
                <w:bCs w:val="1"/>
                <w:color w:val="auto"/>
              </w:rPr>
            </w:pPr>
            <w:hyperlink w:anchor="page69">
              <w:r>
                <w:rPr>
                  <w:rFonts w:ascii="Arial" w:cs="Arial" w:eastAsia="Arial" w:hAnsi="Arial"/>
                  <w:sz w:val="18"/>
                  <w:szCs w:val="18"/>
                  <w:b w:val="1"/>
                  <w:bCs w:val="1"/>
                  <w:color w:val="auto"/>
                </w:rPr>
                <w:t>60</w:t>
              </w:r>
            </w:hyperlink>
          </w:p>
        </w:tc>
      </w:tr>
      <w:tr>
        <w:trPr>
          <w:trHeight w:val="257"/>
        </w:trPr>
        <w:tc>
          <w:tcPr>
            <w:tcW w:w="10620" w:type="dxa"/>
            <w:vAlign w:val="bottom"/>
          </w:tcPr>
          <w:p>
            <w:pPr>
              <w:ind w:left="40"/>
              <w:spacing w:after="0"/>
              <w:rPr>
                <w:rFonts w:ascii="Arial" w:cs="Arial" w:eastAsia="Arial" w:hAnsi="Arial"/>
                <w:sz w:val="18"/>
                <w:szCs w:val="18"/>
                <w:b w:val="1"/>
                <w:bCs w:val="1"/>
                <w:color w:val="auto"/>
              </w:rPr>
            </w:pPr>
            <w:hyperlink w:anchor="page70">
              <w:r>
                <w:rPr>
                  <w:rFonts w:ascii="Arial" w:cs="Arial" w:eastAsia="Arial" w:hAnsi="Arial"/>
                  <w:sz w:val="18"/>
                  <w:szCs w:val="18"/>
                  <w:b w:val="1"/>
                  <w:bCs w:val="1"/>
                  <w:color w:val="auto"/>
                </w:rPr>
                <w:t>SECURITY OWNERSHIP OF CERTAIN BENEFICIAL OWNERS</w:t>
              </w:r>
            </w:hyperlink>
          </w:p>
        </w:tc>
        <w:tc>
          <w:tcPr>
            <w:tcW w:w="800" w:type="dxa"/>
            <w:vAlign w:val="bottom"/>
          </w:tcPr>
          <w:p>
            <w:pPr>
              <w:jc w:val="right"/>
              <w:spacing w:after="0"/>
              <w:rPr>
                <w:rFonts w:ascii="Arial" w:cs="Arial" w:eastAsia="Arial" w:hAnsi="Arial"/>
                <w:sz w:val="18"/>
                <w:szCs w:val="18"/>
                <w:b w:val="1"/>
                <w:bCs w:val="1"/>
                <w:color w:val="auto"/>
              </w:rPr>
            </w:pPr>
            <w:hyperlink w:anchor="page70">
              <w:r>
                <w:rPr>
                  <w:rFonts w:ascii="Arial" w:cs="Arial" w:eastAsia="Arial" w:hAnsi="Arial"/>
                  <w:sz w:val="18"/>
                  <w:szCs w:val="18"/>
                  <w:b w:val="1"/>
                  <w:bCs w:val="1"/>
                  <w:color w:val="auto"/>
                </w:rPr>
                <w:t>61</w:t>
              </w:r>
            </w:hyperlink>
          </w:p>
        </w:tc>
      </w:tr>
      <w:tr>
        <w:trPr>
          <w:trHeight w:val="257"/>
        </w:trPr>
        <w:tc>
          <w:tcPr>
            <w:tcW w:w="10620" w:type="dxa"/>
            <w:vAlign w:val="bottom"/>
          </w:tcPr>
          <w:p>
            <w:pPr>
              <w:ind w:left="40"/>
              <w:spacing w:after="0"/>
              <w:rPr>
                <w:rFonts w:ascii="Arial" w:cs="Arial" w:eastAsia="Arial" w:hAnsi="Arial"/>
                <w:sz w:val="18"/>
                <w:szCs w:val="18"/>
                <w:b w:val="1"/>
                <w:bCs w:val="1"/>
                <w:color w:val="auto"/>
              </w:rPr>
            </w:pPr>
            <w:hyperlink w:anchor="page71">
              <w:r>
                <w:rPr>
                  <w:rFonts w:ascii="Arial" w:cs="Arial" w:eastAsia="Arial" w:hAnsi="Arial"/>
                  <w:sz w:val="18"/>
                  <w:szCs w:val="18"/>
                  <w:b w:val="1"/>
                  <w:bCs w:val="1"/>
                  <w:color w:val="auto"/>
                </w:rPr>
                <w:t>AUDIT AND FINANCE COMMITTEE REPORT</w:t>
              </w:r>
            </w:hyperlink>
          </w:p>
        </w:tc>
        <w:tc>
          <w:tcPr>
            <w:tcW w:w="800" w:type="dxa"/>
            <w:vAlign w:val="bottom"/>
          </w:tcPr>
          <w:p>
            <w:pPr>
              <w:jc w:val="right"/>
              <w:spacing w:after="0"/>
              <w:rPr>
                <w:rFonts w:ascii="Arial" w:cs="Arial" w:eastAsia="Arial" w:hAnsi="Arial"/>
                <w:sz w:val="18"/>
                <w:szCs w:val="18"/>
                <w:b w:val="1"/>
                <w:bCs w:val="1"/>
                <w:color w:val="auto"/>
              </w:rPr>
            </w:pPr>
            <w:hyperlink w:anchor="page71">
              <w:r>
                <w:rPr>
                  <w:rFonts w:ascii="Arial" w:cs="Arial" w:eastAsia="Arial" w:hAnsi="Arial"/>
                  <w:sz w:val="18"/>
                  <w:szCs w:val="18"/>
                  <w:b w:val="1"/>
                  <w:bCs w:val="1"/>
                  <w:color w:val="auto"/>
                </w:rPr>
                <w:t>62</w:t>
              </w:r>
            </w:hyperlink>
          </w:p>
        </w:tc>
      </w:tr>
      <w:tr>
        <w:trPr>
          <w:trHeight w:val="257"/>
        </w:trPr>
        <w:tc>
          <w:tcPr>
            <w:tcW w:w="10620" w:type="dxa"/>
            <w:vAlign w:val="bottom"/>
          </w:tcPr>
          <w:p>
            <w:pPr>
              <w:ind w:left="40"/>
              <w:spacing w:after="0"/>
              <w:rPr>
                <w:rFonts w:ascii="Arial" w:cs="Arial" w:eastAsia="Arial" w:hAnsi="Arial"/>
                <w:sz w:val="18"/>
                <w:szCs w:val="18"/>
                <w:b w:val="1"/>
                <w:bCs w:val="1"/>
                <w:color w:val="auto"/>
              </w:rPr>
            </w:pPr>
            <w:hyperlink w:anchor="page72">
              <w:r>
                <w:rPr>
                  <w:rFonts w:ascii="Arial" w:cs="Arial" w:eastAsia="Arial" w:hAnsi="Arial"/>
                  <w:sz w:val="18"/>
                  <w:szCs w:val="18"/>
                  <w:b w:val="1"/>
                  <w:bCs w:val="1"/>
                  <w:color w:val="auto"/>
                </w:rPr>
                <w:t>PROPOSAL 3: RATIFICATION OF APPOINTMENT OF INDEPENDENT REGISTERED PUBLIC ACCOUNTING FIRM</w:t>
              </w:r>
            </w:hyperlink>
          </w:p>
        </w:tc>
        <w:tc>
          <w:tcPr>
            <w:tcW w:w="800" w:type="dxa"/>
            <w:vAlign w:val="bottom"/>
          </w:tcPr>
          <w:p>
            <w:pPr>
              <w:jc w:val="right"/>
              <w:spacing w:after="0"/>
              <w:rPr>
                <w:rFonts w:ascii="Arial" w:cs="Arial" w:eastAsia="Arial" w:hAnsi="Arial"/>
                <w:sz w:val="18"/>
                <w:szCs w:val="18"/>
                <w:b w:val="1"/>
                <w:bCs w:val="1"/>
                <w:color w:val="auto"/>
              </w:rPr>
            </w:pPr>
            <w:hyperlink w:anchor="page72">
              <w:r>
                <w:rPr>
                  <w:rFonts w:ascii="Arial" w:cs="Arial" w:eastAsia="Arial" w:hAnsi="Arial"/>
                  <w:sz w:val="18"/>
                  <w:szCs w:val="18"/>
                  <w:b w:val="1"/>
                  <w:bCs w:val="1"/>
                  <w:color w:val="auto"/>
                </w:rPr>
                <w:t>63</w:t>
              </w:r>
            </w:hyperlink>
          </w:p>
        </w:tc>
      </w:tr>
      <w:tr>
        <w:trPr>
          <w:trHeight w:val="257"/>
        </w:trPr>
        <w:tc>
          <w:tcPr>
            <w:tcW w:w="10620" w:type="dxa"/>
            <w:vAlign w:val="bottom"/>
          </w:tcPr>
          <w:p>
            <w:pPr>
              <w:ind w:left="40"/>
              <w:spacing w:after="0"/>
              <w:rPr>
                <w:rFonts w:ascii="Arial" w:cs="Arial" w:eastAsia="Arial" w:hAnsi="Arial"/>
                <w:sz w:val="18"/>
                <w:szCs w:val="18"/>
                <w:b w:val="1"/>
                <w:bCs w:val="1"/>
                <w:color w:val="auto"/>
              </w:rPr>
            </w:pPr>
            <w:hyperlink w:anchor="page73">
              <w:r>
                <w:rPr>
                  <w:rFonts w:ascii="Arial" w:cs="Arial" w:eastAsia="Arial" w:hAnsi="Arial"/>
                  <w:sz w:val="18"/>
                  <w:szCs w:val="18"/>
                  <w:b w:val="1"/>
                  <w:bCs w:val="1"/>
                  <w:color w:val="auto"/>
                </w:rPr>
                <w:t>CERTAIN RELATIONSHIPS AND RELATED TRANSACTIONS</w:t>
              </w:r>
            </w:hyperlink>
          </w:p>
        </w:tc>
        <w:tc>
          <w:tcPr>
            <w:tcW w:w="800" w:type="dxa"/>
            <w:vAlign w:val="bottom"/>
          </w:tcPr>
          <w:p>
            <w:pPr>
              <w:jc w:val="right"/>
              <w:spacing w:after="0"/>
              <w:rPr>
                <w:rFonts w:ascii="Arial" w:cs="Arial" w:eastAsia="Arial" w:hAnsi="Arial"/>
                <w:sz w:val="18"/>
                <w:szCs w:val="18"/>
                <w:b w:val="1"/>
                <w:bCs w:val="1"/>
                <w:color w:val="auto"/>
              </w:rPr>
            </w:pPr>
            <w:hyperlink w:anchor="page73">
              <w:r>
                <w:rPr>
                  <w:rFonts w:ascii="Arial" w:cs="Arial" w:eastAsia="Arial" w:hAnsi="Arial"/>
                  <w:sz w:val="18"/>
                  <w:szCs w:val="18"/>
                  <w:b w:val="1"/>
                  <w:bCs w:val="1"/>
                  <w:color w:val="auto"/>
                </w:rPr>
                <w:t>64</w:t>
              </w:r>
            </w:hyperlink>
          </w:p>
        </w:tc>
      </w:tr>
      <w:tr>
        <w:trPr>
          <w:trHeight w:val="257"/>
        </w:trPr>
        <w:tc>
          <w:tcPr>
            <w:tcW w:w="10620" w:type="dxa"/>
            <w:vAlign w:val="bottom"/>
          </w:tcPr>
          <w:p>
            <w:pPr>
              <w:ind w:left="40"/>
              <w:spacing w:after="0"/>
              <w:rPr>
                <w:rFonts w:ascii="Arial" w:cs="Arial" w:eastAsia="Arial" w:hAnsi="Arial"/>
                <w:sz w:val="18"/>
                <w:szCs w:val="18"/>
                <w:b w:val="1"/>
                <w:bCs w:val="1"/>
                <w:color w:val="auto"/>
              </w:rPr>
            </w:pPr>
            <w:hyperlink w:anchor="page73">
              <w:r>
                <w:rPr>
                  <w:rFonts w:ascii="Arial" w:cs="Arial" w:eastAsia="Arial" w:hAnsi="Arial"/>
                  <w:sz w:val="18"/>
                  <w:szCs w:val="18"/>
                  <w:b w:val="1"/>
                  <w:bCs w:val="1"/>
                  <w:color w:val="auto"/>
                </w:rPr>
                <w:t>SECTION 16(A) BENEFICIAL OWNERSHIP COMPLIANCE</w:t>
              </w:r>
            </w:hyperlink>
          </w:p>
        </w:tc>
        <w:tc>
          <w:tcPr>
            <w:tcW w:w="800" w:type="dxa"/>
            <w:vAlign w:val="bottom"/>
          </w:tcPr>
          <w:p>
            <w:pPr>
              <w:jc w:val="right"/>
              <w:spacing w:after="0"/>
              <w:rPr>
                <w:rFonts w:ascii="Arial" w:cs="Arial" w:eastAsia="Arial" w:hAnsi="Arial"/>
                <w:sz w:val="18"/>
                <w:szCs w:val="18"/>
                <w:b w:val="1"/>
                <w:bCs w:val="1"/>
                <w:color w:val="auto"/>
              </w:rPr>
            </w:pPr>
            <w:hyperlink w:anchor="page73">
              <w:r>
                <w:rPr>
                  <w:rFonts w:ascii="Arial" w:cs="Arial" w:eastAsia="Arial" w:hAnsi="Arial"/>
                  <w:sz w:val="18"/>
                  <w:szCs w:val="18"/>
                  <w:b w:val="1"/>
                  <w:bCs w:val="1"/>
                  <w:color w:val="auto"/>
                </w:rPr>
                <w:t>64</w:t>
              </w:r>
            </w:hyperlink>
          </w:p>
        </w:tc>
      </w:tr>
      <w:tr>
        <w:trPr>
          <w:trHeight w:val="257"/>
        </w:trPr>
        <w:tc>
          <w:tcPr>
            <w:tcW w:w="10620" w:type="dxa"/>
            <w:vAlign w:val="bottom"/>
          </w:tcPr>
          <w:p>
            <w:pPr>
              <w:ind w:left="40"/>
              <w:spacing w:after="0"/>
              <w:rPr>
                <w:rFonts w:ascii="Arial" w:cs="Arial" w:eastAsia="Arial" w:hAnsi="Arial"/>
                <w:sz w:val="18"/>
                <w:szCs w:val="18"/>
                <w:b w:val="1"/>
                <w:bCs w:val="1"/>
                <w:color w:val="auto"/>
              </w:rPr>
            </w:pPr>
            <w:hyperlink w:anchor="page74">
              <w:r>
                <w:rPr>
                  <w:rFonts w:ascii="Arial" w:cs="Arial" w:eastAsia="Arial" w:hAnsi="Arial"/>
                  <w:sz w:val="18"/>
                  <w:szCs w:val="18"/>
                  <w:b w:val="1"/>
                  <w:bCs w:val="1"/>
                  <w:color w:val="auto"/>
                </w:rPr>
                <w:t>STOCKHOLDERS’ PROPOSALS</w:t>
              </w:r>
            </w:hyperlink>
          </w:p>
        </w:tc>
        <w:tc>
          <w:tcPr>
            <w:tcW w:w="800" w:type="dxa"/>
            <w:vAlign w:val="bottom"/>
          </w:tcPr>
          <w:p>
            <w:pPr>
              <w:jc w:val="right"/>
              <w:spacing w:after="0"/>
              <w:rPr>
                <w:rFonts w:ascii="Arial" w:cs="Arial" w:eastAsia="Arial" w:hAnsi="Arial"/>
                <w:sz w:val="18"/>
                <w:szCs w:val="18"/>
                <w:b w:val="1"/>
                <w:bCs w:val="1"/>
                <w:color w:val="auto"/>
              </w:rPr>
            </w:pPr>
            <w:hyperlink w:anchor="page74">
              <w:r>
                <w:rPr>
                  <w:rFonts w:ascii="Arial" w:cs="Arial" w:eastAsia="Arial" w:hAnsi="Arial"/>
                  <w:sz w:val="18"/>
                  <w:szCs w:val="18"/>
                  <w:b w:val="1"/>
                  <w:bCs w:val="1"/>
                  <w:color w:val="auto"/>
                </w:rPr>
                <w:t>65</w:t>
              </w:r>
            </w:hyperlink>
          </w:p>
        </w:tc>
      </w:tr>
      <w:tr>
        <w:trPr>
          <w:trHeight w:val="365"/>
        </w:trPr>
        <w:tc>
          <w:tcPr>
            <w:tcW w:w="10620" w:type="dxa"/>
            <w:vAlign w:val="bottom"/>
          </w:tcPr>
          <w:p>
            <w:pPr>
              <w:ind w:left="40"/>
              <w:spacing w:after="0"/>
              <w:rPr>
                <w:rFonts w:ascii="Arial" w:cs="Arial" w:eastAsia="Arial" w:hAnsi="Arial"/>
                <w:sz w:val="18"/>
                <w:szCs w:val="18"/>
                <w:b w:val="1"/>
                <w:bCs w:val="1"/>
                <w:color w:val="auto"/>
              </w:rPr>
            </w:pPr>
            <w:hyperlink w:anchor="page75">
              <w:r>
                <w:rPr>
                  <w:rFonts w:ascii="Arial" w:cs="Arial" w:eastAsia="Arial" w:hAnsi="Arial"/>
                  <w:sz w:val="18"/>
                  <w:szCs w:val="18"/>
                  <w:b w:val="1"/>
                  <w:bCs w:val="1"/>
                  <w:color w:val="auto"/>
                </w:rPr>
                <w:t>APPENDIX A — RECONCILIATION OF REPORTED (GAAP) TO ADJUSTED (NON-GAAP) RESULTS</w:t>
              </w:r>
            </w:hyperlink>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A-1</w:t>
            </w:r>
          </w:p>
        </w:tc>
      </w:tr>
    </w:tbl>
    <w:p>
      <w:pPr>
        <w:sectPr>
          <w:pgSz w:w="11900" w:h="16838" w:orient="portrait"/>
          <w:cols w:equalWidth="0" w:num="1">
            <w:col w:w="11420"/>
          </w:cols>
          <w:pgMar w:left="240" w:top="568" w:right="239" w:bottom="1440" w:gutter="0" w:footer="0" w:header="0"/>
        </w:sectPr>
      </w:pPr>
    </w:p>
    <w:bookmarkStart w:id="5" w:name="page6"/>
    <w:bookmarkEnd w:id="5"/>
    <w:p>
      <w:pPr>
        <w:ind w:left="7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left="780"/>
        <w:spacing w:after="0"/>
        <w:rPr>
          <w:sz w:val="20"/>
          <w:szCs w:val="20"/>
          <w:color w:val="auto"/>
        </w:rPr>
      </w:pPr>
      <w:r>
        <w:rPr>
          <w:rFonts w:ascii="Arial" w:cs="Arial" w:eastAsia="Arial" w:hAnsi="Arial"/>
          <w:sz w:val="14"/>
          <w:szCs w:val="14"/>
          <w:color w:val="auto"/>
        </w:rPr>
        <w:t>2018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151765</wp:posOffset>
            </wp:positionV>
            <wp:extent cx="7250430" cy="6854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685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2018 PROXY STATEMENT SUMMARY</w:t>
      </w:r>
    </w:p>
    <w:p>
      <w:pPr>
        <w:spacing w:after="0" w:line="102"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i w:val="1"/>
          <w:iCs w:val="1"/>
          <w:color w:val="auto"/>
        </w:rPr>
        <w:t>This summary highlights information contained elsewhere in this proxy statement. This summary does not contain all of the information that you should consider, and you should read the entire proxy statement carefully before voting.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OF STOCKHOLDERS</w:t>
      </w:r>
    </w:p>
    <w:p>
      <w:pPr>
        <w:sectPr>
          <w:pgSz w:w="11900" w:h="16838" w:orient="portrait"/>
          <w:cols w:equalWidth="0" w:num="1">
            <w:col w:w="11240"/>
          </w:cols>
          <w:pgMar w:left="420" w:top="125" w:right="239" w:bottom="1440" w:gutter="0" w:footer="0" w:header="0"/>
        </w:sectPr>
      </w:pPr>
    </w:p>
    <w:p>
      <w:pPr>
        <w:spacing w:after="0" w:line="207" w:lineRule="exact"/>
        <w:rPr>
          <w:sz w:val="20"/>
          <w:szCs w:val="20"/>
          <w:color w:val="auto"/>
        </w:rPr>
      </w:pPr>
    </w:p>
    <w:p>
      <w:pPr>
        <w:ind w:left="40"/>
        <w:spacing w:after="0"/>
        <w:rPr>
          <w:sz w:val="20"/>
          <w:szCs w:val="20"/>
          <w:color w:val="auto"/>
        </w:rPr>
      </w:pPr>
      <w:r>
        <w:rPr>
          <w:rFonts w:ascii="Arial" w:cs="Arial" w:eastAsia="Arial" w:hAnsi="Arial"/>
          <w:sz w:val="17"/>
          <w:szCs w:val="17"/>
          <w:color w:val="auto"/>
        </w:rPr>
        <w:t>Time and Date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9:30 a.m. Eastern Time, May 4, 2018</w:t>
      </w:r>
    </w:p>
    <w:p>
      <w:pPr>
        <w:spacing w:after="0" w:line="200" w:lineRule="exact"/>
        <w:rPr>
          <w:sz w:val="20"/>
          <w:szCs w:val="20"/>
          <w:color w:val="auto"/>
        </w:rPr>
      </w:pPr>
    </w:p>
    <w:p>
      <w:pPr>
        <w:sectPr>
          <w:pgSz w:w="11900" w:h="16838" w:orient="portrait"/>
          <w:cols w:equalWidth="0" w:num="2">
            <w:col w:w="1580" w:space="720"/>
            <w:col w:w="8940"/>
          </w:cols>
          <w:pgMar w:left="420" w:top="125" w:right="239" w:bottom="1440" w:gutter="0" w:footer="0" w:header="0"/>
          <w:type w:val="continuous"/>
        </w:sectPr>
      </w:pPr>
    </w:p>
    <w:p>
      <w:pPr>
        <w:spacing w:after="0" w:line="104" w:lineRule="exact"/>
        <w:rPr>
          <w:sz w:val="20"/>
          <w:szCs w:val="20"/>
          <w:color w:val="auto"/>
        </w:rPr>
      </w:pPr>
    </w:p>
    <w:p>
      <w:pPr>
        <w:ind w:left="40"/>
        <w:spacing w:after="0"/>
        <w:rPr>
          <w:sz w:val="20"/>
          <w:szCs w:val="20"/>
          <w:color w:val="auto"/>
        </w:rPr>
      </w:pPr>
      <w:r>
        <w:rPr>
          <w:rFonts w:ascii="Arial" w:cs="Arial" w:eastAsia="Arial" w:hAnsi="Arial"/>
          <w:sz w:val="17"/>
          <w:szCs w:val="17"/>
          <w:color w:val="auto"/>
        </w:rPr>
        <w:t>Place</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Craddock Terry Hotel</w:t>
      </w:r>
    </w:p>
    <w:p>
      <w:pPr>
        <w:spacing w:after="0" w:line="234" w:lineRule="auto"/>
        <w:rPr>
          <w:sz w:val="20"/>
          <w:szCs w:val="20"/>
          <w:color w:val="auto"/>
        </w:rPr>
      </w:pPr>
      <w:r>
        <w:rPr>
          <w:rFonts w:ascii="Arial" w:cs="Arial" w:eastAsia="Arial" w:hAnsi="Arial"/>
          <w:sz w:val="18"/>
          <w:szCs w:val="18"/>
          <w:color w:val="auto"/>
        </w:rPr>
        <w:t>Riverside Foyer</w:t>
      </w:r>
    </w:p>
    <w:p>
      <w:pPr>
        <w:spacing w:after="0" w:line="235" w:lineRule="auto"/>
        <w:rPr>
          <w:sz w:val="20"/>
          <w:szCs w:val="20"/>
          <w:color w:val="auto"/>
        </w:rPr>
      </w:pPr>
      <w:r>
        <w:rPr>
          <w:rFonts w:ascii="Arial" w:cs="Arial" w:eastAsia="Arial" w:hAnsi="Arial"/>
          <w:sz w:val="18"/>
          <w:szCs w:val="18"/>
          <w:color w:val="auto"/>
        </w:rPr>
        <w:t>1312 Commerce Street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Lynchburg, Virginia 24504</w:t>
      </w:r>
    </w:p>
    <w:p>
      <w:pPr>
        <w:spacing w:after="0" w:line="200" w:lineRule="exact"/>
        <w:rPr>
          <w:sz w:val="20"/>
          <w:szCs w:val="20"/>
          <w:color w:val="auto"/>
        </w:rPr>
      </w:pPr>
    </w:p>
    <w:p>
      <w:pPr>
        <w:sectPr>
          <w:pgSz w:w="11900" w:h="16838" w:orient="portrait"/>
          <w:cols w:equalWidth="0" w:num="2">
            <w:col w:w="1580" w:space="720"/>
            <w:col w:w="8940"/>
          </w:cols>
          <w:pgMar w:left="420" w:top="125" w:right="239" w:bottom="1440" w:gutter="0" w:footer="0" w:header="0"/>
          <w:type w:val="continuous"/>
        </w:sectPr>
      </w:pPr>
    </w:p>
    <w:p>
      <w:pPr>
        <w:spacing w:after="0" w:line="104" w:lineRule="exact"/>
        <w:rPr>
          <w:sz w:val="20"/>
          <w:szCs w:val="20"/>
          <w:color w:val="auto"/>
        </w:rPr>
      </w:pPr>
    </w:p>
    <w:p>
      <w:pPr>
        <w:ind w:left="40"/>
        <w:spacing w:after="0"/>
        <w:rPr>
          <w:sz w:val="20"/>
          <w:szCs w:val="20"/>
          <w:color w:val="auto"/>
        </w:rPr>
      </w:pPr>
      <w:r>
        <w:rPr>
          <w:rFonts w:ascii="Arial" w:cs="Arial" w:eastAsia="Arial" w:hAnsi="Arial"/>
          <w:sz w:val="17"/>
          <w:szCs w:val="17"/>
          <w:color w:val="auto"/>
        </w:rPr>
        <w:t>Record Date</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March 12, 2018</w:t>
      </w:r>
    </w:p>
    <w:p>
      <w:pPr>
        <w:spacing w:after="0" w:line="200" w:lineRule="exact"/>
        <w:rPr>
          <w:sz w:val="20"/>
          <w:szCs w:val="20"/>
          <w:color w:val="auto"/>
        </w:rPr>
      </w:pPr>
    </w:p>
    <w:p>
      <w:pPr>
        <w:sectPr>
          <w:pgSz w:w="11900" w:h="16838" w:orient="portrait"/>
          <w:cols w:equalWidth="0" w:num="2">
            <w:col w:w="1580" w:space="720"/>
            <w:col w:w="8940"/>
          </w:cols>
          <w:pgMar w:left="420" w:top="125" w:right="239" w:bottom="1440" w:gutter="0" w:footer="0" w:header="0"/>
          <w:type w:val="continuous"/>
        </w:sectPr>
      </w:pPr>
    </w:p>
    <w:p>
      <w:pPr>
        <w:spacing w:after="0" w:line="104" w:lineRule="exact"/>
        <w:rPr>
          <w:sz w:val="20"/>
          <w:szCs w:val="20"/>
          <w:color w:val="auto"/>
        </w:rPr>
      </w:pPr>
    </w:p>
    <w:p>
      <w:pPr>
        <w:ind w:left="40"/>
        <w:spacing w:after="0"/>
        <w:rPr>
          <w:sz w:val="20"/>
          <w:szCs w:val="20"/>
          <w:color w:val="auto"/>
        </w:rPr>
      </w:pPr>
      <w:r>
        <w:rPr>
          <w:rFonts w:ascii="Arial" w:cs="Arial" w:eastAsia="Arial" w:hAnsi="Arial"/>
          <w:sz w:val="17"/>
          <w:szCs w:val="17"/>
          <w:color w:val="auto"/>
        </w:rPr>
        <w:t>Voting</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right="940"/>
        <w:spacing w:after="0" w:line="246" w:lineRule="auto"/>
        <w:rPr>
          <w:sz w:val="20"/>
          <w:szCs w:val="20"/>
          <w:color w:val="auto"/>
        </w:rPr>
      </w:pPr>
      <w:r>
        <w:rPr>
          <w:rFonts w:ascii="Arial" w:cs="Arial" w:eastAsia="Arial" w:hAnsi="Arial"/>
          <w:sz w:val="18"/>
          <w:szCs w:val="18"/>
          <w:color w:val="auto"/>
        </w:rPr>
        <w:t>Stockholders as of the record date are entitled to vote. Each share of our common stock is entitled to one vote for each director nominee and one vote for each of the proposals to be voted on.</w:t>
      </w:r>
    </w:p>
    <w:p>
      <w:pPr>
        <w:spacing w:after="0" w:line="200" w:lineRule="exact"/>
        <w:rPr>
          <w:sz w:val="20"/>
          <w:szCs w:val="20"/>
          <w:color w:val="auto"/>
        </w:rPr>
      </w:pPr>
    </w:p>
    <w:p>
      <w:pPr>
        <w:sectPr>
          <w:pgSz w:w="11900" w:h="16838" w:orient="portrait"/>
          <w:cols w:equalWidth="0" w:num="2">
            <w:col w:w="1580" w:space="720"/>
            <w:col w:w="8940"/>
          </w:cols>
          <w:pgMar w:left="420" w:top="125" w:right="239" w:bottom="1440" w:gutter="0" w:footer="0" w:header="0"/>
          <w:type w:val="continuous"/>
        </w:sectPr>
      </w:pPr>
    </w:p>
    <w:p>
      <w:pPr>
        <w:spacing w:after="0" w:line="78" w:lineRule="exact"/>
        <w:rPr>
          <w:sz w:val="20"/>
          <w:szCs w:val="20"/>
          <w:color w:val="auto"/>
        </w:rPr>
      </w:pPr>
    </w:p>
    <w:p>
      <w:pPr>
        <w:ind w:left="40"/>
        <w:spacing w:after="0"/>
        <w:rPr>
          <w:sz w:val="20"/>
          <w:szCs w:val="20"/>
          <w:color w:val="auto"/>
        </w:rPr>
      </w:pPr>
      <w:r>
        <w:rPr>
          <w:rFonts w:ascii="Arial" w:cs="Arial" w:eastAsia="Arial" w:hAnsi="Arial"/>
          <w:sz w:val="17"/>
          <w:szCs w:val="17"/>
          <w:color w:val="auto"/>
        </w:rPr>
        <w:t>Attendance</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jc w:val="center"/>
        <w:ind w:right="1400"/>
        <w:spacing w:after="0"/>
        <w:rPr>
          <w:sz w:val="20"/>
          <w:szCs w:val="20"/>
          <w:color w:val="auto"/>
        </w:rPr>
      </w:pPr>
      <w:r>
        <w:rPr>
          <w:rFonts w:ascii="Arial" w:cs="Arial" w:eastAsia="Arial" w:hAnsi="Arial"/>
          <w:sz w:val="17"/>
          <w:szCs w:val="17"/>
          <w:color w:val="auto"/>
        </w:rPr>
        <w:t>All stockholders as of the record date and their duly appointed proxies may attend the meeting.</w:t>
      </w:r>
    </w:p>
    <w:p>
      <w:pPr>
        <w:spacing w:after="0" w:line="200" w:lineRule="exact"/>
        <w:rPr>
          <w:sz w:val="20"/>
          <w:szCs w:val="20"/>
          <w:color w:val="auto"/>
        </w:rPr>
      </w:pPr>
    </w:p>
    <w:p>
      <w:pPr>
        <w:sectPr>
          <w:pgSz w:w="11900" w:h="16838" w:orient="portrait"/>
          <w:cols w:equalWidth="0" w:num="2">
            <w:col w:w="1580" w:space="720"/>
            <w:col w:w="8940"/>
          </w:cols>
          <w:pgMar w:left="420" w:top="125" w:right="239" w:bottom="1440" w:gutter="0" w:footer="0" w:header="0"/>
          <w:type w:val="continuous"/>
        </w:sectPr>
      </w:pP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AGENDA AND VOTING MATTERS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0" w:type="dxa"/>
            <w:vAlign w:val="bottom"/>
            <w:shd w:val="clear" w:color="auto" w:fill="525252"/>
          </w:tcPr>
          <w:p>
            <w:pPr>
              <w:spacing w:after="0"/>
              <w:rPr>
                <w:sz w:val="15"/>
                <w:szCs w:val="15"/>
                <w:color w:val="auto"/>
              </w:rPr>
            </w:pPr>
          </w:p>
        </w:tc>
        <w:tc>
          <w:tcPr>
            <w:tcW w:w="6520" w:type="dxa"/>
            <w:vAlign w:val="bottom"/>
            <w:shd w:val="clear" w:color="auto" w:fill="525252"/>
          </w:tcPr>
          <w:p>
            <w:pPr>
              <w:spacing w:after="0"/>
              <w:rPr>
                <w:sz w:val="15"/>
                <w:szCs w:val="15"/>
                <w:color w:val="auto"/>
              </w:rPr>
            </w:pPr>
          </w:p>
        </w:tc>
        <w:tc>
          <w:tcPr>
            <w:tcW w:w="2660" w:type="dxa"/>
            <w:vAlign w:val="bottom"/>
            <w:shd w:val="clear" w:color="auto" w:fill="525252"/>
          </w:tcPr>
          <w:p>
            <w:pPr>
              <w:jc w:val="center"/>
              <w:ind w:left="217"/>
              <w:spacing w:after="0"/>
              <w:rPr>
                <w:sz w:val="20"/>
                <w:szCs w:val="20"/>
                <w:color w:val="auto"/>
              </w:rPr>
            </w:pPr>
            <w:r>
              <w:rPr>
                <w:rFonts w:ascii="Arial" w:cs="Arial" w:eastAsia="Arial" w:hAnsi="Arial"/>
                <w:sz w:val="14"/>
                <w:szCs w:val="14"/>
                <w:b w:val="1"/>
                <w:bCs w:val="1"/>
                <w:color w:val="FFFFFF"/>
              </w:rPr>
              <w:t>Board Vote</w:t>
            </w:r>
          </w:p>
        </w:tc>
        <w:tc>
          <w:tcPr>
            <w:tcW w:w="1580" w:type="dxa"/>
            <w:vAlign w:val="bottom"/>
            <w:shd w:val="clear" w:color="auto" w:fill="525252"/>
          </w:tcPr>
          <w:p>
            <w:pPr>
              <w:ind w:left="260"/>
              <w:spacing w:after="0"/>
              <w:rPr>
                <w:sz w:val="20"/>
                <w:szCs w:val="20"/>
                <w:color w:val="auto"/>
              </w:rPr>
            </w:pPr>
            <w:r>
              <w:rPr>
                <w:rFonts w:ascii="Arial" w:cs="Arial" w:eastAsia="Arial" w:hAnsi="Arial"/>
                <w:sz w:val="14"/>
                <w:szCs w:val="14"/>
                <w:b w:val="1"/>
                <w:bCs w:val="1"/>
                <w:color w:val="FFFFFF"/>
              </w:rPr>
              <w:t>Page Reference</w:t>
            </w:r>
          </w:p>
        </w:tc>
        <w:tc>
          <w:tcPr>
            <w:tcW w:w="0" w:type="dxa"/>
            <w:vAlign w:val="bottom"/>
          </w:tcPr>
          <w:p>
            <w:pPr>
              <w:spacing w:after="0"/>
              <w:rPr>
                <w:sz w:val="1"/>
                <w:szCs w:val="1"/>
                <w:color w:val="auto"/>
              </w:rPr>
            </w:pPr>
          </w:p>
        </w:tc>
      </w:tr>
      <w:tr>
        <w:trPr>
          <w:trHeight w:val="202"/>
        </w:trPr>
        <w:tc>
          <w:tcPr>
            <w:tcW w:w="6820" w:type="dxa"/>
            <w:vAlign w:val="bottom"/>
            <w:gridSpan w:val="2"/>
            <w:shd w:val="clear" w:color="auto" w:fill="525252"/>
          </w:tcPr>
          <w:p>
            <w:pPr>
              <w:ind w:left="40"/>
              <w:spacing w:after="0"/>
              <w:rPr>
                <w:sz w:val="20"/>
                <w:szCs w:val="20"/>
                <w:color w:val="auto"/>
              </w:rPr>
            </w:pPr>
            <w:r>
              <w:rPr>
                <w:rFonts w:ascii="Arial" w:cs="Arial" w:eastAsia="Arial" w:hAnsi="Arial"/>
                <w:sz w:val="14"/>
                <w:szCs w:val="14"/>
                <w:b w:val="1"/>
                <w:bCs w:val="1"/>
                <w:color w:val="FFFFFF"/>
              </w:rPr>
              <w:t>Proposal</w:t>
            </w:r>
          </w:p>
        </w:tc>
        <w:tc>
          <w:tcPr>
            <w:tcW w:w="2660" w:type="dxa"/>
            <w:vAlign w:val="bottom"/>
            <w:shd w:val="clear" w:color="auto" w:fill="525252"/>
          </w:tcPr>
          <w:p>
            <w:pPr>
              <w:jc w:val="center"/>
              <w:ind w:left="217"/>
              <w:spacing w:after="0"/>
              <w:rPr>
                <w:sz w:val="20"/>
                <w:szCs w:val="20"/>
                <w:color w:val="auto"/>
              </w:rPr>
            </w:pPr>
            <w:r>
              <w:rPr>
                <w:rFonts w:ascii="Arial" w:cs="Arial" w:eastAsia="Arial" w:hAnsi="Arial"/>
                <w:sz w:val="14"/>
                <w:szCs w:val="14"/>
                <w:b w:val="1"/>
                <w:bCs w:val="1"/>
                <w:color w:val="FFFFFF"/>
              </w:rPr>
              <w:t>Recommendation</w:t>
            </w:r>
          </w:p>
        </w:tc>
        <w:tc>
          <w:tcPr>
            <w:tcW w:w="1580" w:type="dxa"/>
            <w:vAlign w:val="bottom"/>
            <w:shd w:val="clear" w:color="auto" w:fill="525252"/>
          </w:tcPr>
          <w:p>
            <w:pPr>
              <w:ind w:left="260"/>
              <w:spacing w:after="0"/>
              <w:rPr>
                <w:sz w:val="20"/>
                <w:szCs w:val="20"/>
                <w:color w:val="auto"/>
              </w:rPr>
            </w:pPr>
            <w:r>
              <w:rPr>
                <w:rFonts w:ascii="Arial" w:cs="Arial" w:eastAsia="Arial" w:hAnsi="Arial"/>
                <w:sz w:val="14"/>
                <w:szCs w:val="14"/>
                <w:b w:val="1"/>
                <w:bCs w:val="1"/>
                <w:color w:val="FFFFFF"/>
              </w:rPr>
              <w:t>(for more detail)</w:t>
            </w:r>
          </w:p>
        </w:tc>
        <w:tc>
          <w:tcPr>
            <w:tcW w:w="0" w:type="dxa"/>
            <w:vAlign w:val="bottom"/>
          </w:tcPr>
          <w:p>
            <w:pPr>
              <w:spacing w:after="0"/>
              <w:rPr>
                <w:sz w:val="1"/>
                <w:szCs w:val="1"/>
                <w:color w:val="auto"/>
              </w:rPr>
            </w:pPr>
          </w:p>
        </w:tc>
      </w:tr>
      <w:tr>
        <w:trPr>
          <w:trHeight w:val="250"/>
        </w:trPr>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5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Election of three Class II directors</w:t>
            </w:r>
          </w:p>
        </w:tc>
        <w:tc>
          <w:tcPr>
            <w:tcW w:w="2660" w:type="dxa"/>
            <w:vAlign w:val="bottom"/>
            <w:tcBorders>
              <w:bottom w:val="single" w:sz="8" w:color="auto"/>
            </w:tcBorders>
          </w:tcPr>
          <w:p>
            <w:pPr>
              <w:jc w:val="center"/>
              <w:ind w:left="217"/>
              <w:spacing w:after="0"/>
              <w:rPr>
                <w:sz w:val="20"/>
                <w:szCs w:val="20"/>
                <w:color w:val="auto"/>
              </w:rPr>
            </w:pPr>
            <w:r>
              <w:rPr>
                <w:rFonts w:ascii="Arial" w:cs="Arial" w:eastAsia="Arial" w:hAnsi="Arial"/>
                <w:sz w:val="18"/>
                <w:szCs w:val="18"/>
                <w:b w:val="1"/>
                <w:bCs w:val="1"/>
                <w:color w:val="auto"/>
              </w:rPr>
              <w:t>FOR EACH NOMINEE</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50"/>
        </w:trPr>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5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Advisory vote on the compensation of our named executive officers</w:t>
            </w:r>
          </w:p>
        </w:tc>
        <w:tc>
          <w:tcPr>
            <w:tcW w:w="2660" w:type="dxa"/>
            <w:vAlign w:val="bottom"/>
            <w:tcBorders>
              <w:bottom w:val="single" w:sz="8" w:color="auto"/>
            </w:tcBorders>
          </w:tcPr>
          <w:p>
            <w:pPr>
              <w:jc w:val="center"/>
              <w:ind w:left="237"/>
              <w:spacing w:after="0"/>
              <w:rPr>
                <w:sz w:val="20"/>
                <w:szCs w:val="20"/>
                <w:color w:val="auto"/>
              </w:rPr>
            </w:pPr>
            <w:r>
              <w:rPr>
                <w:rFonts w:ascii="Arial" w:cs="Arial" w:eastAsia="Arial" w:hAnsi="Arial"/>
                <w:sz w:val="18"/>
                <w:szCs w:val="18"/>
                <w:b w:val="1"/>
                <w:bCs w:val="1"/>
                <w:color w:val="auto"/>
                <w:w w:val="99"/>
              </w:rPr>
              <w:t>FOR</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22</w:t>
            </w:r>
          </w:p>
        </w:tc>
        <w:tc>
          <w:tcPr>
            <w:tcW w:w="0" w:type="dxa"/>
            <w:vAlign w:val="bottom"/>
          </w:tcPr>
          <w:p>
            <w:pPr>
              <w:spacing w:after="0"/>
              <w:rPr>
                <w:sz w:val="1"/>
                <w:szCs w:val="1"/>
                <w:color w:val="auto"/>
              </w:rPr>
            </w:pPr>
          </w:p>
        </w:tc>
      </w:tr>
      <w:tr>
        <w:trPr>
          <w:trHeight w:val="229"/>
        </w:trPr>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6520" w:type="dxa"/>
            <w:vAlign w:val="bottom"/>
          </w:tcPr>
          <w:p>
            <w:pPr>
              <w:ind w:left="80"/>
              <w:spacing w:after="0"/>
              <w:rPr>
                <w:sz w:val="20"/>
                <w:szCs w:val="20"/>
                <w:color w:val="auto"/>
              </w:rPr>
            </w:pPr>
            <w:r>
              <w:rPr>
                <w:rFonts w:ascii="Arial" w:cs="Arial" w:eastAsia="Arial" w:hAnsi="Arial"/>
                <w:sz w:val="18"/>
                <w:szCs w:val="18"/>
                <w:color w:val="auto"/>
              </w:rPr>
              <w:t>Ratification of Deloitte &amp; Touche LLP as our independent registered public</w:t>
            </w:r>
          </w:p>
        </w:tc>
        <w:tc>
          <w:tcPr>
            <w:tcW w:w="2660" w:type="dxa"/>
            <w:vAlign w:val="bottom"/>
            <w:vMerge w:val="restart"/>
          </w:tcPr>
          <w:p>
            <w:pPr>
              <w:jc w:val="center"/>
              <w:ind w:left="237"/>
              <w:spacing w:after="0"/>
              <w:rPr>
                <w:sz w:val="20"/>
                <w:szCs w:val="20"/>
                <w:color w:val="auto"/>
              </w:rPr>
            </w:pPr>
            <w:r>
              <w:rPr>
                <w:rFonts w:ascii="Arial" w:cs="Arial" w:eastAsia="Arial" w:hAnsi="Arial"/>
                <w:sz w:val="18"/>
                <w:szCs w:val="18"/>
                <w:b w:val="1"/>
                <w:bCs w:val="1"/>
                <w:color w:val="auto"/>
                <w:w w:val="99"/>
              </w:rPr>
              <w:t>FOR</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00" w:type="dxa"/>
            <w:vAlign w:val="bottom"/>
            <w:tcBorders>
              <w:bottom w:val="single" w:sz="8" w:color="auto"/>
            </w:tcBorders>
          </w:tcPr>
          <w:p>
            <w:pPr>
              <w:spacing w:after="0"/>
              <w:rPr>
                <w:sz w:val="19"/>
                <w:szCs w:val="19"/>
                <w:color w:val="auto"/>
              </w:rPr>
            </w:pPr>
          </w:p>
        </w:tc>
        <w:tc>
          <w:tcPr>
            <w:tcW w:w="65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accounting firm for the fiscal year ending December 31, 2018</w:t>
            </w:r>
          </w:p>
        </w:tc>
        <w:tc>
          <w:tcPr>
            <w:tcW w:w="2660" w:type="dxa"/>
            <w:vAlign w:val="bottom"/>
            <w:tcBorders>
              <w:bottom w:val="single" w:sz="8" w:color="auto"/>
            </w:tcBorders>
            <w:vMerge w:val="continue"/>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63</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Your vote is important. Please vote your proxy promptly so your shares can be represented, even if you plan to attend the 2018 annual meeting of stockholders (the "Annual Meeting"). You can vote by Internet at www.proxyvote.com, by telephone at 1-800-690-6903, by requesting a printed copy of the proxy materials and using the enclosed proxy card or in person.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DIRECTOR NOMINEES</w:t>
      </w:r>
    </w:p>
    <w:p>
      <w:pPr>
        <w:spacing w:after="0" w:line="139"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The Board of Directors has nominated three Class II directors to serve a three-year term expiring in 2021. Director nominees are elected by a plurality of the votes cast by the shares of our common stock entitled to vote in the election of directors. However, our Board of Directors has adopted a majority voting policy, which provides that any nominee for director in an uncontested director election who receives a greater number of votes “withheld” from his or her election than votes “for” such election (even if he or she is properly elected under our bylaws) must promptly tender a letter of resignation for consideration by our Board of Directors. Our Board of Directors must then act to accept or reject this letter within 90 days following the certification of the stockholder vote at our Annual Meeting. Our Board of Directors has determined that Ms. Bertsch and Messrs. Jaska and Krieg are independent. The following table provides summary information about each director nominee.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sz w:val="1"/>
          <w:szCs w:val="1"/>
          <w:color w:val="auto"/>
        </w:rPr>
        <w:drawing>
          <wp:inline distT="0" distB="0" distL="0" distR="0">
            <wp:extent cx="445770" cy="18034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45770" cy="180340"/>
                    </a:xfrm>
                    <a:prstGeom prst="rect">
                      <a:avLst/>
                    </a:prstGeom>
                    <a:noFill/>
                    <a:ln>
                      <a:noFill/>
                    </a:ln>
                  </pic:spPr>
                </pic:pic>
              </a:graphicData>
            </a:graphic>
          </wp:inline>
        </w:drawing>
      </w:r>
      <w:r>
        <w:rPr>
          <w:rFonts w:ascii="Arial" w:cs="Arial" w:eastAsia="Arial" w:hAnsi="Arial"/>
          <w:sz w:val="18"/>
          <w:szCs w:val="18"/>
          <w:color w:val="auto"/>
        </w:rPr>
        <w:t xml:space="preserve"> 2018 PROXY STATEMENT (i)</w:t>
      </w:r>
    </w:p>
    <w:p>
      <w:pPr>
        <w:sectPr>
          <w:pgSz w:w="11900" w:h="16838" w:orient="portrait"/>
          <w:cols w:equalWidth="0" w:num="1">
            <w:col w:w="11240"/>
          </w:cols>
          <w:pgMar w:left="420" w:top="125" w:right="239" w:bottom="1440" w:gutter="0" w:footer="0" w:header="0"/>
          <w:type w:val="continuous"/>
        </w:sectPr>
      </w:pPr>
    </w:p>
    <w:bookmarkStart w:id="6" w:name="page7"/>
    <w:bookmarkEnd w:id="6"/>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7840"/>
        <w:spacing w:after="0"/>
        <w:rPr>
          <w:sz w:val="20"/>
          <w:szCs w:val="20"/>
          <w:color w:val="auto"/>
        </w:rPr>
      </w:pPr>
      <w:r>
        <w:rPr>
          <w:rFonts w:ascii="Arial" w:cs="Arial" w:eastAsia="Arial" w:hAnsi="Arial"/>
          <w:sz w:val="14"/>
          <w:szCs w:val="14"/>
          <w:color w:val="auto"/>
        </w:rPr>
        <w:t>2018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250430" cy="78232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782320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tbl>
      <w:tblPr>
        <w:tblLayout w:type="fixed"/>
        <w:tblInd w:w="180" w:type="dxa"/>
        <w:tblCellMar>
          <w:top w:w="0" w:type="dxa"/>
          <w:left w:w="0" w:type="dxa"/>
          <w:bottom w:w="0" w:type="dxa"/>
          <w:right w:w="0" w:type="dxa"/>
        </w:tblCellMar>
      </w:tblPr>
      <w:tr>
        <w:trPr>
          <w:trHeight w:val="176"/>
        </w:trPr>
        <w:tc>
          <w:tcPr>
            <w:tcW w:w="1880" w:type="dxa"/>
            <w:vAlign w:val="bottom"/>
            <w:shd w:val="clear" w:color="auto" w:fill="525252"/>
          </w:tcPr>
          <w:p>
            <w:pPr>
              <w:spacing w:after="0"/>
              <w:rPr>
                <w:sz w:val="15"/>
                <w:szCs w:val="15"/>
                <w:color w:val="auto"/>
              </w:rPr>
            </w:pPr>
          </w:p>
        </w:tc>
        <w:tc>
          <w:tcPr>
            <w:tcW w:w="980" w:type="dxa"/>
            <w:vAlign w:val="bottom"/>
            <w:shd w:val="clear" w:color="auto" w:fill="525252"/>
          </w:tcPr>
          <w:p>
            <w:pPr>
              <w:spacing w:after="0"/>
              <w:rPr>
                <w:sz w:val="15"/>
                <w:szCs w:val="15"/>
                <w:color w:val="auto"/>
              </w:rPr>
            </w:pPr>
          </w:p>
        </w:tc>
        <w:tc>
          <w:tcPr>
            <w:tcW w:w="900" w:type="dxa"/>
            <w:vAlign w:val="bottom"/>
            <w:shd w:val="clear" w:color="auto" w:fill="525252"/>
          </w:tcPr>
          <w:p>
            <w:pPr>
              <w:jc w:val="center"/>
              <w:spacing w:after="0"/>
              <w:rPr>
                <w:sz w:val="20"/>
                <w:szCs w:val="20"/>
                <w:color w:val="auto"/>
              </w:rPr>
            </w:pPr>
            <w:r>
              <w:rPr>
                <w:rFonts w:ascii="Arial" w:cs="Arial" w:eastAsia="Arial" w:hAnsi="Arial"/>
                <w:sz w:val="14"/>
                <w:szCs w:val="14"/>
                <w:b w:val="1"/>
                <w:bCs w:val="1"/>
                <w:color w:val="FFFFFF"/>
              </w:rPr>
              <w:t>Director</w:t>
            </w:r>
          </w:p>
        </w:tc>
        <w:tc>
          <w:tcPr>
            <w:tcW w:w="260" w:type="dxa"/>
            <w:vAlign w:val="bottom"/>
            <w:shd w:val="clear" w:color="auto" w:fill="525252"/>
          </w:tcPr>
          <w:p>
            <w:pPr>
              <w:spacing w:after="0"/>
              <w:rPr>
                <w:sz w:val="15"/>
                <w:szCs w:val="15"/>
                <w:color w:val="auto"/>
              </w:rPr>
            </w:pPr>
          </w:p>
        </w:tc>
        <w:tc>
          <w:tcPr>
            <w:tcW w:w="4880" w:type="dxa"/>
            <w:vAlign w:val="bottom"/>
            <w:shd w:val="clear" w:color="auto" w:fill="525252"/>
          </w:tcPr>
          <w:p>
            <w:pPr>
              <w:spacing w:after="0"/>
              <w:rPr>
                <w:sz w:val="15"/>
                <w:szCs w:val="15"/>
                <w:color w:val="auto"/>
              </w:rPr>
            </w:pPr>
          </w:p>
        </w:tc>
        <w:tc>
          <w:tcPr>
            <w:tcW w:w="200" w:type="dxa"/>
            <w:vAlign w:val="bottom"/>
            <w:shd w:val="clear" w:color="auto" w:fill="525252"/>
          </w:tcPr>
          <w:p>
            <w:pPr>
              <w:spacing w:after="0"/>
              <w:rPr>
                <w:sz w:val="15"/>
                <w:szCs w:val="15"/>
                <w:color w:val="auto"/>
              </w:rPr>
            </w:pPr>
          </w:p>
        </w:tc>
        <w:tc>
          <w:tcPr>
            <w:tcW w:w="1960" w:type="dxa"/>
            <w:vAlign w:val="bottom"/>
            <w:shd w:val="clear" w:color="auto" w:fill="525252"/>
          </w:tcPr>
          <w:p>
            <w:pPr>
              <w:spacing w:after="0"/>
              <w:rPr>
                <w:sz w:val="15"/>
                <w:szCs w:val="15"/>
                <w:color w:val="auto"/>
              </w:rPr>
            </w:pPr>
          </w:p>
        </w:tc>
      </w:tr>
      <w:tr>
        <w:trPr>
          <w:trHeight w:val="202"/>
        </w:trPr>
        <w:tc>
          <w:tcPr>
            <w:tcW w:w="1880" w:type="dxa"/>
            <w:vAlign w:val="bottom"/>
            <w:shd w:val="clear" w:color="auto" w:fill="525252"/>
          </w:tcPr>
          <w:p>
            <w:pPr>
              <w:ind w:left="760"/>
              <w:spacing w:after="0"/>
              <w:rPr>
                <w:sz w:val="20"/>
                <w:szCs w:val="20"/>
                <w:color w:val="auto"/>
              </w:rPr>
            </w:pPr>
            <w:r>
              <w:rPr>
                <w:rFonts w:ascii="Arial" w:cs="Arial" w:eastAsia="Arial" w:hAnsi="Arial"/>
                <w:sz w:val="14"/>
                <w:szCs w:val="14"/>
                <w:b w:val="1"/>
                <w:bCs w:val="1"/>
                <w:color w:val="FFFFFF"/>
              </w:rPr>
              <w:t>Nominee</w:t>
            </w:r>
          </w:p>
        </w:tc>
        <w:tc>
          <w:tcPr>
            <w:tcW w:w="980" w:type="dxa"/>
            <w:vAlign w:val="bottom"/>
            <w:shd w:val="clear" w:color="auto" w:fill="525252"/>
          </w:tcPr>
          <w:p>
            <w:pPr>
              <w:jc w:val="center"/>
              <w:ind w:left="194"/>
              <w:spacing w:after="0"/>
              <w:rPr>
                <w:sz w:val="20"/>
                <w:szCs w:val="20"/>
                <w:color w:val="auto"/>
              </w:rPr>
            </w:pPr>
            <w:r>
              <w:rPr>
                <w:rFonts w:ascii="Arial" w:cs="Arial" w:eastAsia="Arial" w:hAnsi="Arial"/>
                <w:sz w:val="14"/>
                <w:szCs w:val="14"/>
                <w:b w:val="1"/>
                <w:bCs w:val="1"/>
                <w:color w:val="FFFFFF"/>
                <w:w w:val="98"/>
              </w:rPr>
              <w:t>Age</w:t>
            </w:r>
          </w:p>
        </w:tc>
        <w:tc>
          <w:tcPr>
            <w:tcW w:w="900" w:type="dxa"/>
            <w:vAlign w:val="bottom"/>
            <w:shd w:val="clear" w:color="auto" w:fill="525252"/>
          </w:tcPr>
          <w:p>
            <w:pPr>
              <w:jc w:val="center"/>
              <w:spacing w:after="0"/>
              <w:rPr>
                <w:sz w:val="20"/>
                <w:szCs w:val="20"/>
                <w:color w:val="auto"/>
              </w:rPr>
            </w:pPr>
            <w:r>
              <w:rPr>
                <w:rFonts w:ascii="Arial" w:cs="Arial" w:eastAsia="Arial" w:hAnsi="Arial"/>
                <w:sz w:val="14"/>
                <w:szCs w:val="14"/>
                <w:b w:val="1"/>
                <w:bCs w:val="1"/>
                <w:color w:val="FFFFFF"/>
              </w:rPr>
              <w:t>Since</w:t>
            </w:r>
          </w:p>
        </w:tc>
        <w:tc>
          <w:tcPr>
            <w:tcW w:w="260" w:type="dxa"/>
            <w:vAlign w:val="bottom"/>
            <w:shd w:val="clear" w:color="auto" w:fill="525252"/>
          </w:tcPr>
          <w:p>
            <w:pPr>
              <w:spacing w:after="0"/>
              <w:rPr>
                <w:sz w:val="17"/>
                <w:szCs w:val="17"/>
                <w:color w:val="auto"/>
              </w:rPr>
            </w:pPr>
          </w:p>
        </w:tc>
        <w:tc>
          <w:tcPr>
            <w:tcW w:w="4880" w:type="dxa"/>
            <w:vAlign w:val="bottom"/>
            <w:shd w:val="clear" w:color="auto" w:fill="525252"/>
          </w:tcPr>
          <w:p>
            <w:pPr>
              <w:ind w:left="1620"/>
              <w:spacing w:after="0"/>
              <w:rPr>
                <w:sz w:val="20"/>
                <w:szCs w:val="20"/>
                <w:color w:val="auto"/>
              </w:rPr>
            </w:pPr>
            <w:r>
              <w:rPr>
                <w:rFonts w:ascii="Arial" w:cs="Arial" w:eastAsia="Arial" w:hAnsi="Arial"/>
                <w:sz w:val="14"/>
                <w:szCs w:val="14"/>
                <w:b w:val="1"/>
                <w:bCs w:val="1"/>
                <w:color w:val="FFFFFF"/>
              </w:rPr>
              <w:t>Principal Occupation</w:t>
            </w:r>
          </w:p>
        </w:tc>
        <w:tc>
          <w:tcPr>
            <w:tcW w:w="200" w:type="dxa"/>
            <w:vAlign w:val="bottom"/>
            <w:shd w:val="clear" w:color="auto" w:fill="525252"/>
          </w:tcPr>
          <w:p>
            <w:pPr>
              <w:spacing w:after="0"/>
              <w:rPr>
                <w:sz w:val="17"/>
                <w:szCs w:val="17"/>
                <w:color w:val="auto"/>
              </w:rPr>
            </w:pPr>
          </w:p>
        </w:tc>
        <w:tc>
          <w:tcPr>
            <w:tcW w:w="1960" w:type="dxa"/>
            <w:vAlign w:val="bottom"/>
            <w:shd w:val="clear" w:color="auto" w:fill="525252"/>
          </w:tcPr>
          <w:p>
            <w:pPr>
              <w:ind w:left="440"/>
              <w:spacing w:after="0"/>
              <w:rPr>
                <w:sz w:val="20"/>
                <w:szCs w:val="20"/>
                <w:color w:val="auto"/>
              </w:rPr>
            </w:pPr>
            <w:r>
              <w:rPr>
                <w:rFonts w:ascii="Arial" w:cs="Arial" w:eastAsia="Arial" w:hAnsi="Arial"/>
                <w:sz w:val="14"/>
                <w:szCs w:val="14"/>
                <w:b w:val="1"/>
                <w:bCs w:val="1"/>
                <w:color w:val="FFFFFF"/>
              </w:rPr>
              <w:t>Committee(s)</w:t>
            </w:r>
          </w:p>
        </w:tc>
      </w:tr>
      <w:tr>
        <w:trPr>
          <w:trHeight w:val="211"/>
        </w:trPr>
        <w:tc>
          <w:tcPr>
            <w:tcW w:w="1880" w:type="dxa"/>
            <w:vAlign w:val="bottom"/>
          </w:tcPr>
          <w:p>
            <w:pPr>
              <w:ind w:left="40"/>
              <w:spacing w:after="0"/>
              <w:rPr>
                <w:sz w:val="20"/>
                <w:szCs w:val="20"/>
                <w:color w:val="auto"/>
              </w:rPr>
            </w:pPr>
            <w:r>
              <w:rPr>
                <w:rFonts w:ascii="Arial" w:cs="Arial" w:eastAsia="Arial" w:hAnsi="Arial"/>
                <w:sz w:val="18"/>
                <w:szCs w:val="18"/>
                <w:color w:val="auto"/>
              </w:rPr>
              <w:t>Jan A. Bertsch</w:t>
            </w:r>
          </w:p>
        </w:tc>
        <w:tc>
          <w:tcPr>
            <w:tcW w:w="980" w:type="dxa"/>
            <w:vAlign w:val="bottom"/>
          </w:tcPr>
          <w:p>
            <w:pPr>
              <w:jc w:val="center"/>
              <w:ind w:left="214"/>
              <w:spacing w:after="0"/>
              <w:rPr>
                <w:sz w:val="20"/>
                <w:szCs w:val="20"/>
                <w:color w:val="auto"/>
              </w:rPr>
            </w:pPr>
            <w:r>
              <w:rPr>
                <w:rFonts w:ascii="Arial" w:cs="Arial" w:eastAsia="Arial" w:hAnsi="Arial"/>
                <w:sz w:val="18"/>
                <w:szCs w:val="18"/>
                <w:color w:val="auto"/>
                <w:w w:val="99"/>
              </w:rPr>
              <w:t>61</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2013</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4880" w:type="dxa"/>
            <w:vAlign w:val="bottom"/>
          </w:tcPr>
          <w:p>
            <w:pPr>
              <w:ind w:left="60"/>
              <w:spacing w:after="0"/>
              <w:rPr>
                <w:sz w:val="20"/>
                <w:szCs w:val="20"/>
                <w:color w:val="auto"/>
              </w:rPr>
            </w:pPr>
            <w:r>
              <w:rPr>
                <w:rFonts w:ascii="Arial" w:cs="Arial" w:eastAsia="Arial" w:hAnsi="Arial"/>
                <w:sz w:val="18"/>
                <w:szCs w:val="18"/>
                <w:color w:val="auto"/>
              </w:rPr>
              <w:t>Chief Financial Officer, Owens-Illinois, Inc.</w:t>
            </w:r>
          </w:p>
        </w:tc>
        <w:tc>
          <w:tcPr>
            <w:tcW w:w="2160" w:type="dxa"/>
            <w:vAlign w:val="bottom"/>
            <w:gridSpan w:val="2"/>
          </w:tcPr>
          <w:p>
            <w:pPr>
              <w:ind w:left="80"/>
              <w:spacing w:after="0"/>
              <w:rPr>
                <w:sz w:val="20"/>
                <w:szCs w:val="20"/>
                <w:color w:val="auto"/>
              </w:rPr>
            </w:pPr>
            <w:r>
              <w:rPr>
                <w:rFonts w:ascii="Arial" w:cs="Arial" w:eastAsia="Arial" w:hAnsi="Arial"/>
                <w:sz w:val="18"/>
                <w:szCs w:val="18"/>
                <w:color w:val="auto"/>
              </w:rPr>
              <w:t>• Audit and Finance</w:t>
            </w:r>
          </w:p>
        </w:tc>
      </w:tr>
      <w:tr>
        <w:trPr>
          <w:trHeight w:val="221"/>
        </w:trPr>
        <w:tc>
          <w:tcPr>
            <w:tcW w:w="1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4880" w:type="dxa"/>
            <w:vAlign w:val="bottom"/>
          </w:tcPr>
          <w:p>
            <w:pPr>
              <w:ind w:left="60"/>
              <w:spacing w:after="0"/>
              <w:rPr>
                <w:sz w:val="20"/>
                <w:szCs w:val="20"/>
                <w:color w:val="auto"/>
              </w:rPr>
            </w:pPr>
            <w:r>
              <w:rPr>
                <w:rFonts w:ascii="Arial" w:cs="Arial" w:eastAsia="Arial" w:hAnsi="Arial"/>
                <w:sz w:val="18"/>
                <w:szCs w:val="18"/>
                <w:color w:val="auto"/>
              </w:rPr>
              <w:t>Former Executive Vice President and Chief Financial</w:t>
            </w:r>
          </w:p>
        </w:tc>
        <w:tc>
          <w:tcPr>
            <w:tcW w:w="200" w:type="dxa"/>
            <w:vAlign w:val="bottom"/>
          </w:tcPr>
          <w:p>
            <w:pPr>
              <w:spacing w:after="0"/>
              <w:rPr>
                <w:sz w:val="19"/>
                <w:szCs w:val="19"/>
                <w:color w:val="auto"/>
              </w:rPr>
            </w:pPr>
          </w:p>
        </w:tc>
        <w:tc>
          <w:tcPr>
            <w:tcW w:w="1960" w:type="dxa"/>
            <w:vAlign w:val="bottom"/>
          </w:tcPr>
          <w:p>
            <w:pPr>
              <w:ind w:left="60"/>
              <w:spacing w:after="0"/>
              <w:rPr>
                <w:sz w:val="20"/>
                <w:szCs w:val="20"/>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Chair</w:t>
            </w:r>
          </w:p>
        </w:tc>
      </w:tr>
      <w:tr>
        <w:trPr>
          <w:trHeight w:val="203"/>
        </w:trPr>
        <w:tc>
          <w:tcPr>
            <w:tcW w:w="1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80" w:type="dxa"/>
            <w:vAlign w:val="bottom"/>
          </w:tcPr>
          <w:p>
            <w:pPr>
              <w:ind w:left="60"/>
              <w:spacing w:after="0" w:line="202" w:lineRule="exact"/>
              <w:rPr>
                <w:sz w:val="20"/>
                <w:szCs w:val="20"/>
                <w:color w:val="auto"/>
              </w:rPr>
            </w:pPr>
            <w:r>
              <w:rPr>
                <w:rFonts w:ascii="Arial" w:cs="Arial" w:eastAsia="Arial" w:hAnsi="Arial"/>
                <w:sz w:val="18"/>
                <w:szCs w:val="18"/>
                <w:color w:val="auto"/>
              </w:rPr>
              <w:t>Officer, Sigma-Aldrich Corporation</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960" w:type="dxa"/>
            <w:vAlign w:val="bottom"/>
          </w:tcPr>
          <w:p>
            <w:pPr>
              <w:ind w:left="60"/>
              <w:spacing w:after="0" w:line="202" w:lineRule="exact"/>
              <w:rPr>
                <w:sz w:val="20"/>
                <w:szCs w:val="20"/>
                <w:color w:val="auto"/>
              </w:rPr>
            </w:pPr>
            <w:r>
              <w:rPr>
                <w:rFonts w:ascii="Arial" w:cs="Arial" w:eastAsia="Arial" w:hAnsi="Arial"/>
                <w:sz w:val="18"/>
                <w:szCs w:val="18"/>
                <w:color w:val="auto"/>
              </w:rPr>
              <w:t>Compensation</w:t>
            </w:r>
          </w:p>
        </w:tc>
      </w:tr>
      <w:tr>
        <w:trPr>
          <w:trHeight w:val="203"/>
        </w:trPr>
        <w:tc>
          <w:tcPr>
            <w:tcW w:w="1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4880" w:type="dxa"/>
            <w:vAlign w:val="bottom"/>
          </w:tcPr>
          <w:p>
            <w:pPr>
              <w:ind w:left="60"/>
              <w:spacing w:after="0" w:line="202" w:lineRule="exact"/>
              <w:rPr>
                <w:sz w:val="20"/>
                <w:szCs w:val="20"/>
                <w:color w:val="auto"/>
              </w:rPr>
            </w:pPr>
            <w:r>
              <w:rPr>
                <w:rFonts w:ascii="Arial" w:cs="Arial" w:eastAsia="Arial" w:hAnsi="Arial"/>
                <w:sz w:val="18"/>
                <w:szCs w:val="18"/>
                <w:color w:val="auto"/>
              </w:rPr>
              <w:t>Former Vice President and Principal Accounting Officer,</w:t>
            </w:r>
          </w:p>
        </w:tc>
        <w:tc>
          <w:tcPr>
            <w:tcW w:w="20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24"/>
        </w:trPr>
        <w:tc>
          <w:tcPr>
            <w:tcW w:w="1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80" w:type="dxa"/>
            <w:vAlign w:val="bottom"/>
          </w:tcPr>
          <w:p>
            <w:pPr>
              <w:ind w:left="60"/>
              <w:spacing w:after="0"/>
              <w:rPr>
                <w:sz w:val="20"/>
                <w:szCs w:val="20"/>
                <w:color w:val="auto"/>
              </w:rPr>
            </w:pPr>
            <w:r>
              <w:rPr>
                <w:rFonts w:ascii="Arial" w:cs="Arial" w:eastAsia="Arial" w:hAnsi="Arial"/>
                <w:sz w:val="18"/>
                <w:szCs w:val="18"/>
                <w:color w:val="auto"/>
              </w:rPr>
              <w:t>Borg Warner, Inc.</w:t>
            </w:r>
          </w:p>
        </w:tc>
        <w:tc>
          <w:tcPr>
            <w:tcW w:w="20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5"/>
        </w:trPr>
        <w:tc>
          <w:tcPr>
            <w:tcW w:w="1880" w:type="dxa"/>
            <w:vAlign w:val="bottom"/>
            <w:shd w:val="clear" w:color="auto" w:fill="E0E0E0"/>
          </w:tcPr>
          <w:p>
            <w:pPr>
              <w:ind w:left="40"/>
              <w:spacing w:after="0"/>
              <w:rPr>
                <w:sz w:val="20"/>
                <w:szCs w:val="20"/>
                <w:color w:val="auto"/>
              </w:rPr>
            </w:pPr>
            <w:r>
              <w:rPr>
                <w:rFonts w:ascii="Arial" w:cs="Arial" w:eastAsia="Arial" w:hAnsi="Arial"/>
                <w:sz w:val="18"/>
                <w:szCs w:val="18"/>
                <w:color w:val="auto"/>
              </w:rPr>
              <w:t>James M. Jaska</w:t>
            </w:r>
          </w:p>
        </w:tc>
        <w:tc>
          <w:tcPr>
            <w:tcW w:w="980" w:type="dxa"/>
            <w:vAlign w:val="bottom"/>
            <w:shd w:val="clear" w:color="auto" w:fill="E0E0E0"/>
          </w:tcPr>
          <w:p>
            <w:pPr>
              <w:jc w:val="center"/>
              <w:ind w:left="214"/>
              <w:spacing w:after="0"/>
              <w:rPr>
                <w:sz w:val="20"/>
                <w:szCs w:val="20"/>
                <w:color w:val="auto"/>
              </w:rPr>
            </w:pPr>
            <w:r>
              <w:rPr>
                <w:rFonts w:ascii="Arial" w:cs="Arial" w:eastAsia="Arial" w:hAnsi="Arial"/>
                <w:sz w:val="18"/>
                <w:szCs w:val="18"/>
                <w:color w:val="auto"/>
                <w:w w:val="99"/>
              </w:rPr>
              <w:t>67</w:t>
            </w:r>
          </w:p>
        </w:tc>
        <w:tc>
          <w:tcPr>
            <w:tcW w:w="900" w:type="dxa"/>
            <w:vAlign w:val="bottom"/>
            <w:shd w:val="clear" w:color="auto" w:fill="E0E0E0"/>
          </w:tcPr>
          <w:p>
            <w:pPr>
              <w:jc w:val="center"/>
              <w:spacing w:after="0"/>
              <w:rPr>
                <w:sz w:val="20"/>
                <w:szCs w:val="20"/>
                <w:color w:val="auto"/>
              </w:rPr>
            </w:pPr>
            <w:r>
              <w:rPr>
                <w:rFonts w:ascii="Arial" w:cs="Arial" w:eastAsia="Arial" w:hAnsi="Arial"/>
                <w:sz w:val="18"/>
                <w:szCs w:val="18"/>
                <w:color w:val="auto"/>
                <w:w w:val="99"/>
              </w:rPr>
              <w:t>2016</w:t>
            </w:r>
          </w:p>
        </w:tc>
        <w:tc>
          <w:tcPr>
            <w:tcW w:w="260" w:type="dxa"/>
            <w:vAlign w:val="bottom"/>
            <w:shd w:val="clear" w:color="auto" w:fill="E0E0E0"/>
          </w:tcPr>
          <w:p>
            <w:pPr>
              <w:ind w:left="160"/>
              <w:spacing w:after="0"/>
              <w:rPr>
                <w:sz w:val="20"/>
                <w:szCs w:val="20"/>
                <w:color w:val="auto"/>
              </w:rPr>
            </w:pPr>
            <w:r>
              <w:rPr>
                <w:rFonts w:ascii="Arial" w:cs="Arial" w:eastAsia="Arial" w:hAnsi="Arial"/>
                <w:sz w:val="18"/>
                <w:szCs w:val="18"/>
                <w:color w:val="auto"/>
              </w:rPr>
              <w:t>•</w:t>
            </w:r>
          </w:p>
        </w:tc>
        <w:tc>
          <w:tcPr>
            <w:tcW w:w="4880" w:type="dxa"/>
            <w:vAlign w:val="bottom"/>
            <w:shd w:val="clear" w:color="auto" w:fill="E0E0E0"/>
          </w:tcPr>
          <w:p>
            <w:pPr>
              <w:ind w:left="60"/>
              <w:spacing w:after="0"/>
              <w:rPr>
                <w:sz w:val="20"/>
                <w:szCs w:val="20"/>
                <w:color w:val="auto"/>
              </w:rPr>
            </w:pPr>
            <w:r>
              <w:rPr>
                <w:rFonts w:ascii="Arial" w:cs="Arial" w:eastAsia="Arial" w:hAnsi="Arial"/>
                <w:sz w:val="18"/>
                <w:szCs w:val="18"/>
                <w:color w:val="auto"/>
              </w:rPr>
              <w:t>President, Valiant Integrated Services LLC</w:t>
            </w:r>
          </w:p>
        </w:tc>
        <w:tc>
          <w:tcPr>
            <w:tcW w:w="200" w:type="dxa"/>
            <w:vAlign w:val="bottom"/>
            <w:shd w:val="clear" w:color="auto" w:fill="E0E0E0"/>
          </w:tcPr>
          <w:p>
            <w:pPr>
              <w:ind w:left="80"/>
              <w:spacing w:after="0"/>
              <w:rPr>
                <w:sz w:val="20"/>
                <w:szCs w:val="20"/>
                <w:color w:val="auto"/>
              </w:rPr>
            </w:pPr>
            <w:r>
              <w:rPr>
                <w:rFonts w:ascii="Arial" w:cs="Arial" w:eastAsia="Arial" w:hAnsi="Arial"/>
                <w:sz w:val="18"/>
                <w:szCs w:val="18"/>
                <w:color w:val="auto"/>
              </w:rPr>
              <w:t>•</w:t>
            </w:r>
          </w:p>
        </w:tc>
        <w:tc>
          <w:tcPr>
            <w:tcW w:w="1960" w:type="dxa"/>
            <w:vAlign w:val="bottom"/>
            <w:shd w:val="clear" w:color="auto" w:fill="E0E0E0"/>
          </w:tcPr>
          <w:p>
            <w:pPr>
              <w:ind w:left="60"/>
              <w:spacing w:after="0"/>
              <w:rPr>
                <w:sz w:val="20"/>
                <w:szCs w:val="20"/>
                <w:color w:val="auto"/>
              </w:rPr>
            </w:pPr>
            <w:r>
              <w:rPr>
                <w:rFonts w:ascii="Arial" w:cs="Arial" w:eastAsia="Arial" w:hAnsi="Arial"/>
                <w:sz w:val="18"/>
                <w:szCs w:val="18"/>
                <w:color w:val="auto"/>
              </w:rPr>
              <w:t xml:space="preserve">Governance </w:t>
            </w:r>
            <w:r>
              <w:rPr>
                <w:rFonts w:ascii="Arial" w:cs="Arial" w:eastAsia="Arial" w:hAnsi="Arial"/>
                <w:sz w:val="18"/>
                <w:szCs w:val="18"/>
                <w:i w:val="1"/>
                <w:iCs w:val="1"/>
                <w:color w:val="auto"/>
              </w:rPr>
              <w:t>—</w:t>
            </w:r>
            <w:r>
              <w:rPr>
                <w:rFonts w:ascii="Arial" w:cs="Arial" w:eastAsia="Arial" w:hAnsi="Arial"/>
                <w:sz w:val="18"/>
                <w:szCs w:val="18"/>
                <w:color w:val="auto"/>
              </w:rPr>
              <w:t xml:space="preserve"> Chair</w:t>
            </w:r>
          </w:p>
        </w:tc>
      </w:tr>
      <w:tr>
        <w:trPr>
          <w:trHeight w:val="203"/>
        </w:trPr>
        <w:tc>
          <w:tcPr>
            <w:tcW w:w="1880" w:type="dxa"/>
            <w:vAlign w:val="bottom"/>
            <w:shd w:val="clear" w:color="auto" w:fill="E0E0E0"/>
          </w:tcPr>
          <w:p>
            <w:pPr>
              <w:spacing w:after="0"/>
              <w:rPr>
                <w:sz w:val="17"/>
                <w:szCs w:val="17"/>
                <w:color w:val="auto"/>
              </w:rPr>
            </w:pPr>
          </w:p>
        </w:tc>
        <w:tc>
          <w:tcPr>
            <w:tcW w:w="980" w:type="dxa"/>
            <w:vAlign w:val="bottom"/>
            <w:shd w:val="clear" w:color="auto" w:fill="E0E0E0"/>
          </w:tcPr>
          <w:p>
            <w:pPr>
              <w:spacing w:after="0"/>
              <w:rPr>
                <w:sz w:val="17"/>
                <w:szCs w:val="17"/>
                <w:color w:val="auto"/>
              </w:rPr>
            </w:pPr>
          </w:p>
        </w:tc>
        <w:tc>
          <w:tcPr>
            <w:tcW w:w="900" w:type="dxa"/>
            <w:vAlign w:val="bottom"/>
            <w:shd w:val="clear" w:color="auto" w:fill="E0E0E0"/>
          </w:tcPr>
          <w:p>
            <w:pPr>
              <w:spacing w:after="0"/>
              <w:rPr>
                <w:sz w:val="17"/>
                <w:szCs w:val="17"/>
                <w:color w:val="auto"/>
              </w:rPr>
            </w:pPr>
          </w:p>
        </w:tc>
        <w:tc>
          <w:tcPr>
            <w:tcW w:w="260" w:type="dxa"/>
            <w:vAlign w:val="bottom"/>
            <w:shd w:val="clear" w:color="auto" w:fill="E0E0E0"/>
          </w:tcPr>
          <w:p>
            <w:pPr>
              <w:ind w:left="160"/>
              <w:spacing w:after="0" w:line="202" w:lineRule="exact"/>
              <w:rPr>
                <w:sz w:val="20"/>
                <w:szCs w:val="20"/>
                <w:color w:val="auto"/>
              </w:rPr>
            </w:pPr>
            <w:r>
              <w:rPr>
                <w:rFonts w:ascii="Arial" w:cs="Arial" w:eastAsia="Arial" w:hAnsi="Arial"/>
                <w:sz w:val="18"/>
                <w:szCs w:val="18"/>
                <w:color w:val="auto"/>
              </w:rPr>
              <w:t>•</w:t>
            </w:r>
          </w:p>
        </w:tc>
        <w:tc>
          <w:tcPr>
            <w:tcW w:w="4880" w:type="dxa"/>
            <w:vAlign w:val="bottom"/>
            <w:shd w:val="clear" w:color="auto" w:fill="E0E0E0"/>
          </w:tcPr>
          <w:p>
            <w:pPr>
              <w:ind w:left="60"/>
              <w:spacing w:after="0" w:line="202" w:lineRule="exact"/>
              <w:rPr>
                <w:sz w:val="20"/>
                <w:szCs w:val="20"/>
                <w:color w:val="auto"/>
              </w:rPr>
            </w:pPr>
            <w:r>
              <w:rPr>
                <w:rFonts w:ascii="Arial" w:cs="Arial" w:eastAsia="Arial" w:hAnsi="Arial"/>
                <w:sz w:val="18"/>
                <w:szCs w:val="18"/>
                <w:color w:val="auto"/>
              </w:rPr>
              <w:t>Former Director, President, Government for AECOM</w:t>
            </w:r>
          </w:p>
        </w:tc>
        <w:tc>
          <w:tcPr>
            <w:tcW w:w="200" w:type="dxa"/>
            <w:vAlign w:val="bottom"/>
            <w:shd w:val="clear" w:color="auto" w:fill="E0E0E0"/>
          </w:tcPr>
          <w:p>
            <w:pPr>
              <w:ind w:left="80"/>
              <w:spacing w:after="0" w:line="202" w:lineRule="exact"/>
              <w:rPr>
                <w:sz w:val="20"/>
                <w:szCs w:val="20"/>
                <w:color w:val="auto"/>
              </w:rPr>
            </w:pPr>
            <w:r>
              <w:rPr>
                <w:rFonts w:ascii="Arial" w:cs="Arial" w:eastAsia="Arial" w:hAnsi="Arial"/>
                <w:sz w:val="18"/>
                <w:szCs w:val="18"/>
                <w:color w:val="auto"/>
              </w:rPr>
              <w:t>•</w:t>
            </w:r>
          </w:p>
        </w:tc>
        <w:tc>
          <w:tcPr>
            <w:tcW w:w="1960" w:type="dxa"/>
            <w:vAlign w:val="bottom"/>
            <w:shd w:val="clear" w:color="auto" w:fill="E0E0E0"/>
          </w:tcPr>
          <w:p>
            <w:pPr>
              <w:ind w:left="60"/>
              <w:spacing w:after="0" w:line="202" w:lineRule="exact"/>
              <w:rPr>
                <w:sz w:val="20"/>
                <w:szCs w:val="20"/>
                <w:color w:val="auto"/>
              </w:rPr>
            </w:pPr>
            <w:r>
              <w:rPr>
                <w:rFonts w:ascii="Arial" w:cs="Arial" w:eastAsia="Arial" w:hAnsi="Arial"/>
                <w:sz w:val="18"/>
                <w:szCs w:val="18"/>
                <w:color w:val="auto"/>
              </w:rPr>
              <w:t>Safety and Security</w:t>
            </w:r>
          </w:p>
        </w:tc>
      </w:tr>
      <w:tr>
        <w:trPr>
          <w:trHeight w:val="203"/>
        </w:trPr>
        <w:tc>
          <w:tcPr>
            <w:tcW w:w="1880" w:type="dxa"/>
            <w:vAlign w:val="bottom"/>
            <w:shd w:val="clear" w:color="auto" w:fill="E0E0E0"/>
          </w:tcPr>
          <w:p>
            <w:pPr>
              <w:spacing w:after="0"/>
              <w:rPr>
                <w:sz w:val="17"/>
                <w:szCs w:val="17"/>
                <w:color w:val="auto"/>
              </w:rPr>
            </w:pPr>
          </w:p>
        </w:tc>
        <w:tc>
          <w:tcPr>
            <w:tcW w:w="980" w:type="dxa"/>
            <w:vAlign w:val="bottom"/>
            <w:shd w:val="clear" w:color="auto" w:fill="E0E0E0"/>
          </w:tcPr>
          <w:p>
            <w:pPr>
              <w:spacing w:after="0"/>
              <w:rPr>
                <w:sz w:val="17"/>
                <w:szCs w:val="17"/>
                <w:color w:val="auto"/>
              </w:rPr>
            </w:pPr>
          </w:p>
        </w:tc>
        <w:tc>
          <w:tcPr>
            <w:tcW w:w="900" w:type="dxa"/>
            <w:vAlign w:val="bottom"/>
            <w:shd w:val="clear" w:color="auto" w:fill="E0E0E0"/>
          </w:tcPr>
          <w:p>
            <w:pPr>
              <w:spacing w:after="0"/>
              <w:rPr>
                <w:sz w:val="17"/>
                <w:szCs w:val="17"/>
                <w:color w:val="auto"/>
              </w:rPr>
            </w:pPr>
          </w:p>
        </w:tc>
        <w:tc>
          <w:tcPr>
            <w:tcW w:w="260" w:type="dxa"/>
            <w:vAlign w:val="bottom"/>
            <w:shd w:val="clear" w:color="auto" w:fill="E0E0E0"/>
          </w:tcPr>
          <w:p>
            <w:pPr>
              <w:spacing w:after="0"/>
              <w:rPr>
                <w:sz w:val="17"/>
                <w:szCs w:val="17"/>
                <w:color w:val="auto"/>
              </w:rPr>
            </w:pPr>
          </w:p>
        </w:tc>
        <w:tc>
          <w:tcPr>
            <w:tcW w:w="4880" w:type="dxa"/>
            <w:vAlign w:val="bottom"/>
            <w:shd w:val="clear" w:color="auto" w:fill="E0E0E0"/>
          </w:tcPr>
          <w:p>
            <w:pPr>
              <w:ind w:left="60"/>
              <w:spacing w:after="0" w:line="202" w:lineRule="exact"/>
              <w:rPr>
                <w:sz w:val="20"/>
                <w:szCs w:val="20"/>
                <w:color w:val="auto"/>
              </w:rPr>
            </w:pPr>
            <w:r>
              <w:rPr>
                <w:rFonts w:ascii="Arial" w:cs="Arial" w:eastAsia="Arial" w:hAnsi="Arial"/>
                <w:sz w:val="18"/>
                <w:szCs w:val="18"/>
                <w:color w:val="auto"/>
              </w:rPr>
              <w:t>(formerly AECOM Technology Corporation)</w:t>
            </w:r>
          </w:p>
        </w:tc>
        <w:tc>
          <w:tcPr>
            <w:tcW w:w="200" w:type="dxa"/>
            <w:vAlign w:val="bottom"/>
            <w:shd w:val="clear" w:color="auto" w:fill="E0E0E0"/>
          </w:tcPr>
          <w:p>
            <w:pPr>
              <w:spacing w:after="0"/>
              <w:rPr>
                <w:sz w:val="17"/>
                <w:szCs w:val="17"/>
                <w:color w:val="auto"/>
              </w:rPr>
            </w:pPr>
          </w:p>
        </w:tc>
        <w:tc>
          <w:tcPr>
            <w:tcW w:w="1960" w:type="dxa"/>
            <w:vAlign w:val="bottom"/>
            <w:shd w:val="clear" w:color="auto" w:fill="E0E0E0"/>
          </w:tcPr>
          <w:p>
            <w:pPr>
              <w:spacing w:after="0"/>
              <w:rPr>
                <w:sz w:val="17"/>
                <w:szCs w:val="17"/>
                <w:color w:val="auto"/>
              </w:rPr>
            </w:pPr>
          </w:p>
        </w:tc>
      </w:tr>
      <w:tr>
        <w:trPr>
          <w:trHeight w:val="203"/>
        </w:trPr>
        <w:tc>
          <w:tcPr>
            <w:tcW w:w="1880" w:type="dxa"/>
            <w:vAlign w:val="bottom"/>
            <w:shd w:val="clear" w:color="auto" w:fill="E0E0E0"/>
          </w:tcPr>
          <w:p>
            <w:pPr>
              <w:spacing w:after="0"/>
              <w:rPr>
                <w:sz w:val="17"/>
                <w:szCs w:val="17"/>
                <w:color w:val="auto"/>
              </w:rPr>
            </w:pPr>
          </w:p>
        </w:tc>
        <w:tc>
          <w:tcPr>
            <w:tcW w:w="980" w:type="dxa"/>
            <w:vAlign w:val="bottom"/>
            <w:shd w:val="clear" w:color="auto" w:fill="E0E0E0"/>
          </w:tcPr>
          <w:p>
            <w:pPr>
              <w:spacing w:after="0"/>
              <w:rPr>
                <w:sz w:val="17"/>
                <w:szCs w:val="17"/>
                <w:color w:val="auto"/>
              </w:rPr>
            </w:pPr>
          </w:p>
        </w:tc>
        <w:tc>
          <w:tcPr>
            <w:tcW w:w="900" w:type="dxa"/>
            <w:vAlign w:val="bottom"/>
            <w:shd w:val="clear" w:color="auto" w:fill="E0E0E0"/>
          </w:tcPr>
          <w:p>
            <w:pPr>
              <w:spacing w:after="0"/>
              <w:rPr>
                <w:sz w:val="17"/>
                <w:szCs w:val="17"/>
                <w:color w:val="auto"/>
              </w:rPr>
            </w:pPr>
          </w:p>
        </w:tc>
        <w:tc>
          <w:tcPr>
            <w:tcW w:w="260" w:type="dxa"/>
            <w:vAlign w:val="bottom"/>
            <w:shd w:val="clear" w:color="auto" w:fill="E0E0E0"/>
          </w:tcPr>
          <w:p>
            <w:pPr>
              <w:ind w:left="160"/>
              <w:spacing w:after="0" w:line="202" w:lineRule="exact"/>
              <w:rPr>
                <w:sz w:val="20"/>
                <w:szCs w:val="20"/>
                <w:color w:val="auto"/>
              </w:rPr>
            </w:pPr>
            <w:r>
              <w:rPr>
                <w:rFonts w:ascii="Arial" w:cs="Arial" w:eastAsia="Arial" w:hAnsi="Arial"/>
                <w:sz w:val="18"/>
                <w:szCs w:val="18"/>
                <w:color w:val="auto"/>
              </w:rPr>
              <w:t>•</w:t>
            </w:r>
          </w:p>
        </w:tc>
        <w:tc>
          <w:tcPr>
            <w:tcW w:w="4880" w:type="dxa"/>
            <w:vAlign w:val="bottom"/>
            <w:shd w:val="clear" w:color="auto" w:fill="E0E0E0"/>
          </w:tcPr>
          <w:p>
            <w:pPr>
              <w:ind w:left="60"/>
              <w:spacing w:after="0" w:line="202" w:lineRule="exact"/>
              <w:rPr>
                <w:sz w:val="20"/>
                <w:szCs w:val="20"/>
                <w:color w:val="auto"/>
              </w:rPr>
            </w:pPr>
            <w:r>
              <w:rPr>
                <w:rFonts w:ascii="Arial" w:cs="Arial" w:eastAsia="Arial" w:hAnsi="Arial"/>
                <w:sz w:val="18"/>
                <w:szCs w:val="18"/>
                <w:color w:val="auto"/>
              </w:rPr>
              <w:t>Former President, Chief Financial Officer and Treasurer,</w:t>
            </w:r>
          </w:p>
        </w:tc>
        <w:tc>
          <w:tcPr>
            <w:tcW w:w="200" w:type="dxa"/>
            <w:vAlign w:val="bottom"/>
            <w:shd w:val="clear" w:color="auto" w:fill="E0E0E0"/>
          </w:tcPr>
          <w:p>
            <w:pPr>
              <w:spacing w:after="0"/>
              <w:rPr>
                <w:sz w:val="17"/>
                <w:szCs w:val="17"/>
                <w:color w:val="auto"/>
              </w:rPr>
            </w:pPr>
          </w:p>
        </w:tc>
        <w:tc>
          <w:tcPr>
            <w:tcW w:w="1960" w:type="dxa"/>
            <w:vAlign w:val="bottom"/>
            <w:shd w:val="clear" w:color="auto" w:fill="E0E0E0"/>
          </w:tcPr>
          <w:p>
            <w:pPr>
              <w:spacing w:after="0"/>
              <w:rPr>
                <w:sz w:val="17"/>
                <w:szCs w:val="17"/>
                <w:color w:val="auto"/>
              </w:rPr>
            </w:pPr>
          </w:p>
        </w:tc>
      </w:tr>
      <w:tr>
        <w:trPr>
          <w:trHeight w:val="230"/>
        </w:trPr>
        <w:tc>
          <w:tcPr>
            <w:tcW w:w="1880" w:type="dxa"/>
            <w:vAlign w:val="bottom"/>
            <w:shd w:val="clear" w:color="auto" w:fill="E0E0E0"/>
          </w:tcPr>
          <w:p>
            <w:pPr>
              <w:spacing w:after="0"/>
              <w:rPr>
                <w:sz w:val="20"/>
                <w:szCs w:val="20"/>
                <w:color w:val="auto"/>
              </w:rPr>
            </w:pPr>
          </w:p>
        </w:tc>
        <w:tc>
          <w:tcPr>
            <w:tcW w:w="980" w:type="dxa"/>
            <w:vAlign w:val="bottom"/>
            <w:shd w:val="clear" w:color="auto" w:fill="E0E0E0"/>
          </w:tcPr>
          <w:p>
            <w:pPr>
              <w:spacing w:after="0"/>
              <w:rPr>
                <w:sz w:val="20"/>
                <w:szCs w:val="20"/>
                <w:color w:val="auto"/>
              </w:rPr>
            </w:pPr>
          </w:p>
        </w:tc>
        <w:tc>
          <w:tcPr>
            <w:tcW w:w="900" w:type="dxa"/>
            <w:vAlign w:val="bottom"/>
            <w:shd w:val="clear" w:color="auto" w:fill="E0E0E0"/>
          </w:tcPr>
          <w:p>
            <w:pPr>
              <w:spacing w:after="0"/>
              <w:rPr>
                <w:sz w:val="20"/>
                <w:szCs w:val="20"/>
                <w:color w:val="auto"/>
              </w:rPr>
            </w:pPr>
          </w:p>
        </w:tc>
        <w:tc>
          <w:tcPr>
            <w:tcW w:w="260" w:type="dxa"/>
            <w:vAlign w:val="bottom"/>
            <w:shd w:val="clear" w:color="auto" w:fill="E0E0E0"/>
          </w:tcPr>
          <w:p>
            <w:pPr>
              <w:spacing w:after="0"/>
              <w:rPr>
                <w:sz w:val="20"/>
                <w:szCs w:val="20"/>
                <w:color w:val="auto"/>
              </w:rPr>
            </w:pPr>
          </w:p>
        </w:tc>
        <w:tc>
          <w:tcPr>
            <w:tcW w:w="4880" w:type="dxa"/>
            <w:vAlign w:val="bottom"/>
            <w:shd w:val="clear" w:color="auto" w:fill="E0E0E0"/>
          </w:tcPr>
          <w:p>
            <w:pPr>
              <w:ind w:left="60"/>
              <w:spacing w:after="0"/>
              <w:rPr>
                <w:sz w:val="20"/>
                <w:szCs w:val="20"/>
                <w:color w:val="auto"/>
              </w:rPr>
            </w:pPr>
            <w:r>
              <w:rPr>
                <w:rFonts w:ascii="Arial" w:cs="Arial" w:eastAsia="Arial" w:hAnsi="Arial"/>
                <w:sz w:val="18"/>
                <w:szCs w:val="18"/>
                <w:color w:val="auto"/>
              </w:rPr>
              <w:t>Tetra Tech, Inc.</w:t>
            </w:r>
          </w:p>
        </w:tc>
        <w:tc>
          <w:tcPr>
            <w:tcW w:w="200" w:type="dxa"/>
            <w:vAlign w:val="bottom"/>
            <w:shd w:val="clear" w:color="auto" w:fill="E0E0E0"/>
          </w:tcPr>
          <w:p>
            <w:pPr>
              <w:spacing w:after="0"/>
              <w:rPr>
                <w:sz w:val="20"/>
                <w:szCs w:val="20"/>
                <w:color w:val="auto"/>
              </w:rPr>
            </w:pPr>
          </w:p>
        </w:tc>
        <w:tc>
          <w:tcPr>
            <w:tcW w:w="1960" w:type="dxa"/>
            <w:vAlign w:val="bottom"/>
            <w:shd w:val="clear" w:color="auto" w:fill="E0E0E0"/>
          </w:tcPr>
          <w:p>
            <w:pPr>
              <w:spacing w:after="0"/>
              <w:rPr>
                <w:sz w:val="20"/>
                <w:szCs w:val="20"/>
                <w:color w:val="auto"/>
              </w:rPr>
            </w:pPr>
          </w:p>
        </w:tc>
      </w:tr>
      <w:tr>
        <w:trPr>
          <w:trHeight w:val="229"/>
        </w:trPr>
        <w:tc>
          <w:tcPr>
            <w:tcW w:w="1880" w:type="dxa"/>
            <w:vAlign w:val="bottom"/>
          </w:tcPr>
          <w:p>
            <w:pPr>
              <w:ind w:left="40"/>
              <w:spacing w:after="0"/>
              <w:rPr>
                <w:sz w:val="20"/>
                <w:szCs w:val="20"/>
                <w:color w:val="auto"/>
              </w:rPr>
            </w:pPr>
            <w:r>
              <w:rPr>
                <w:rFonts w:ascii="Arial" w:cs="Arial" w:eastAsia="Arial" w:hAnsi="Arial"/>
                <w:sz w:val="18"/>
                <w:szCs w:val="18"/>
                <w:color w:val="auto"/>
              </w:rPr>
              <w:t>Kenneth J. Krieg</w:t>
            </w:r>
          </w:p>
        </w:tc>
        <w:tc>
          <w:tcPr>
            <w:tcW w:w="980" w:type="dxa"/>
            <w:vAlign w:val="bottom"/>
          </w:tcPr>
          <w:p>
            <w:pPr>
              <w:jc w:val="center"/>
              <w:ind w:left="214"/>
              <w:spacing w:after="0"/>
              <w:rPr>
                <w:sz w:val="20"/>
                <w:szCs w:val="20"/>
                <w:color w:val="auto"/>
              </w:rPr>
            </w:pPr>
            <w:r>
              <w:rPr>
                <w:rFonts w:ascii="Arial" w:cs="Arial" w:eastAsia="Arial" w:hAnsi="Arial"/>
                <w:sz w:val="18"/>
                <w:szCs w:val="18"/>
                <w:color w:val="auto"/>
                <w:w w:val="99"/>
              </w:rPr>
              <w:t>57</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2016</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4880" w:type="dxa"/>
            <w:vAlign w:val="bottom"/>
          </w:tcPr>
          <w:p>
            <w:pPr>
              <w:ind w:left="60"/>
              <w:spacing w:after="0"/>
              <w:rPr>
                <w:sz w:val="20"/>
                <w:szCs w:val="20"/>
                <w:color w:val="auto"/>
              </w:rPr>
            </w:pPr>
            <w:r>
              <w:rPr>
                <w:rFonts w:ascii="Arial" w:cs="Arial" w:eastAsia="Arial" w:hAnsi="Arial"/>
                <w:sz w:val="18"/>
                <w:szCs w:val="18"/>
                <w:color w:val="auto"/>
              </w:rPr>
              <w:t>Founder and Principal, Samford Global Strategies</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1960" w:type="dxa"/>
            <w:vAlign w:val="bottom"/>
          </w:tcPr>
          <w:p>
            <w:pPr>
              <w:ind w:left="60"/>
              <w:spacing w:after="0"/>
              <w:rPr>
                <w:sz w:val="20"/>
                <w:szCs w:val="20"/>
                <w:color w:val="auto"/>
              </w:rPr>
            </w:pPr>
            <w:r>
              <w:rPr>
                <w:rFonts w:ascii="Arial" w:cs="Arial" w:eastAsia="Arial" w:hAnsi="Arial"/>
                <w:sz w:val="18"/>
                <w:szCs w:val="18"/>
                <w:color w:val="auto"/>
              </w:rPr>
              <w:t>Compensation</w:t>
            </w:r>
          </w:p>
        </w:tc>
      </w:tr>
      <w:tr>
        <w:trPr>
          <w:trHeight w:val="203"/>
        </w:trPr>
        <w:tc>
          <w:tcPr>
            <w:tcW w:w="1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4880" w:type="dxa"/>
            <w:vAlign w:val="bottom"/>
          </w:tcPr>
          <w:p>
            <w:pPr>
              <w:ind w:left="60"/>
              <w:spacing w:after="0" w:line="202" w:lineRule="exact"/>
              <w:rPr>
                <w:sz w:val="20"/>
                <w:szCs w:val="20"/>
                <w:color w:val="auto"/>
              </w:rPr>
            </w:pPr>
            <w:r>
              <w:rPr>
                <w:rFonts w:ascii="Arial" w:cs="Arial" w:eastAsia="Arial" w:hAnsi="Arial"/>
                <w:sz w:val="18"/>
                <w:szCs w:val="18"/>
                <w:color w:val="auto"/>
              </w:rPr>
              <w:t>Former Under Secretary of Defense for Acquisition,</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960" w:type="dxa"/>
            <w:vAlign w:val="bottom"/>
          </w:tcPr>
          <w:p>
            <w:pPr>
              <w:ind w:left="60"/>
              <w:spacing w:after="0" w:line="202" w:lineRule="exact"/>
              <w:rPr>
                <w:sz w:val="20"/>
                <w:szCs w:val="20"/>
                <w:color w:val="auto"/>
              </w:rPr>
            </w:pPr>
            <w:r>
              <w:rPr>
                <w:rFonts w:ascii="Arial" w:cs="Arial" w:eastAsia="Arial" w:hAnsi="Arial"/>
                <w:sz w:val="18"/>
                <w:szCs w:val="18"/>
                <w:color w:val="auto"/>
              </w:rPr>
              <w:t>Governance</w:t>
            </w:r>
          </w:p>
        </w:tc>
      </w:tr>
      <w:tr>
        <w:trPr>
          <w:trHeight w:val="203"/>
        </w:trPr>
        <w:tc>
          <w:tcPr>
            <w:tcW w:w="1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80" w:type="dxa"/>
            <w:vAlign w:val="bottom"/>
          </w:tcPr>
          <w:p>
            <w:pPr>
              <w:ind w:left="60"/>
              <w:spacing w:after="0" w:line="202" w:lineRule="exact"/>
              <w:rPr>
                <w:sz w:val="20"/>
                <w:szCs w:val="20"/>
                <w:color w:val="auto"/>
              </w:rPr>
            </w:pPr>
            <w:r>
              <w:rPr>
                <w:rFonts w:ascii="Arial" w:cs="Arial" w:eastAsia="Arial" w:hAnsi="Arial"/>
                <w:sz w:val="18"/>
                <w:szCs w:val="18"/>
                <w:color w:val="auto"/>
              </w:rPr>
              <w:t>Technology and Logistics, as well as a variety of other roles</w:t>
            </w:r>
          </w:p>
        </w:tc>
        <w:tc>
          <w:tcPr>
            <w:tcW w:w="20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17"/>
        </w:trPr>
        <w:tc>
          <w:tcPr>
            <w:tcW w:w="1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80" w:type="dxa"/>
            <w:vAlign w:val="bottom"/>
          </w:tcPr>
          <w:p>
            <w:pPr>
              <w:ind w:left="60"/>
              <w:spacing w:after="0"/>
              <w:rPr>
                <w:sz w:val="20"/>
                <w:szCs w:val="20"/>
                <w:color w:val="auto"/>
              </w:rPr>
            </w:pPr>
            <w:r>
              <w:rPr>
                <w:rFonts w:ascii="Arial" w:cs="Arial" w:eastAsia="Arial" w:hAnsi="Arial"/>
                <w:sz w:val="18"/>
                <w:szCs w:val="18"/>
                <w:color w:val="auto"/>
              </w:rPr>
              <w:t>with the Department of Defense</w:t>
            </w: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r>
    </w:tbl>
    <w:p>
      <w:pPr>
        <w:spacing w:after="0" w:line="94" w:lineRule="exact"/>
        <w:rPr>
          <w:sz w:val="20"/>
          <w:szCs w:val="20"/>
          <w:color w:val="auto"/>
        </w:rPr>
      </w:pPr>
    </w:p>
    <w:p>
      <w:pPr>
        <w:ind w:left="180" w:right="80"/>
        <w:spacing w:after="0" w:line="262" w:lineRule="auto"/>
        <w:rPr>
          <w:sz w:val="20"/>
          <w:szCs w:val="20"/>
          <w:color w:val="auto"/>
        </w:rPr>
      </w:pPr>
      <w:r>
        <w:rPr>
          <w:rFonts w:ascii="Arial" w:cs="Arial" w:eastAsia="Arial" w:hAnsi="Arial"/>
          <w:sz w:val="18"/>
          <w:szCs w:val="18"/>
          <w:color w:val="auto"/>
        </w:rPr>
        <w:t>Ms. Bertsch and Messrs. Jaska and Krieg attended at least 75% of the meetings of the Board of Directors and of the committees on which they each served during 2017.</w:t>
      </w:r>
    </w:p>
    <w:p>
      <w:pPr>
        <w:spacing w:after="0" w:line="12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2017 BOARD AND COMMITTEE MEETING SUMMARY</w:t>
      </w:r>
    </w:p>
    <w:p>
      <w:pPr>
        <w:spacing w:after="0" w:line="167" w:lineRule="exact"/>
        <w:rPr>
          <w:sz w:val="20"/>
          <w:szCs w:val="20"/>
          <w:color w:val="auto"/>
        </w:rPr>
      </w:pPr>
    </w:p>
    <w:tbl>
      <w:tblPr>
        <w:tblLayout w:type="fixed"/>
        <w:tblInd w:w="180" w:type="dxa"/>
        <w:tblCellMar>
          <w:top w:w="0" w:type="dxa"/>
          <w:left w:w="0" w:type="dxa"/>
          <w:bottom w:w="0" w:type="dxa"/>
          <w:right w:w="0" w:type="dxa"/>
        </w:tblCellMar>
      </w:tblPr>
      <w:tr>
        <w:trPr>
          <w:trHeight w:val="270"/>
        </w:trPr>
        <w:tc>
          <w:tcPr>
            <w:tcW w:w="4180" w:type="dxa"/>
            <w:vAlign w:val="bottom"/>
            <w:shd w:val="clear" w:color="auto" w:fill="525252"/>
          </w:tcPr>
          <w:p>
            <w:pPr>
              <w:spacing w:after="0"/>
              <w:rPr>
                <w:sz w:val="23"/>
                <w:szCs w:val="23"/>
                <w:color w:val="auto"/>
              </w:rPr>
            </w:pPr>
          </w:p>
        </w:tc>
        <w:tc>
          <w:tcPr>
            <w:tcW w:w="2880" w:type="dxa"/>
            <w:vAlign w:val="bottom"/>
            <w:shd w:val="clear" w:color="auto" w:fill="525252"/>
          </w:tcPr>
          <w:p>
            <w:pPr>
              <w:ind w:left="1660"/>
              <w:spacing w:after="0"/>
              <w:rPr>
                <w:sz w:val="20"/>
                <w:szCs w:val="20"/>
                <w:color w:val="auto"/>
              </w:rPr>
            </w:pPr>
            <w:r>
              <w:rPr>
                <w:rFonts w:ascii="Arial" w:cs="Arial" w:eastAsia="Arial" w:hAnsi="Arial"/>
                <w:sz w:val="14"/>
                <w:szCs w:val="14"/>
                <w:b w:val="1"/>
                <w:bCs w:val="1"/>
                <w:color w:val="FFFFFF"/>
              </w:rPr>
              <w:t>Members</w:t>
            </w:r>
          </w:p>
        </w:tc>
        <w:tc>
          <w:tcPr>
            <w:tcW w:w="2160" w:type="dxa"/>
            <w:vAlign w:val="bottom"/>
            <w:shd w:val="clear" w:color="auto" w:fill="525252"/>
          </w:tcPr>
          <w:p>
            <w:pPr>
              <w:ind w:left="580"/>
              <w:spacing w:after="0"/>
              <w:rPr>
                <w:sz w:val="20"/>
                <w:szCs w:val="20"/>
                <w:color w:val="auto"/>
              </w:rPr>
            </w:pPr>
            <w:r>
              <w:rPr>
                <w:rFonts w:ascii="Arial" w:cs="Arial" w:eastAsia="Arial" w:hAnsi="Arial"/>
                <w:sz w:val="14"/>
                <w:szCs w:val="14"/>
                <w:b w:val="1"/>
                <w:bCs w:val="1"/>
                <w:color w:val="FFFFFF"/>
              </w:rPr>
              <w:t>Independence</w:t>
            </w:r>
          </w:p>
        </w:tc>
        <w:tc>
          <w:tcPr>
            <w:tcW w:w="1840" w:type="dxa"/>
            <w:vAlign w:val="bottom"/>
            <w:shd w:val="clear" w:color="auto" w:fill="525252"/>
          </w:tcPr>
          <w:p>
            <w:pPr>
              <w:jc w:val="center"/>
              <w:spacing w:after="0"/>
              <w:rPr>
                <w:sz w:val="20"/>
                <w:szCs w:val="20"/>
                <w:color w:val="auto"/>
              </w:rPr>
            </w:pPr>
            <w:r>
              <w:rPr>
                <w:rFonts w:ascii="Arial" w:cs="Arial" w:eastAsia="Arial" w:hAnsi="Arial"/>
                <w:sz w:val="14"/>
                <w:szCs w:val="14"/>
                <w:b w:val="1"/>
                <w:bCs w:val="1"/>
                <w:color w:val="FFFFFF"/>
              </w:rPr>
              <w:t>Meetings</w:t>
            </w:r>
          </w:p>
        </w:tc>
      </w:tr>
      <w:tr>
        <w:trPr>
          <w:trHeight w:val="263"/>
        </w:trPr>
        <w:tc>
          <w:tcPr>
            <w:tcW w:w="4180" w:type="dxa"/>
            <w:vAlign w:val="bottom"/>
          </w:tcPr>
          <w:p>
            <w:pPr>
              <w:ind w:left="40"/>
              <w:spacing w:after="0"/>
              <w:rPr>
                <w:sz w:val="20"/>
                <w:szCs w:val="20"/>
                <w:color w:val="auto"/>
              </w:rPr>
            </w:pPr>
            <w:r>
              <w:rPr>
                <w:rFonts w:ascii="Arial" w:cs="Arial" w:eastAsia="Arial" w:hAnsi="Arial"/>
                <w:sz w:val="18"/>
                <w:szCs w:val="18"/>
                <w:color w:val="auto"/>
              </w:rPr>
              <w:t>Board of Directors</w:t>
            </w:r>
          </w:p>
        </w:tc>
        <w:tc>
          <w:tcPr>
            <w:tcW w:w="2880" w:type="dxa"/>
            <w:vAlign w:val="bottom"/>
          </w:tcPr>
          <w:p>
            <w:pPr>
              <w:jc w:val="center"/>
              <w:ind w:left="953"/>
              <w:spacing w:after="0"/>
              <w:rPr>
                <w:sz w:val="20"/>
                <w:szCs w:val="20"/>
                <w:color w:val="auto"/>
              </w:rPr>
            </w:pPr>
            <w:r>
              <w:rPr>
                <w:rFonts w:ascii="Arial" w:cs="Arial" w:eastAsia="Arial" w:hAnsi="Arial"/>
                <w:sz w:val="18"/>
                <w:szCs w:val="18"/>
                <w:color w:val="auto"/>
                <w:w w:val="99"/>
              </w:rPr>
              <w:t>11</w:t>
            </w: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82%</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9</w:t>
            </w:r>
          </w:p>
        </w:tc>
      </w:tr>
      <w:tr>
        <w:trPr>
          <w:trHeight w:val="277"/>
        </w:trPr>
        <w:tc>
          <w:tcPr>
            <w:tcW w:w="4180" w:type="dxa"/>
            <w:vAlign w:val="bottom"/>
            <w:shd w:val="clear" w:color="auto" w:fill="E5E5E5"/>
          </w:tcPr>
          <w:p>
            <w:pPr>
              <w:ind w:left="40"/>
              <w:spacing w:after="0"/>
              <w:rPr>
                <w:sz w:val="20"/>
                <w:szCs w:val="20"/>
                <w:color w:val="auto"/>
              </w:rPr>
            </w:pPr>
            <w:r>
              <w:rPr>
                <w:rFonts w:ascii="Arial" w:cs="Arial" w:eastAsia="Arial" w:hAnsi="Arial"/>
                <w:sz w:val="18"/>
                <w:szCs w:val="18"/>
                <w:color w:val="auto"/>
              </w:rPr>
              <w:t>Audit and Finance Committee</w:t>
            </w:r>
          </w:p>
        </w:tc>
        <w:tc>
          <w:tcPr>
            <w:tcW w:w="2880" w:type="dxa"/>
            <w:vAlign w:val="bottom"/>
            <w:shd w:val="clear" w:color="auto" w:fill="E5E5E5"/>
          </w:tcPr>
          <w:p>
            <w:pPr>
              <w:jc w:val="center"/>
              <w:ind w:left="973"/>
              <w:spacing w:after="0"/>
              <w:rPr>
                <w:sz w:val="20"/>
                <w:szCs w:val="20"/>
                <w:color w:val="auto"/>
              </w:rPr>
            </w:pPr>
            <w:r>
              <w:rPr>
                <w:rFonts w:ascii="Arial" w:cs="Arial" w:eastAsia="Arial" w:hAnsi="Arial"/>
                <w:sz w:val="18"/>
                <w:szCs w:val="18"/>
                <w:color w:val="auto"/>
                <w:w w:val="99"/>
              </w:rPr>
              <w:t>4</w:t>
            </w:r>
          </w:p>
        </w:tc>
        <w:tc>
          <w:tcPr>
            <w:tcW w:w="216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100%</w:t>
            </w:r>
          </w:p>
        </w:tc>
        <w:tc>
          <w:tcPr>
            <w:tcW w:w="18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5</w:t>
            </w:r>
          </w:p>
        </w:tc>
      </w:tr>
      <w:tr>
        <w:trPr>
          <w:trHeight w:val="263"/>
        </w:trPr>
        <w:tc>
          <w:tcPr>
            <w:tcW w:w="4180" w:type="dxa"/>
            <w:vAlign w:val="bottom"/>
          </w:tcPr>
          <w:p>
            <w:pPr>
              <w:ind w:left="40"/>
              <w:spacing w:after="0"/>
              <w:rPr>
                <w:sz w:val="20"/>
                <w:szCs w:val="20"/>
                <w:color w:val="auto"/>
              </w:rPr>
            </w:pPr>
            <w:r>
              <w:rPr>
                <w:rFonts w:ascii="Arial" w:cs="Arial" w:eastAsia="Arial" w:hAnsi="Arial"/>
                <w:sz w:val="18"/>
                <w:szCs w:val="18"/>
                <w:color w:val="auto"/>
              </w:rPr>
              <w:t>Compensation Committee</w:t>
            </w:r>
          </w:p>
        </w:tc>
        <w:tc>
          <w:tcPr>
            <w:tcW w:w="2880" w:type="dxa"/>
            <w:vAlign w:val="bottom"/>
          </w:tcPr>
          <w:p>
            <w:pPr>
              <w:jc w:val="center"/>
              <w:ind w:left="973"/>
              <w:spacing w:after="0"/>
              <w:rPr>
                <w:sz w:val="20"/>
                <w:szCs w:val="20"/>
                <w:color w:val="auto"/>
              </w:rPr>
            </w:pPr>
            <w:r>
              <w:rPr>
                <w:rFonts w:ascii="Arial" w:cs="Arial" w:eastAsia="Arial" w:hAnsi="Arial"/>
                <w:sz w:val="18"/>
                <w:szCs w:val="18"/>
                <w:color w:val="auto"/>
                <w:w w:val="99"/>
              </w:rPr>
              <w:t>4</w:t>
            </w: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277"/>
        </w:trPr>
        <w:tc>
          <w:tcPr>
            <w:tcW w:w="4180" w:type="dxa"/>
            <w:vAlign w:val="bottom"/>
            <w:shd w:val="clear" w:color="auto" w:fill="E5E5E5"/>
          </w:tcPr>
          <w:p>
            <w:pPr>
              <w:ind w:left="40"/>
              <w:spacing w:after="0"/>
              <w:rPr>
                <w:sz w:val="20"/>
                <w:szCs w:val="20"/>
                <w:color w:val="auto"/>
              </w:rPr>
            </w:pPr>
            <w:r>
              <w:rPr>
                <w:rFonts w:ascii="Arial" w:cs="Arial" w:eastAsia="Arial" w:hAnsi="Arial"/>
                <w:sz w:val="18"/>
                <w:szCs w:val="18"/>
                <w:color w:val="auto"/>
              </w:rPr>
              <w:t>Governance Committee</w:t>
            </w:r>
          </w:p>
        </w:tc>
        <w:tc>
          <w:tcPr>
            <w:tcW w:w="2880" w:type="dxa"/>
            <w:vAlign w:val="bottom"/>
            <w:shd w:val="clear" w:color="auto" w:fill="E5E5E5"/>
          </w:tcPr>
          <w:p>
            <w:pPr>
              <w:jc w:val="center"/>
              <w:ind w:left="973"/>
              <w:spacing w:after="0"/>
              <w:rPr>
                <w:sz w:val="20"/>
                <w:szCs w:val="20"/>
                <w:color w:val="auto"/>
              </w:rPr>
            </w:pPr>
            <w:r>
              <w:rPr>
                <w:rFonts w:ascii="Arial" w:cs="Arial" w:eastAsia="Arial" w:hAnsi="Arial"/>
                <w:sz w:val="18"/>
                <w:szCs w:val="18"/>
                <w:color w:val="auto"/>
                <w:w w:val="99"/>
              </w:rPr>
              <w:t>5</w:t>
            </w:r>
          </w:p>
        </w:tc>
        <w:tc>
          <w:tcPr>
            <w:tcW w:w="216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100%</w:t>
            </w:r>
          </w:p>
        </w:tc>
        <w:tc>
          <w:tcPr>
            <w:tcW w:w="18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5</w:t>
            </w:r>
          </w:p>
        </w:tc>
      </w:tr>
      <w:tr>
        <w:trPr>
          <w:trHeight w:val="257"/>
        </w:trPr>
        <w:tc>
          <w:tcPr>
            <w:tcW w:w="4180" w:type="dxa"/>
            <w:vAlign w:val="bottom"/>
          </w:tcPr>
          <w:p>
            <w:pPr>
              <w:ind w:left="40"/>
              <w:spacing w:after="0"/>
              <w:rPr>
                <w:sz w:val="20"/>
                <w:szCs w:val="20"/>
                <w:color w:val="auto"/>
              </w:rPr>
            </w:pPr>
            <w:r>
              <w:rPr>
                <w:rFonts w:ascii="Arial" w:cs="Arial" w:eastAsia="Arial" w:hAnsi="Arial"/>
                <w:sz w:val="18"/>
                <w:szCs w:val="18"/>
                <w:color w:val="auto"/>
              </w:rPr>
              <w:t>Safety and Security Committee</w:t>
            </w:r>
          </w:p>
        </w:tc>
        <w:tc>
          <w:tcPr>
            <w:tcW w:w="2880" w:type="dxa"/>
            <w:vAlign w:val="bottom"/>
          </w:tcPr>
          <w:p>
            <w:pPr>
              <w:jc w:val="center"/>
              <w:ind w:left="973"/>
              <w:spacing w:after="0"/>
              <w:rPr>
                <w:sz w:val="20"/>
                <w:szCs w:val="20"/>
                <w:color w:val="auto"/>
              </w:rPr>
            </w:pPr>
            <w:r>
              <w:rPr>
                <w:rFonts w:ascii="Arial" w:cs="Arial" w:eastAsia="Arial" w:hAnsi="Arial"/>
                <w:sz w:val="18"/>
                <w:szCs w:val="18"/>
                <w:color w:val="auto"/>
                <w:w w:val="99"/>
              </w:rPr>
              <w:t>4</w:t>
            </w: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5</w:t>
            </w:r>
          </w:p>
        </w:tc>
      </w:tr>
    </w:tbl>
    <w:p>
      <w:pPr>
        <w:spacing w:after="0" w:line="15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2017 COMPANY PERFORMANCE HIGHLIGHTS</w:t>
      </w:r>
    </w:p>
    <w:p>
      <w:pPr>
        <w:spacing w:after="0" w:line="153" w:lineRule="exact"/>
        <w:rPr>
          <w:sz w:val="20"/>
          <w:szCs w:val="20"/>
          <w:color w:val="auto"/>
        </w:rPr>
      </w:pPr>
    </w:p>
    <w:p>
      <w:pPr>
        <w:ind w:left="360" w:hanging="17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Consolidated revenue was up 8.8% to $1.69 billion compared to the prior year, and all segment-level revenue guidance was achieved.</w:t>
      </w:r>
    </w:p>
    <w:p>
      <w:pPr>
        <w:spacing w:after="0" w:line="117" w:lineRule="exact"/>
        <w:rPr>
          <w:rFonts w:ascii="Arial" w:cs="Arial" w:eastAsia="Arial" w:hAnsi="Arial"/>
          <w:sz w:val="18"/>
          <w:szCs w:val="18"/>
          <w:color w:val="auto"/>
        </w:rPr>
      </w:pPr>
    </w:p>
    <w:p>
      <w:pPr>
        <w:ind w:left="360" w:hanging="17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income and Non-GAAP operating income increased 29.1% and 12.7%, respectively, compared to the prior year.</w:t>
      </w:r>
    </w:p>
    <w:p>
      <w:pPr>
        <w:spacing w:after="0" w:line="117" w:lineRule="exact"/>
        <w:rPr>
          <w:rFonts w:ascii="Arial" w:cs="Arial" w:eastAsia="Arial" w:hAnsi="Arial"/>
          <w:sz w:val="18"/>
          <w:szCs w:val="18"/>
          <w:color w:val="auto"/>
        </w:rPr>
      </w:pPr>
    </w:p>
    <w:p>
      <w:pPr>
        <w:ind w:left="360" w:right="100" w:hanging="172"/>
        <w:spacing w:after="0" w:line="262" w:lineRule="auto"/>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Earnings per share and Non-GAAP earnings per share were $1.47 and $2.05, respectively, an increase of 16.5% on a Non-GAAP basis compared to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80" w:right="220" w:hanging="6"/>
        <w:spacing w:after="0" w:line="279" w:lineRule="auto"/>
        <w:tabs>
          <w:tab w:leader="none" w:pos="60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Please refer to Appendix A, "Reconciliation of Reported (GAAP) to Adjusted (Non-GAAP) Results," for a reconciliation of adjusted results, including adjusted operating income and adjusted earnings per share, to reported results for 2016 and 2017.</w:t>
      </w:r>
    </w:p>
    <w:p>
      <w:pPr>
        <w:sectPr>
          <w:pgSz w:w="11900" w:h="16838" w:orient="portrait"/>
          <w:cols w:equalWidth="0" w:num="1">
            <w:col w:w="11240"/>
          </w:cols>
          <w:pgMar w:left="240" w:top="125"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(ii) </w:t>
      </w:r>
      <w:r>
        <w:rPr>
          <w:sz w:val="1"/>
          <w:szCs w:val="1"/>
          <w:color w:val="auto"/>
        </w:rPr>
        <w:drawing>
          <wp:inline distT="0" distB="0" distL="0" distR="0">
            <wp:extent cx="445770" cy="18034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45770" cy="180340"/>
                    </a:xfrm>
                    <a:prstGeom prst="rect">
                      <a:avLst/>
                    </a:prstGeom>
                    <a:noFill/>
                    <a:ln>
                      <a:noFill/>
                    </a:ln>
                  </pic:spPr>
                </pic:pic>
              </a:graphicData>
            </a:graphic>
          </wp:inline>
        </w:drawing>
      </w:r>
      <w:r>
        <w:rPr>
          <w:rFonts w:ascii="Arial" w:cs="Arial" w:eastAsia="Arial" w:hAnsi="Arial"/>
          <w:sz w:val="17"/>
          <w:szCs w:val="17"/>
          <w:color w:val="auto"/>
        </w:rPr>
        <w:t xml:space="preserve"> 2018 PROXY STATEMENT</w:t>
      </w:r>
    </w:p>
    <w:p>
      <w:pPr>
        <w:sectPr>
          <w:pgSz w:w="11900" w:h="16838" w:orient="portrait"/>
          <w:cols w:equalWidth="0" w:num="1">
            <w:col w:w="11240"/>
          </w:cols>
          <w:pgMar w:left="240" w:top="125" w:right="419" w:bottom="1440" w:gutter="0" w:footer="0" w:header="0"/>
          <w:type w:val="continuous"/>
        </w:sectPr>
      </w:pPr>
    </w:p>
    <w:bookmarkStart w:id="7" w:name="page8"/>
    <w:bookmarkEnd w:id="7"/>
    <w:p>
      <w:pPr>
        <w:ind w:left="7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left="780"/>
        <w:spacing w:after="0"/>
        <w:rPr>
          <w:sz w:val="20"/>
          <w:szCs w:val="20"/>
          <w:color w:val="auto"/>
        </w:rPr>
      </w:pPr>
      <w:r>
        <w:rPr>
          <w:rFonts w:ascii="Arial" w:cs="Arial" w:eastAsia="Arial" w:hAnsi="Arial"/>
          <w:sz w:val="14"/>
          <w:szCs w:val="14"/>
          <w:color w:val="auto"/>
        </w:rPr>
        <w:t>2018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151765</wp:posOffset>
            </wp:positionV>
            <wp:extent cx="7250430" cy="74460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744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80" w:right="520" w:hanging="172"/>
        <w:spacing w:after="0" w:line="262" w:lineRule="auto"/>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BWXT completed the integration of GE Hitachi Nuclear Energy Canada Inc. joint venture acquired in December 2016, now known as BWXT Nuclear Energy Canada Inc.</w:t>
      </w:r>
    </w:p>
    <w:p>
      <w:pPr>
        <w:spacing w:after="0" w:line="88" w:lineRule="exact"/>
        <w:rPr>
          <w:rFonts w:ascii="Arial" w:cs="Arial" w:eastAsia="Arial" w:hAnsi="Arial"/>
          <w:sz w:val="18"/>
          <w:szCs w:val="18"/>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Year-ending backlog as of December 31, 2017 was a near-record $4 billion.</w:t>
      </w:r>
    </w:p>
    <w:p>
      <w:pPr>
        <w:spacing w:after="0" w:line="117" w:lineRule="exact"/>
        <w:rPr>
          <w:rFonts w:ascii="Arial" w:cs="Arial" w:eastAsia="Arial" w:hAnsi="Arial"/>
          <w:sz w:val="18"/>
          <w:szCs w:val="18"/>
          <w:color w:val="auto"/>
        </w:rPr>
      </w:pPr>
    </w:p>
    <w:p>
      <w:pPr>
        <w:ind w:left="180" w:right="880" w:hanging="172"/>
        <w:spacing w:after="0" w:line="262" w:lineRule="auto"/>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Announced the transition of John A. Fees from Executive Chairman to Non-Executive Chairman and the retirement of Robert W. Goldman from the Board, both effective at the Annual Meeting.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TOTAL STOCKHOLDER RETURN</w:t>
      </w:r>
    </w:p>
    <w:p>
      <w:pPr>
        <w:spacing w:after="0" w:line="139"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Our achievements in 2017 resulted in significant value creation for our stockholders. The following graph depicts the cumulative total stockholder return of BWXT for the one, three and five years ended December 31, 2017 relative to those of the S&amp;P 500 Index, the S&amp;P Aerospace and Defense Select Index ("S&amp;P A&amp;D Select") and our custom compensation peer group for 2017 (listed on page 39).</w:t>
      </w:r>
    </w:p>
    <w:p>
      <w:pPr>
        <w:spacing w:after="0" w:line="45"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1-Year, 3-Year and 5-Year Total Shareholder Return as of December 31, 2017</w:t>
      </w:r>
      <w:r>
        <w:rPr>
          <w:rFonts w:ascii="Arial" w:cs="Arial" w:eastAsia="Arial" w:hAnsi="Arial"/>
          <w:sz w:val="21"/>
          <w:szCs w:val="21"/>
          <w:b w:val="1"/>
          <w:bCs w:val="1"/>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300" w:hanging="555"/>
        <w:spacing w:after="0" w:line="260" w:lineRule="auto"/>
        <w:tabs>
          <w:tab w:leader="none" w:pos="64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Measured by dividing (i) the sum of the cumulative amount of dividends for the measurement period, assuming dividend reinvestment, and the difference between the applicable share price at the end and the beginning of the measurement period by (ii) the share price at the beginning of the measurement period. Results for the compensation peer group do not include B/E Aerospace, which was acquired in April 2017.</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ADVISORY VOTE ON THE COMPENSATION OF OUR NAMED EXECUTIVE OFFICERS</w:t>
      </w:r>
    </w:p>
    <w:p>
      <w:pPr>
        <w:spacing w:after="0" w:line="112"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We hold an annual stockholder vote on executive compensation and are asking our stockholders to approve an advisory resolution for 2017 compensation. In 2017, we received the support of our stockholders with over 96</w:t>
      </w:r>
      <w:r>
        <w:rPr>
          <w:rFonts w:ascii="Arial" w:cs="Arial" w:eastAsia="Arial" w:hAnsi="Arial"/>
          <w:sz w:val="18"/>
          <w:szCs w:val="18"/>
          <w:b w:val="1"/>
          <w:bCs w:val="1"/>
          <w:color w:val="auto"/>
        </w:rPr>
        <w:t>%</w:t>
      </w:r>
      <w:r>
        <w:rPr>
          <w:rFonts w:ascii="Arial" w:cs="Arial" w:eastAsia="Arial" w:hAnsi="Arial"/>
          <w:sz w:val="18"/>
          <w:szCs w:val="18"/>
          <w:color w:val="auto"/>
        </w:rPr>
        <w:t xml:space="preserve"> of the votes cast in favor of our executive compensation program. We encourage stockholders to read the Compensation Discussion and Analysis section of this proxy statement, which provides a review of our compensation philosophy and how that philosophy was implemented in 2017. We believe that our executive compensation is reasonable and provides appropriate incentives to our executives to achieve results that we expect to drive stockholder value without encouraging excessive risk taking in business decisions.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TRANSITION OF EXECUTIVE CHAIRMAN</w:t>
      </w:r>
    </w:p>
    <w:p>
      <w:pPr>
        <w:spacing w:after="0" w:line="112"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 xml:space="preserve">In December 2017, we announced that Mr. Fees, our Executive Chairman, would be transitioning to the role of Non-Executive Chairman of the Board, effective at the Annual Meeting, as part of the Board's organization development and succession planning process. In connection with Mr. Fees’ transition to Non-Executive Chairman, he and the Company entered into a Transition Agreement, dated December 14, 2017. The Transition Agreement provides for certain compensation and benefits (in addition to certain other accrued benefits) for Mr. Fees through the Annual Meeting (the "Resignation Date"). In addition, the Transition Agreement amended Mr. Fees’ equity awards under our 2010 Long Term Incentive Plan that remain outstanding on the Resignation Date to allow for (i) awards of time-vested restricted stock units to vest immediately upon the Resignation Date, and (ii) awards of performance restricted stock units to continue to vest on the vesting dates set forth in the applicable award agreements. See "Section 4: Other Benefits and Practices </w:t>
      </w:r>
      <w:r>
        <w:rPr>
          <w:rFonts w:ascii="Arial" w:cs="Arial" w:eastAsia="Arial" w:hAnsi="Arial"/>
          <w:sz w:val="18"/>
          <w:szCs w:val="18"/>
          <w:i w:val="1"/>
          <w:iCs w:val="1"/>
          <w:color w:val="auto"/>
        </w:rPr>
        <w:t>—</w:t>
      </w:r>
      <w:r>
        <w:rPr>
          <w:rFonts w:ascii="Arial" w:cs="Arial" w:eastAsia="Arial" w:hAnsi="Arial"/>
          <w:sz w:val="18"/>
          <w:szCs w:val="18"/>
          <w:color w:val="auto"/>
        </w:rPr>
        <w:t xml:space="preserve"> Transition of Executive Chairman" of our Compensation Discussion and Analysis on page 36 for additional information.</w:t>
      </w:r>
    </w:p>
    <w:p>
      <w:pPr>
        <w:spacing w:after="0" w:line="376" w:lineRule="exact"/>
        <w:rPr>
          <w:sz w:val="20"/>
          <w:szCs w:val="20"/>
          <w:color w:val="auto"/>
        </w:rPr>
      </w:pPr>
    </w:p>
    <w:p>
      <w:pPr>
        <w:jc w:val="right"/>
        <w:spacing w:after="0"/>
        <w:rPr>
          <w:sz w:val="20"/>
          <w:szCs w:val="20"/>
          <w:color w:val="auto"/>
        </w:rPr>
      </w:pPr>
      <w:r>
        <w:rPr>
          <w:sz w:val="1"/>
          <w:szCs w:val="1"/>
          <w:color w:val="auto"/>
        </w:rPr>
        <w:drawing>
          <wp:inline distT="0" distB="0" distL="0" distR="0">
            <wp:extent cx="445770" cy="18034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45770" cy="180340"/>
                    </a:xfrm>
                    <a:prstGeom prst="rect">
                      <a:avLst/>
                    </a:prstGeom>
                    <a:noFill/>
                    <a:ln>
                      <a:noFill/>
                    </a:ln>
                  </pic:spPr>
                </pic:pic>
              </a:graphicData>
            </a:graphic>
          </wp:inline>
        </w:drawing>
      </w:r>
      <w:r>
        <w:rPr>
          <w:rFonts w:ascii="Arial" w:cs="Arial" w:eastAsia="Arial" w:hAnsi="Arial"/>
          <w:sz w:val="18"/>
          <w:szCs w:val="18"/>
          <w:color w:val="auto"/>
        </w:rPr>
        <w:t xml:space="preserve"> 2018 PROXY STATEMENT (iii)</w:t>
      </w:r>
    </w:p>
    <w:p>
      <w:pPr>
        <w:sectPr>
          <w:pgSz w:w="11900" w:h="16838" w:orient="portrait"/>
          <w:cols w:equalWidth="0" w:num="1">
            <w:col w:w="11240"/>
          </w:cols>
          <w:pgMar w:left="420" w:top="125" w:right="239" w:bottom="1440" w:gutter="0" w:footer="0" w:header="0"/>
        </w:sectPr>
      </w:pPr>
    </w:p>
    <w:bookmarkStart w:id="8" w:name="page9"/>
    <w:bookmarkEnd w:id="8"/>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7840"/>
        <w:spacing w:after="0"/>
        <w:rPr>
          <w:sz w:val="20"/>
          <w:szCs w:val="20"/>
          <w:color w:val="auto"/>
        </w:rPr>
      </w:pPr>
      <w:r>
        <w:rPr>
          <w:rFonts w:ascii="Arial" w:cs="Arial" w:eastAsia="Arial" w:hAnsi="Arial"/>
          <w:sz w:val="14"/>
          <w:szCs w:val="14"/>
          <w:color w:val="auto"/>
        </w:rPr>
        <w:t>2018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250430" cy="32607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326072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PROPOSAL 3: RATIFICATION OF AUDITORS</w:t>
      </w:r>
    </w:p>
    <w:p>
      <w:pPr>
        <w:spacing w:after="0" w:line="112" w:lineRule="exact"/>
        <w:rPr>
          <w:sz w:val="20"/>
          <w:szCs w:val="20"/>
          <w:color w:val="auto"/>
        </w:rPr>
      </w:pPr>
    </w:p>
    <w:p>
      <w:pPr>
        <w:ind w:left="180" w:right="40"/>
        <w:spacing w:after="0" w:line="256" w:lineRule="auto"/>
        <w:rPr>
          <w:sz w:val="20"/>
          <w:szCs w:val="20"/>
          <w:color w:val="auto"/>
        </w:rPr>
      </w:pPr>
      <w:r>
        <w:rPr>
          <w:rFonts w:ascii="Arial" w:cs="Arial" w:eastAsia="Arial" w:hAnsi="Arial"/>
          <w:sz w:val="18"/>
          <w:szCs w:val="18"/>
          <w:color w:val="auto"/>
        </w:rPr>
        <w:t>Our Board of Directors has ratified the decision of the Audit and Finance Committee to appoint Deloitte &amp; Touche LLP (“Deloitte”) to serve as the independent registered public accounting firm to audit our financial statements for the year ending December 31, 2018. We are asking our stockholders to ratify this appointment. Below is summary information of Deloitte’s fees for fiscal years 2017 and 2016 services.</w:t>
      </w:r>
    </w:p>
    <w:p>
      <w:pPr>
        <w:spacing w:after="0" w:line="311" w:lineRule="exact"/>
        <w:rPr>
          <w:sz w:val="20"/>
          <w:szCs w:val="20"/>
          <w:color w:val="auto"/>
        </w:rPr>
      </w:pPr>
    </w:p>
    <w:tbl>
      <w:tblPr>
        <w:tblLayout w:type="fixed"/>
        <w:tblInd w:w="180" w:type="dxa"/>
        <w:tblCellMar>
          <w:top w:w="0" w:type="dxa"/>
          <w:left w:w="0" w:type="dxa"/>
          <w:bottom w:w="0" w:type="dxa"/>
          <w:right w:w="0" w:type="dxa"/>
        </w:tblCellMar>
      </w:tblPr>
      <w:tr>
        <w:trPr>
          <w:trHeight w:val="270"/>
        </w:trPr>
        <w:tc>
          <w:tcPr>
            <w:tcW w:w="4120" w:type="dxa"/>
            <w:vAlign w:val="bottom"/>
            <w:shd w:val="clear" w:color="auto" w:fill="525252"/>
          </w:tcPr>
          <w:p>
            <w:pPr>
              <w:ind w:left="40"/>
              <w:spacing w:after="0"/>
              <w:rPr>
                <w:sz w:val="20"/>
                <w:szCs w:val="20"/>
                <w:color w:val="auto"/>
              </w:rPr>
            </w:pPr>
            <w:r>
              <w:rPr>
                <w:rFonts w:ascii="Arial" w:cs="Arial" w:eastAsia="Arial" w:hAnsi="Arial"/>
                <w:sz w:val="14"/>
                <w:szCs w:val="14"/>
                <w:b w:val="1"/>
                <w:bCs w:val="1"/>
                <w:color w:val="FFFFFF"/>
              </w:rPr>
              <w:t>Service</w:t>
            </w:r>
          </w:p>
        </w:tc>
        <w:tc>
          <w:tcPr>
            <w:tcW w:w="3240" w:type="dxa"/>
            <w:vAlign w:val="bottom"/>
            <w:shd w:val="clear" w:color="auto" w:fill="525252"/>
          </w:tcPr>
          <w:p>
            <w:pPr>
              <w:spacing w:after="0"/>
              <w:rPr>
                <w:sz w:val="23"/>
                <w:szCs w:val="23"/>
                <w:color w:val="auto"/>
              </w:rPr>
            </w:pPr>
          </w:p>
        </w:tc>
        <w:tc>
          <w:tcPr>
            <w:tcW w:w="1460" w:type="dxa"/>
            <w:vAlign w:val="bottom"/>
            <w:shd w:val="clear" w:color="auto" w:fill="525252"/>
          </w:tcPr>
          <w:p>
            <w:pPr>
              <w:jc w:val="right"/>
              <w:ind w:right="813"/>
              <w:spacing w:after="0"/>
              <w:rPr>
                <w:sz w:val="20"/>
                <w:szCs w:val="20"/>
                <w:color w:val="auto"/>
              </w:rPr>
            </w:pPr>
            <w:r>
              <w:rPr>
                <w:rFonts w:ascii="Arial" w:cs="Arial" w:eastAsia="Arial" w:hAnsi="Arial"/>
                <w:sz w:val="14"/>
                <w:szCs w:val="14"/>
                <w:b w:val="1"/>
                <w:bCs w:val="1"/>
                <w:color w:val="FFFFFF"/>
              </w:rPr>
              <w:t>2017</w:t>
            </w:r>
          </w:p>
        </w:tc>
        <w:tc>
          <w:tcPr>
            <w:tcW w:w="740" w:type="dxa"/>
            <w:vAlign w:val="bottom"/>
            <w:shd w:val="clear" w:color="auto" w:fill="525252"/>
          </w:tcPr>
          <w:p>
            <w:pPr>
              <w:spacing w:after="0"/>
              <w:rPr>
                <w:sz w:val="23"/>
                <w:szCs w:val="23"/>
                <w:color w:val="auto"/>
              </w:rPr>
            </w:pPr>
          </w:p>
        </w:tc>
        <w:tc>
          <w:tcPr>
            <w:tcW w:w="1060" w:type="dxa"/>
            <w:vAlign w:val="bottom"/>
            <w:shd w:val="clear" w:color="auto" w:fill="525252"/>
          </w:tcPr>
          <w:p>
            <w:pPr>
              <w:jc w:val="right"/>
              <w:ind w:right="413"/>
              <w:spacing w:after="0"/>
              <w:rPr>
                <w:sz w:val="20"/>
                <w:szCs w:val="20"/>
                <w:color w:val="auto"/>
              </w:rPr>
            </w:pPr>
            <w:r>
              <w:rPr>
                <w:rFonts w:ascii="Arial" w:cs="Arial" w:eastAsia="Arial" w:hAnsi="Arial"/>
                <w:sz w:val="14"/>
                <w:szCs w:val="14"/>
                <w:b w:val="1"/>
                <w:bCs w:val="1"/>
                <w:color w:val="FFFFFF"/>
              </w:rPr>
              <w:t>2016</w:t>
            </w:r>
          </w:p>
        </w:tc>
        <w:tc>
          <w:tcPr>
            <w:tcW w:w="440" w:type="dxa"/>
            <w:vAlign w:val="bottom"/>
            <w:shd w:val="clear" w:color="auto" w:fill="525252"/>
          </w:tcPr>
          <w:p>
            <w:pPr>
              <w:spacing w:after="0"/>
              <w:rPr>
                <w:sz w:val="23"/>
                <w:szCs w:val="23"/>
                <w:color w:val="auto"/>
              </w:rPr>
            </w:pP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Audit</w:t>
            </w:r>
          </w:p>
        </w:tc>
        <w:tc>
          <w:tcPr>
            <w:tcW w:w="3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13"/>
              <w:spacing w:after="0"/>
              <w:rPr>
                <w:sz w:val="20"/>
                <w:szCs w:val="20"/>
                <w:color w:val="auto"/>
              </w:rPr>
            </w:pPr>
            <w:r>
              <w:rPr>
                <w:rFonts w:ascii="Arial" w:cs="Arial" w:eastAsia="Arial" w:hAnsi="Arial"/>
                <w:sz w:val="18"/>
                <w:szCs w:val="18"/>
                <w:color w:val="auto"/>
              </w:rPr>
              <w:t>2,636,000</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2,386,185</w:t>
            </w:r>
          </w:p>
        </w:tc>
        <w:tc>
          <w:tcPr>
            <w:tcW w:w="440" w:type="dxa"/>
            <w:vAlign w:val="bottom"/>
          </w:tcPr>
          <w:p>
            <w:pPr>
              <w:spacing w:after="0"/>
              <w:rPr>
                <w:sz w:val="22"/>
                <w:szCs w:val="22"/>
                <w:color w:val="auto"/>
              </w:rPr>
            </w:pPr>
          </w:p>
        </w:tc>
      </w:tr>
      <w:tr>
        <w:trPr>
          <w:trHeight w:val="277"/>
        </w:trPr>
        <w:tc>
          <w:tcPr>
            <w:tcW w:w="4120" w:type="dxa"/>
            <w:vAlign w:val="bottom"/>
            <w:shd w:val="clear" w:color="auto" w:fill="D8D8D8"/>
          </w:tcPr>
          <w:p>
            <w:pPr>
              <w:ind w:left="40"/>
              <w:spacing w:after="0"/>
              <w:rPr>
                <w:sz w:val="20"/>
                <w:szCs w:val="20"/>
                <w:color w:val="auto"/>
              </w:rPr>
            </w:pPr>
            <w:r>
              <w:rPr>
                <w:rFonts w:ascii="Arial" w:cs="Arial" w:eastAsia="Arial" w:hAnsi="Arial"/>
                <w:sz w:val="18"/>
                <w:szCs w:val="18"/>
                <w:color w:val="auto"/>
              </w:rPr>
              <w:t>Audit-Related</w:t>
            </w:r>
          </w:p>
        </w:tc>
        <w:tc>
          <w:tcPr>
            <w:tcW w:w="3240" w:type="dxa"/>
            <w:vAlign w:val="bottom"/>
            <w:shd w:val="clear" w:color="auto" w:fill="D8D8D8"/>
          </w:tcPr>
          <w:p>
            <w:pPr>
              <w:spacing w:after="0"/>
              <w:rPr>
                <w:sz w:val="24"/>
                <w:szCs w:val="24"/>
                <w:color w:val="auto"/>
              </w:rPr>
            </w:pPr>
          </w:p>
        </w:tc>
        <w:tc>
          <w:tcPr>
            <w:tcW w:w="1460" w:type="dxa"/>
            <w:vAlign w:val="bottom"/>
            <w:shd w:val="clear" w:color="auto" w:fill="D8D8D8"/>
          </w:tcPr>
          <w:p>
            <w:pPr>
              <w:jc w:val="right"/>
              <w:ind w:right="413"/>
              <w:spacing w:after="0"/>
              <w:rPr>
                <w:sz w:val="20"/>
                <w:szCs w:val="20"/>
                <w:color w:val="auto"/>
              </w:rPr>
            </w:pPr>
            <w:r>
              <w:rPr>
                <w:rFonts w:ascii="Arial" w:cs="Arial" w:eastAsia="Arial" w:hAnsi="Arial"/>
                <w:sz w:val="18"/>
                <w:szCs w:val="18"/>
                <w:color w:val="auto"/>
              </w:rPr>
              <w:t>—</w:t>
            </w:r>
          </w:p>
        </w:tc>
        <w:tc>
          <w:tcPr>
            <w:tcW w:w="74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spacing w:after="0"/>
              <w:rPr>
                <w:sz w:val="24"/>
                <w:szCs w:val="24"/>
                <w:color w:val="auto"/>
              </w:rPr>
            </w:pP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Tax</w:t>
            </w:r>
          </w:p>
        </w:tc>
        <w:tc>
          <w:tcPr>
            <w:tcW w:w="3240" w:type="dxa"/>
            <w:vAlign w:val="bottom"/>
          </w:tcPr>
          <w:p>
            <w:pPr>
              <w:spacing w:after="0"/>
              <w:rPr>
                <w:sz w:val="22"/>
                <w:szCs w:val="22"/>
                <w:color w:val="auto"/>
              </w:rPr>
            </w:pPr>
          </w:p>
        </w:tc>
        <w:tc>
          <w:tcPr>
            <w:tcW w:w="1460" w:type="dxa"/>
            <w:vAlign w:val="bottom"/>
          </w:tcPr>
          <w:p>
            <w:pPr>
              <w:jc w:val="right"/>
              <w:ind w:right="413"/>
              <w:spacing w:after="0"/>
              <w:rPr>
                <w:sz w:val="20"/>
                <w:szCs w:val="20"/>
                <w:color w:val="auto"/>
              </w:rPr>
            </w:pPr>
            <w:r>
              <w:rPr>
                <w:rFonts w:ascii="Arial" w:cs="Arial" w:eastAsia="Arial" w:hAnsi="Arial"/>
                <w:sz w:val="18"/>
                <w:szCs w:val="18"/>
                <w:color w:val="auto"/>
              </w:rPr>
              <w:t>40,400</w:t>
            </w:r>
          </w:p>
        </w:tc>
        <w:tc>
          <w:tcPr>
            <w:tcW w:w="740" w:type="dxa"/>
            <w:vAlign w:val="bottom"/>
          </w:tcPr>
          <w:p>
            <w:pPr>
              <w:spacing w:after="0"/>
              <w:rPr>
                <w:sz w:val="22"/>
                <w:szCs w:val="22"/>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40,000</w:t>
            </w:r>
          </w:p>
        </w:tc>
        <w:tc>
          <w:tcPr>
            <w:tcW w:w="440" w:type="dxa"/>
            <w:vAlign w:val="bottom"/>
          </w:tcPr>
          <w:p>
            <w:pPr>
              <w:spacing w:after="0"/>
              <w:rPr>
                <w:sz w:val="22"/>
                <w:szCs w:val="22"/>
                <w:color w:val="auto"/>
              </w:rPr>
            </w:pPr>
          </w:p>
        </w:tc>
      </w:tr>
      <w:tr>
        <w:trPr>
          <w:trHeight w:val="270"/>
        </w:trPr>
        <w:tc>
          <w:tcPr>
            <w:tcW w:w="4120" w:type="dxa"/>
            <w:vAlign w:val="bottom"/>
            <w:tcBorders>
              <w:bottom w:val="single" w:sz="8" w:color="auto"/>
            </w:tcBorders>
            <w:shd w:val="clear" w:color="auto" w:fill="D8D8D8"/>
          </w:tcPr>
          <w:p>
            <w:pPr>
              <w:ind w:left="40"/>
              <w:spacing w:after="0"/>
              <w:rPr>
                <w:sz w:val="20"/>
                <w:szCs w:val="20"/>
                <w:color w:val="auto"/>
              </w:rPr>
            </w:pPr>
            <w:r>
              <w:rPr>
                <w:rFonts w:ascii="Arial" w:cs="Arial" w:eastAsia="Arial" w:hAnsi="Arial"/>
                <w:sz w:val="18"/>
                <w:szCs w:val="18"/>
                <w:color w:val="auto"/>
              </w:rPr>
              <w:t>All Other</w:t>
            </w:r>
          </w:p>
        </w:tc>
        <w:tc>
          <w:tcPr>
            <w:tcW w:w="3240" w:type="dxa"/>
            <w:vAlign w:val="bottom"/>
            <w:tcBorders>
              <w:bottom w:val="single" w:sz="8" w:color="auto"/>
            </w:tcBorders>
            <w:shd w:val="clear" w:color="auto" w:fill="D8D8D8"/>
          </w:tcPr>
          <w:p>
            <w:pPr>
              <w:spacing w:after="0"/>
              <w:rPr>
                <w:sz w:val="23"/>
                <w:szCs w:val="23"/>
                <w:color w:val="auto"/>
              </w:rPr>
            </w:pPr>
          </w:p>
        </w:tc>
        <w:tc>
          <w:tcPr>
            <w:tcW w:w="1460" w:type="dxa"/>
            <w:vAlign w:val="bottom"/>
            <w:tcBorders>
              <w:bottom w:val="single" w:sz="8" w:color="auto"/>
            </w:tcBorders>
            <w:shd w:val="clear" w:color="auto" w:fill="D8D8D8"/>
          </w:tcPr>
          <w:p>
            <w:pPr>
              <w:jc w:val="right"/>
              <w:ind w:right="413"/>
              <w:spacing w:after="0"/>
              <w:rPr>
                <w:sz w:val="20"/>
                <w:szCs w:val="20"/>
                <w:color w:val="auto"/>
              </w:rPr>
            </w:pPr>
            <w:r>
              <w:rPr>
                <w:rFonts w:ascii="Arial" w:cs="Arial" w:eastAsia="Arial" w:hAnsi="Arial"/>
                <w:sz w:val="18"/>
                <w:szCs w:val="18"/>
                <w:color w:val="auto"/>
              </w:rPr>
              <w:t>2,695</w:t>
            </w:r>
          </w:p>
        </w:tc>
        <w:tc>
          <w:tcPr>
            <w:tcW w:w="740" w:type="dxa"/>
            <w:vAlign w:val="bottom"/>
            <w:tcBorders>
              <w:bottom w:val="single" w:sz="8" w:color="auto"/>
            </w:tcBorders>
            <w:shd w:val="clear" w:color="auto" w:fill="D8D8D8"/>
          </w:tcPr>
          <w:p>
            <w:pPr>
              <w:spacing w:after="0"/>
              <w:rPr>
                <w:sz w:val="23"/>
                <w:szCs w:val="23"/>
                <w:color w:val="auto"/>
              </w:rPr>
            </w:pPr>
          </w:p>
        </w:tc>
        <w:tc>
          <w:tcPr>
            <w:tcW w:w="1060" w:type="dxa"/>
            <w:vAlign w:val="bottom"/>
            <w:tcBorders>
              <w:bottom w:val="single" w:sz="8" w:color="auto"/>
            </w:tcBorders>
            <w:shd w:val="clear" w:color="auto" w:fill="D8D8D8"/>
          </w:tcPr>
          <w:p>
            <w:pPr>
              <w:jc w:val="right"/>
              <w:ind w:right="13"/>
              <w:spacing w:after="0"/>
              <w:rPr>
                <w:sz w:val="20"/>
                <w:szCs w:val="20"/>
                <w:color w:val="auto"/>
              </w:rPr>
            </w:pPr>
            <w:r>
              <w:rPr>
                <w:rFonts w:ascii="Arial" w:cs="Arial" w:eastAsia="Arial" w:hAnsi="Arial"/>
                <w:sz w:val="18"/>
                <w:szCs w:val="18"/>
                <w:color w:val="auto"/>
              </w:rPr>
              <w:t>2,600</w:t>
            </w:r>
          </w:p>
        </w:tc>
        <w:tc>
          <w:tcPr>
            <w:tcW w:w="440" w:type="dxa"/>
            <w:vAlign w:val="bottom"/>
            <w:shd w:val="clear" w:color="auto" w:fill="E5E5E5"/>
          </w:tcPr>
          <w:p>
            <w:pPr>
              <w:spacing w:after="0"/>
              <w:rPr>
                <w:sz w:val="23"/>
                <w:szCs w:val="23"/>
                <w:color w:val="auto"/>
              </w:rPr>
            </w:pPr>
          </w:p>
        </w:tc>
      </w:tr>
      <w:tr>
        <w:trPr>
          <w:trHeight w:val="264"/>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3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413"/>
              <w:spacing w:after="0"/>
              <w:rPr>
                <w:sz w:val="20"/>
                <w:szCs w:val="20"/>
                <w:color w:val="auto"/>
              </w:rPr>
            </w:pPr>
            <w:r>
              <w:rPr>
                <w:rFonts w:ascii="Arial" w:cs="Arial" w:eastAsia="Arial" w:hAnsi="Arial"/>
                <w:sz w:val="18"/>
                <w:szCs w:val="18"/>
                <w:color w:val="auto"/>
              </w:rPr>
              <w:t>2,679,095</w:t>
            </w: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2,428,785</w:t>
            </w:r>
          </w:p>
        </w:tc>
        <w:tc>
          <w:tcPr>
            <w:tcW w:w="440" w:type="dxa"/>
            <w:vAlign w:val="bottom"/>
            <w:tcBorders>
              <w:bottom w:val="single" w:sz="8" w:color="auto"/>
            </w:tcBorders>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(iv) </w:t>
      </w:r>
      <w:r>
        <w:rPr>
          <w:sz w:val="1"/>
          <w:szCs w:val="1"/>
          <w:color w:val="auto"/>
        </w:rPr>
        <w:drawing>
          <wp:inline distT="0" distB="0" distL="0" distR="0">
            <wp:extent cx="445770" cy="18034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45770" cy="180340"/>
                    </a:xfrm>
                    <a:prstGeom prst="rect">
                      <a:avLst/>
                    </a:prstGeom>
                    <a:noFill/>
                    <a:ln>
                      <a:noFill/>
                    </a:ln>
                  </pic:spPr>
                </pic:pic>
              </a:graphicData>
            </a:graphic>
          </wp:inline>
        </w:drawing>
      </w:r>
      <w:r>
        <w:rPr>
          <w:rFonts w:ascii="Arial" w:cs="Arial" w:eastAsia="Arial" w:hAnsi="Arial"/>
          <w:sz w:val="18"/>
          <w:szCs w:val="18"/>
          <w:color w:val="auto"/>
        </w:rPr>
        <w:t xml:space="preserve"> 2018 PROXY STATEMENT</w:t>
      </w:r>
    </w:p>
    <w:p>
      <w:pPr>
        <w:sectPr>
          <w:pgSz w:w="11900" w:h="16838" w:orient="portrait"/>
          <w:cols w:equalWidth="0" w:num="1">
            <w:col w:w="11240"/>
          </w:cols>
          <w:pgMar w:left="240" w:top="125" w:right="419" w:bottom="1440" w:gutter="0" w:footer="0" w:header="0"/>
        </w:sectPr>
      </w:pPr>
    </w:p>
    <w:bookmarkStart w:id="9" w:name="page10"/>
    <w:bookmarkEnd w:id="9"/>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left="8760"/>
        <w:spacing w:after="0"/>
        <w:rPr>
          <w:sz w:val="20"/>
          <w:szCs w:val="20"/>
          <w:color w:val="auto"/>
        </w:rPr>
      </w:pPr>
      <w:r>
        <w:rPr>
          <w:rFonts w:ascii="Arial" w:cs="Arial" w:eastAsia="Arial" w:hAnsi="Arial"/>
          <w:sz w:val="14"/>
          <w:szCs w:val="14"/>
          <w:color w:val="auto"/>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GENERAL INFORMATION</w:t>
      </w:r>
    </w:p>
    <w:p>
      <w:pPr>
        <w:spacing w:after="0" w:line="20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Board of Directors (the “Board”) of BWX Technologies, Inc. ("BWXT," the "Company," "we" or "us") has made these materials available to you over the Internet or, upon your request, has mailed you a printed version of these materials in connection with our 2018 Annual Meeting of Stockholders (the "Annual Meeting"), which will take place on May 4, 2018. We mailed the Notice of the Annual Meeting (or Proxy Statement if you requested a hard copy) to our stockholders on March 23, 2018, and our proxy materials were posted on the website referenced in the Notice on that same date.</w:t>
      </w:r>
    </w:p>
    <w:p>
      <w:pPr>
        <w:spacing w:after="0" w:line="15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have sent or provided access to the materials to you because our Board is soliciting your proxy to vote your shares at our Annual Meeting. We will bear all expenses incurred in connection with this proxy solicitation. We have engaged Alliance Advisors to assist in the solicitation for a fee of $24,000. In addition, our officers and employees may solicit your proxy by telephone, by facsimile transmission or in person, and they will not be separately compensated for such services. We solicit proxies to give all stockholders an opportunity to vote on matters that will be presented at the Annual Meeting. In this proxy statement, you will find information on these matters, which is provided to assist you in voting your shares. If your shares are held through a broker or other nominee (</w:t>
      </w:r>
      <w:r>
        <w:rPr>
          <w:rFonts w:ascii="Arial" w:cs="Arial" w:eastAsia="Arial" w:hAnsi="Arial"/>
          <w:sz w:val="18"/>
          <w:szCs w:val="18"/>
          <w:i w:val="1"/>
          <w:iCs w:val="1"/>
          <w:color w:val="auto"/>
        </w:rPr>
        <w:t>i.e.</w:t>
      </w:r>
      <w:r>
        <w:rPr>
          <w:rFonts w:ascii="Arial" w:cs="Arial" w:eastAsia="Arial" w:hAnsi="Arial"/>
          <w:sz w:val="18"/>
          <w:szCs w:val="18"/>
          <w:color w:val="auto"/>
        </w:rPr>
        <w:t>, in “street name”) and you have requested printed versions of these materials, we have requested that your broker or nominee forward this proxy statement to you and obtain your voting instructions, for which we will reimburse them for reasonable out-of-pocket expenses. If your shares are held through the Thrift Plan for Employees of BWXT and Participating Subsidiary and Affiliated Companies (our “Thrift Plan”) and you have requested printed versions of these materials, the trustee of that plan has sent you this proxy statement and you should instruct the trustee on how to vote your Thrift Plan shares.</w:t>
      </w:r>
    </w:p>
    <w:p>
      <w:pPr>
        <w:spacing w:after="0" w:line="12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VOTING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AND WHO MAY VOTE</w:t>
      </w:r>
    </w:p>
    <w:p>
      <w:pPr>
        <w:spacing w:after="0" w:line="11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 xml:space="preserve">Our Board selected March 12, 2018 as the record date for determining stockholders entitled to vote at the Annual Meeting. This means that if you were a registered stockholder with our transfer agent and registrar, Computershare Trust Company, N.A., on the record date, you may vote your shares on the matters to be considered at the Annual Meeting. If your shares were held in street name on that date, you should refer to the instructions provided by your broker or nominee for further information. They are seeking your instructions on how you want your shares voted. Brokers holding shares in street name can vote those shares on routine matters if the beneficial owner has not provided voting instructions at least 10 days before a meeting. Under the rules of the New York Stock Exchange, the election of directors and the advisory vote on compensation of our named executive officers are not considered routine matters. That means that brokers may not vote your shares in the election of directors or on the advisory vote on compensation of our named executive officers if you have not given your broker specific instructions as to how to vote and your shares will not be represented in those matters. </w:t>
      </w:r>
      <w:r>
        <w:rPr>
          <w:rFonts w:ascii="Arial" w:cs="Arial" w:eastAsia="Arial" w:hAnsi="Arial"/>
          <w:sz w:val="18"/>
          <w:szCs w:val="18"/>
          <w:u w:val="single" w:color="auto"/>
          <w:color w:val="auto"/>
        </w:rPr>
        <w:t>Please be sure to give specific voting instructions to</w:t>
      </w:r>
      <w:r>
        <w:rPr>
          <w:rFonts w:ascii="Arial" w:cs="Arial" w:eastAsia="Arial" w:hAnsi="Arial"/>
          <w:sz w:val="18"/>
          <w:szCs w:val="18"/>
          <w:color w:val="auto"/>
        </w:rPr>
        <w:t xml:space="preserve"> </w:t>
      </w:r>
      <w:r>
        <w:rPr>
          <w:rFonts w:ascii="Arial" w:cs="Arial" w:eastAsia="Arial" w:hAnsi="Arial"/>
          <w:sz w:val="18"/>
          <w:szCs w:val="18"/>
          <w:u w:val="single" w:color="auto"/>
          <w:color w:val="auto"/>
        </w:rPr>
        <w:t>your broker.</w:t>
      </w:r>
    </w:p>
    <w:p>
      <w:pPr>
        <w:spacing w:after="0" w:line="158"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On the record date, 99,636,496 shares of our common stock were outstanding. Each outstanding share of common stock entitles its holder to one vote on each matter to be acted on at the meeting.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Most stockholders can vote by proxy in three ways:</w:t>
      </w:r>
    </w:p>
    <w:p>
      <w:pPr>
        <w:spacing w:after="0" w:line="117" w:lineRule="exact"/>
        <w:rPr>
          <w:sz w:val="20"/>
          <w:szCs w:val="20"/>
          <w:color w:val="auto"/>
        </w:rPr>
      </w:pPr>
    </w:p>
    <w:p>
      <w:pPr>
        <w:ind w:left="280" w:hanging="272"/>
        <w:spacing w:after="0"/>
        <w:tabs>
          <w:tab w:leader="none" w:pos="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by Internet at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by telephone; or</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by mail.</w:t>
      </w:r>
    </w:p>
    <w:p>
      <w:pPr>
        <w:spacing w:after="0" w:line="72"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i w:val="1"/>
          <w:iCs w:val="1"/>
          <w:color w:val="auto"/>
        </w:rPr>
        <w:t>If you are a stockholder of record</w:t>
      </w:r>
      <w:r>
        <w:rPr>
          <w:rFonts w:ascii="Arial" w:cs="Arial" w:eastAsia="Arial" w:hAnsi="Arial"/>
          <w:sz w:val="18"/>
          <w:szCs w:val="18"/>
          <w:color w:val="auto"/>
        </w:rPr>
        <w:t>, you can vote your shares by voting by Internet, telephone, mailing in your proxy or in person at the Annual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You may give us your proxy by following the instructions included in the Notice or, if you received a printed version of these proxy materials, in the enclosed proxy card. If you want to vote by mail but have not received a printed version of these proxy materials, you may request a full packet of proxy materials through the instructions in the Notice. If you vote using either telephone or the Internet, you will save us mailing expense.</w:t>
      </w:r>
    </w:p>
    <w:p>
      <w:pPr>
        <w:spacing w:after="0" w:line="6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By giving us your proxy, you will be directing us how to vote your shares at the meeting. Even if you plan to attend the meeting, we urge you to vote now by giving us your proxy. This will ensure that your vote is represented at the meeting. If you do attend the meeting, you can change your vote at that time, if you then desire to do so.</w:t>
      </w:r>
    </w:p>
    <w:p>
      <w:pPr>
        <w:spacing w:after="0" w:line="230" w:lineRule="exact"/>
        <w:rPr>
          <w:sz w:val="20"/>
          <w:szCs w:val="20"/>
          <w:color w:val="auto"/>
        </w:rPr>
      </w:pPr>
    </w:p>
    <w:p>
      <w:pPr>
        <w:jc w:val="right"/>
        <w:spacing w:after="0"/>
        <w:rPr>
          <w:sz w:val="20"/>
          <w:szCs w:val="20"/>
          <w:color w:val="auto"/>
        </w:rPr>
      </w:pPr>
      <w:r>
        <w:rPr>
          <w:sz w:val="1"/>
          <w:szCs w:val="1"/>
          <w:color w:val="auto"/>
        </w:rPr>
        <w:drawing>
          <wp:inline distT="0" distB="0" distL="0" distR="0">
            <wp:extent cx="488950" cy="20574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88950" cy="205740"/>
                    </a:xfrm>
                    <a:prstGeom prst="rect">
                      <a:avLst/>
                    </a:prstGeom>
                    <a:noFill/>
                    <a:ln>
                      <a:noFill/>
                    </a:ln>
                  </pic:spPr>
                </pic:pic>
              </a:graphicData>
            </a:graphic>
          </wp:inline>
        </w:drawing>
      </w:r>
      <w:r>
        <w:rPr>
          <w:rFonts w:ascii="Arial" w:cs="Arial" w:eastAsia="Arial" w:hAnsi="Arial"/>
          <w:sz w:val="18"/>
          <w:szCs w:val="18"/>
          <w:color w:val="auto"/>
        </w:rPr>
        <w:t xml:space="preserve"> 2018 PROXY STATEMENT </w:t>
      </w:r>
      <w:r>
        <w:rPr>
          <w:rFonts w:ascii="Arial" w:cs="Arial" w:eastAsia="Arial" w:hAnsi="Arial"/>
          <w:sz w:val="18"/>
          <w:szCs w:val="18"/>
          <w:b w:val="1"/>
          <w:bCs w:val="1"/>
          <w:color w:val="2C2C2C"/>
        </w:rPr>
        <w:t>1</w:t>
      </w:r>
    </w:p>
    <w:p>
      <w:pPr>
        <w:sectPr>
          <w:pgSz w:w="11900" w:h="16838" w:orient="portrait"/>
          <w:cols w:equalWidth="0" w:num="1">
            <w:col w:w="11420"/>
          </w:cols>
          <w:pgMar w:left="240" w:top="125" w:right="239" w:bottom="1440" w:gutter="0" w:footer="0" w:header="0"/>
        </w:sectPr>
      </w:pPr>
    </w:p>
    <w:bookmarkStart w:id="10" w:name="page11"/>
    <w:bookmarkEnd w:id="10"/>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8760"/>
        <w:spacing w:after="0"/>
        <w:rPr>
          <w:sz w:val="20"/>
          <w:szCs w:val="20"/>
          <w:color w:val="auto"/>
        </w:rPr>
      </w:pPr>
      <w:r>
        <w:rPr>
          <w:rFonts w:ascii="Arial" w:cs="Arial" w:eastAsia="Arial" w:hAnsi="Arial"/>
          <w:sz w:val="14"/>
          <w:szCs w:val="14"/>
          <w:color w:val="auto"/>
        </w:rPr>
        <w:t>VOTING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2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If you are the beneficial owner of shares held in street name</w:t>
      </w:r>
      <w:r>
        <w:rPr>
          <w:rFonts w:ascii="Arial" w:cs="Arial" w:eastAsia="Arial" w:hAnsi="Arial"/>
          <w:sz w:val="18"/>
          <w:szCs w:val="18"/>
          <w:color w:val="auto"/>
        </w:rPr>
        <w:t>, the methods by which you can access the proxy materials and give the voting</w:t>
      </w:r>
      <w:r>
        <w:rPr>
          <w:rFonts w:ascii="Arial" w:cs="Arial" w:eastAsia="Arial" w:hAnsi="Arial"/>
          <w:sz w:val="18"/>
          <w:szCs w:val="18"/>
          <w:i w:val="1"/>
          <w:iCs w:val="1"/>
          <w:color w:val="auto"/>
        </w:rPr>
        <w:t xml:space="preserve"> </w:t>
      </w:r>
      <w:r>
        <w:rPr>
          <w:rFonts w:ascii="Arial" w:cs="Arial" w:eastAsia="Arial" w:hAnsi="Arial"/>
          <w:sz w:val="18"/>
          <w:szCs w:val="18"/>
          <w:color w:val="auto"/>
        </w:rPr>
        <w:t>instructions to the broker or nominee may vary. Accordingly, beneficial owners should follow the instructions provided by their brokers or nominees to vote by Internet, telephone or mail. If you want to vote by mail but have not received a printed version of these proxy materials, you may request a full packet of proxy materials as instructed by the Notice. If you want to vote your shares in person at the Annual Meeting, you must obtain a valid proxy from your broker or nominee. You should contact your broker or nominee or refer to the instructions provided by your broker or nominee for further information. Additionally, the availability of Internet or telephone voting depends on the voting process used by the broker or nominee that holds your shares.</w:t>
      </w:r>
    </w:p>
    <w:p>
      <w:pPr>
        <w:spacing w:after="0" w:line="7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You may receive more than one Notice or proxy statement and proxy card or voting instruction form if your shares are held through more than one account (</w:t>
      </w:r>
      <w:r>
        <w:rPr>
          <w:rFonts w:ascii="Arial" w:cs="Arial" w:eastAsia="Arial" w:hAnsi="Arial"/>
          <w:sz w:val="18"/>
          <w:szCs w:val="18"/>
          <w:i w:val="1"/>
          <w:iCs w:val="1"/>
          <w:color w:val="auto"/>
        </w:rPr>
        <w:t>e.g.</w:t>
      </w:r>
      <w:r>
        <w:rPr>
          <w:rFonts w:ascii="Arial" w:cs="Arial" w:eastAsia="Arial" w:hAnsi="Arial"/>
          <w:sz w:val="18"/>
          <w:szCs w:val="18"/>
          <w:color w:val="auto"/>
        </w:rPr>
        <w:t>, through different brokers or nominees). Each proxy card or voting instruction form only covers those shares held in the applicable account. If you hold shares in more than one account, you will have to provide voting instructions for all of your accounts to vote all your shares.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CHANGE YOUR VOTE OR REVOKE YOUR PROXY</w:t>
      </w:r>
    </w:p>
    <w:p>
      <w:pPr>
        <w:spacing w:after="0" w:line="94"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i w:val="1"/>
          <w:iCs w:val="1"/>
          <w:color w:val="auto"/>
        </w:rPr>
        <w:t>For stockholders of record</w:t>
      </w:r>
      <w:r>
        <w:rPr>
          <w:rFonts w:ascii="Arial" w:cs="Arial" w:eastAsia="Arial" w:hAnsi="Arial"/>
          <w:sz w:val="18"/>
          <w:szCs w:val="18"/>
          <w:color w:val="auto"/>
        </w:rPr>
        <w:t>, you may change your vote or revoke your proxy by written notice to our Corporate Secretary at our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headquarters, 800 Main Street, 4</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Floor, Lynchburg, Virginia 24504, granting a new later dated proxy, submitting a later dated vote by telephone or on the Internet, or by voting in person at the Annual Meeting. Unless you attend the meeting and vote your shares in person, you should change your vote using the same method (by Internet, telephone or mail) that you first used to vote your shares. This will help the inspector of election for the meeting verify your latest vote.</w:t>
      </w:r>
    </w:p>
    <w:p>
      <w:pPr>
        <w:spacing w:after="0" w:line="56" w:lineRule="exact"/>
        <w:rPr>
          <w:sz w:val="20"/>
          <w:szCs w:val="20"/>
          <w:color w:val="auto"/>
        </w:rPr>
      </w:pPr>
    </w:p>
    <w:p>
      <w:pPr>
        <w:spacing w:after="0" w:line="266" w:lineRule="auto"/>
        <w:rPr>
          <w:sz w:val="20"/>
          <w:szCs w:val="20"/>
          <w:color w:val="auto"/>
        </w:rPr>
      </w:pPr>
      <w:r>
        <w:rPr>
          <w:rFonts w:ascii="Arial" w:cs="Arial" w:eastAsia="Arial" w:hAnsi="Arial"/>
          <w:sz w:val="18"/>
          <w:szCs w:val="18"/>
          <w:i w:val="1"/>
          <w:iCs w:val="1"/>
          <w:color w:val="auto"/>
        </w:rPr>
        <w:t>For beneficial owners of shares held in street name</w:t>
      </w:r>
      <w:r>
        <w:rPr>
          <w:rFonts w:ascii="Arial" w:cs="Arial" w:eastAsia="Arial" w:hAnsi="Arial"/>
          <w:sz w:val="18"/>
          <w:szCs w:val="18"/>
          <w:color w:val="auto"/>
        </w:rPr>
        <w:t>, you should follow the instructions in the information provided by your broker or nominee to</w:t>
      </w:r>
      <w:r>
        <w:rPr>
          <w:rFonts w:ascii="Arial" w:cs="Arial" w:eastAsia="Arial" w:hAnsi="Arial"/>
          <w:sz w:val="18"/>
          <w:szCs w:val="18"/>
          <w:i w:val="1"/>
          <w:iCs w:val="1"/>
          <w:color w:val="auto"/>
        </w:rPr>
        <w:t xml:space="preserve"> </w:t>
      </w:r>
      <w:r>
        <w:rPr>
          <w:rFonts w:ascii="Arial" w:cs="Arial" w:eastAsia="Arial" w:hAnsi="Arial"/>
          <w:sz w:val="18"/>
          <w:szCs w:val="18"/>
          <w:color w:val="auto"/>
        </w:rPr>
        <w:t>change your vote or revoke your proxy. If you want to change your vote as to shares held in street name by voting in person at the Annual Meeting, you must obtain a valid proxy from the broker or nominee that holds those shares for you.</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1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Annual Meeting will be held only if a quorum exists. The presence at the meeting, in person or by proxy, of holders of a majority of our outstanding shares of common stock as of the record date will constitute a quorum. If you attend the meeting or vote your shares by Internet, telephone or mail, your shares will be counted toward a quorum, even if you abstain from voting on a particular matter. Shares held by brokers and other nominees as to which they have not received voting instructions from the beneficial owners and lack the discretionary authority to vote on a particular matter are called “broker non-votes” and will count for quorum purposes.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TO BE VOTED 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We are asking you to vote on the following:</w:t>
      </w:r>
    </w:p>
    <w:p>
      <w:pPr>
        <w:spacing w:after="0" w:line="117"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election of Jan A. Bertsch, James M. Jaska and Kenneth J. Krieg as Class II directors;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advisory vote on the compensation of our named executive officers (“Named Executives”); and</w:t>
      </w:r>
    </w:p>
    <w:p>
      <w:pPr>
        <w:spacing w:after="0" w:line="117" w:lineRule="exact"/>
        <w:rPr>
          <w:rFonts w:ascii="Arial" w:cs="Arial" w:eastAsia="Arial" w:hAnsi="Arial"/>
          <w:sz w:val="18"/>
          <w:szCs w:val="18"/>
          <w:color w:val="auto"/>
        </w:rPr>
      </w:pPr>
    </w:p>
    <w:p>
      <w:pPr>
        <w:ind w:left="340" w:right="560" w:hanging="332"/>
        <w:spacing w:after="0" w:line="262"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ratification of the appointment of Deloitte &amp; Touche LLP as our independent registered public accounting firm for the year ending December 31, 2018.</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12"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In the election of directors proposal, you may vote “FOR” all director nominees or withhold your vote for any one or more of the director nominees. Under our bylaws, director nominees are elected by a plurality of the votes cast by the shares of our common stock entitled to vote in the election of directors. Withheld votes will have no effect on the vote's outcome. Additionally, broker non-votes with respect to the election of directors will have no effect on the vote's outcome and do not count as votes cast. This means that the individuals nominated for election to the Board who receive the most “FOR” votes (among votes properly cast in person or by proxy) will be elected. However, our Board has adopted a majority voting policy, which provides that any nominee for director in an uncontested election who receives a greater number of votes “withheld” from his or her election than votes “FOR” such election (even if he or she is properly elected under our bylaws) must promptly tender a letter of resignation for consideration by our Board. The Board must then act to accept or reject this letter within 90 days following the certification of the stockholder vote at our Annual Meeting.</w:t>
      </w:r>
    </w:p>
    <w:p>
      <w:pPr>
        <w:spacing w:after="0" w:line="7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For the proposal on executive compensation, you may vote “FOR” or “AGAINST” or abstain from voting. This proposal requires the affirmative vote of a majority of the shares of our common stock present in person or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2C2C2C"/>
        </w:rPr>
        <w:t xml:space="preserve">2 </w:t>
      </w:r>
      <w:r>
        <w:rPr>
          <w:sz w:val="1"/>
          <w:szCs w:val="1"/>
          <w:color w:val="auto"/>
        </w:rPr>
        <w:drawing>
          <wp:inline distT="0" distB="0" distL="0" distR="0">
            <wp:extent cx="445770" cy="18034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45770" cy="180340"/>
                    </a:xfrm>
                    <a:prstGeom prst="rect">
                      <a:avLst/>
                    </a:prstGeom>
                    <a:noFill/>
                    <a:ln>
                      <a:noFill/>
                    </a:ln>
                  </pic:spPr>
                </pic:pic>
              </a:graphicData>
            </a:graphic>
          </wp:inline>
        </w:drawing>
      </w:r>
      <w:r>
        <w:rPr>
          <w:rFonts w:ascii="Arial" w:cs="Arial" w:eastAsia="Arial" w:hAnsi="Arial"/>
          <w:sz w:val="18"/>
          <w:szCs w:val="18"/>
          <w:color w:val="auto"/>
        </w:rPr>
        <w:t xml:space="preserve"> 2018 PROXY STATEMENT</w:t>
      </w:r>
    </w:p>
    <w:p>
      <w:pPr>
        <w:sectPr>
          <w:pgSz w:w="11900" w:h="16838" w:orient="portrait"/>
          <w:cols w:equalWidth="0" w:num="1">
            <w:col w:w="11360"/>
          </w:cols>
          <w:pgMar w:left="240" w:top="125" w:right="299" w:bottom="1440" w:gutter="0" w:footer="0" w:header="0"/>
        </w:sectPr>
      </w:pPr>
    </w:p>
    <w:bookmarkStart w:id="11" w:name="page12"/>
    <w:bookmarkEnd w:id="11"/>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960"/>
        <w:spacing w:after="0"/>
        <w:rPr>
          <w:sz w:val="20"/>
          <w:szCs w:val="20"/>
          <w:color w:val="auto"/>
        </w:rPr>
      </w:pPr>
      <w:r>
        <w:rPr>
          <w:rFonts w:ascii="Arial" w:cs="Arial" w:eastAsia="Arial" w:hAnsi="Arial"/>
          <w:sz w:val="14"/>
          <w:szCs w:val="14"/>
          <w:color w:val="auto"/>
        </w:rPr>
        <w:t>VOTING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represented by proxy at the Annual Meeting and entitled to vote on the matter in order to be adopted. Abstentions are counted for purposes of determining a quorum and are considered present and entitled to vote on this proposal. As a result, abstentions have the effect of an “AGAINST” vote. Broker non-votes will not be considered as entitled to vote on this proposal, even though they are considered present for purposes of determining a quorum and may be entitled to vote on other matters. As a result, broker non-votes will not have any effect on this proposal.</w:t>
      </w:r>
    </w:p>
    <w:p>
      <w:pPr>
        <w:spacing w:after="0" w:line="70" w:lineRule="exact"/>
        <w:rPr>
          <w:sz w:val="20"/>
          <w:szCs w:val="20"/>
          <w:color w:val="auto"/>
        </w:rPr>
      </w:pPr>
    </w:p>
    <w:p>
      <w:pPr>
        <w:jc w:val="both"/>
        <w:ind w:right="400"/>
        <w:spacing w:after="0" w:line="256" w:lineRule="auto"/>
        <w:rPr>
          <w:sz w:val="20"/>
          <w:szCs w:val="20"/>
          <w:color w:val="auto"/>
        </w:rPr>
      </w:pPr>
      <w:r>
        <w:rPr>
          <w:rFonts w:ascii="Arial" w:cs="Arial" w:eastAsia="Arial" w:hAnsi="Arial"/>
          <w:sz w:val="18"/>
          <w:szCs w:val="18"/>
          <w:color w:val="auto"/>
        </w:rPr>
        <w:t>For the proposal to ratify the appointment of Deloitte, you may vote “FOR” or “AGAINST” or abstain from voting. This proposal requires the affirmative vote of a majority of the shares cast on the matter. Abstentions will not be considered as cast and, as a result, will not have any effect on the proposal.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VOTES ARE COUNTED</w:t>
      </w:r>
    </w:p>
    <w:p>
      <w:pPr>
        <w:spacing w:after="0" w:line="9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i w:val="1"/>
          <w:iCs w:val="1"/>
          <w:color w:val="auto"/>
        </w:rPr>
        <w:t>For stockholders of record</w:t>
      </w:r>
      <w:r>
        <w:rPr>
          <w:rFonts w:ascii="Arial" w:cs="Arial" w:eastAsia="Arial" w:hAnsi="Arial"/>
          <w:sz w:val="17"/>
          <w:szCs w:val="17"/>
          <w:color w:val="auto"/>
        </w:rPr>
        <w:t>, all shares represented by the proxies will be voted at the Annual Meeting in accordance with instructions given by</w:t>
      </w:r>
      <w:r>
        <w:rPr>
          <w:rFonts w:ascii="Arial" w:cs="Arial" w:eastAsia="Arial" w:hAnsi="Arial"/>
          <w:sz w:val="17"/>
          <w:szCs w:val="17"/>
          <w:i w:val="1"/>
          <w:iCs w:val="1"/>
          <w:color w:val="auto"/>
        </w:rPr>
        <w:t xml:space="preserve"> </w:t>
      </w:r>
      <w:r>
        <w:rPr>
          <w:rFonts w:ascii="Arial" w:cs="Arial" w:eastAsia="Arial" w:hAnsi="Arial"/>
          <w:sz w:val="17"/>
          <w:szCs w:val="17"/>
          <w:color w:val="auto"/>
        </w:rPr>
        <w:t>the stockholders. Where a stockholder returns their proxy and no instructions are given with respect to a given matter, the shares will be voted:</w:t>
      </w:r>
    </w:p>
    <w:p>
      <w:pPr>
        <w:spacing w:after="0" w:line="1" w:lineRule="exact"/>
        <w:rPr>
          <w:sz w:val="20"/>
          <w:szCs w:val="20"/>
          <w:color w:val="auto"/>
        </w:rPr>
      </w:pPr>
    </w:p>
    <w:p>
      <w:pPr>
        <w:ind w:right="100" w:firstLine="8"/>
        <w:spacing w:after="0" w:line="254" w:lineRule="auto"/>
        <w:tabs>
          <w:tab w:leader="none" w:pos="27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the election of the Class II directors; (2) “FOR” the approval of the compensation of our Named Executives; (3) “FOR” the ratification of the appointment of Deloitte as our independent registered public accounting firm; and (4) in the discretion of the proxy holders upon such other business as may properly come before the Annual Meeting. If you are a stockholder of record and you do not return your proxy, no votes will be cast on your behalf on any of the items of business at the Annual Meeting.</w:t>
      </w:r>
    </w:p>
    <w:p>
      <w:pPr>
        <w:spacing w:after="0" w:line="5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For beneficial owners of shares held in street name</w:t>
      </w:r>
      <w:r>
        <w:rPr>
          <w:rFonts w:ascii="Arial" w:cs="Arial" w:eastAsia="Arial" w:hAnsi="Arial"/>
          <w:sz w:val="18"/>
          <w:szCs w:val="18"/>
          <w:color w:val="auto"/>
        </w:rPr>
        <w:t>, the brokers, banks, or nominees holding shares for beneficial owners must vote those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as instructed. Absent instructions from you, brokers, banks and nominees may vote your shares only as they decide as to matters for which they have discretionary authority under the applicable New York Stock Exchange rules. A broker, bank or nominee does not have discretion to vote on the election of directors or approval of the compensation of our Named Executives. If you do not instruct your broker, bank or nominee how to vote on those matters, no votes will be cast on your behalf on the election of directors or the advisory vote on executive compensation. Your broker will be entitled to vote your shares in its discretion, absent instructions from you, on the ratification of the appointment of Deloitte as our independent registered public accounting firm. Any shares of our common stock held in the Thrift Plan that are not voted or for which Vanguard does not receive timely voting instructions, will be voted in the same proportion as the shares for which Vanguard receives timely voting instructions from other participants in the Thrift Plan.</w:t>
      </w:r>
    </w:p>
    <w:p>
      <w:pPr>
        <w:spacing w:after="0" w:line="72"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We are not aware of any other matters that may be presented or acted on at the meeting. If you vote by signing and returning the enclosed proxy card or using the Internet or telephone voting procedures, the individuals named as proxies on the card may vote your shares, in their discretion, on any other matter requiring a stockholder vote that comes before the meeting.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VOTING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All voted proxies and ballots will be handled to protect your voting privacy as a stockholder. Your vote will not be disclosed except:</w:t>
      </w:r>
    </w:p>
    <w:p>
      <w:pPr>
        <w:spacing w:after="0" w:line="117"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meet any legal requirements;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limited circumstances such as a proxy contest in opposition to our Board;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permit independent inspectors of election to tabulate and certify your vote; or</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adequately respond to your written comments on your proxy card.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sz w:val="1"/>
          <w:szCs w:val="1"/>
          <w:color w:val="auto"/>
        </w:rPr>
        <w:drawing>
          <wp:inline distT="0" distB="0" distL="0" distR="0">
            <wp:extent cx="488950" cy="20574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88950" cy="205740"/>
                    </a:xfrm>
                    <a:prstGeom prst="rect">
                      <a:avLst/>
                    </a:prstGeom>
                    <a:noFill/>
                    <a:ln>
                      <a:noFill/>
                    </a:ln>
                  </pic:spPr>
                </pic:pic>
              </a:graphicData>
            </a:graphic>
          </wp:inline>
        </w:drawing>
      </w:r>
      <w:r>
        <w:rPr>
          <w:rFonts w:ascii="Arial" w:cs="Arial" w:eastAsia="Arial" w:hAnsi="Arial"/>
          <w:sz w:val="18"/>
          <w:szCs w:val="18"/>
          <w:color w:val="auto"/>
        </w:rPr>
        <w:t xml:space="preserve"> 2018 PROXY STATEMENT </w:t>
      </w:r>
      <w:r>
        <w:rPr>
          <w:rFonts w:ascii="Arial" w:cs="Arial" w:eastAsia="Arial" w:hAnsi="Arial"/>
          <w:sz w:val="18"/>
          <w:szCs w:val="18"/>
          <w:b w:val="1"/>
          <w:bCs w:val="1"/>
          <w:color w:val="2C2C2C"/>
        </w:rPr>
        <w:t>3</w:t>
      </w:r>
    </w:p>
    <w:p>
      <w:pPr>
        <w:sectPr>
          <w:pgSz w:w="11900" w:h="16838" w:orient="portrait"/>
          <w:cols w:equalWidth="0" w:num="1">
            <w:col w:w="11420"/>
          </w:cols>
          <w:pgMar w:left="240" w:top="125" w:right="239" w:bottom="1440" w:gutter="0" w:footer="0" w:header="0"/>
        </w:sectPr>
      </w:pPr>
    </w:p>
    <w:bookmarkStart w:id="12" w:name="page13"/>
    <w:bookmarkEnd w:id="12"/>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7540"/>
        <w:spacing w:after="0"/>
        <w:rPr>
          <w:sz w:val="20"/>
          <w:szCs w:val="20"/>
          <w:color w:val="auto"/>
        </w:rPr>
      </w:pPr>
      <w:r>
        <w:rPr>
          <w:rFonts w:ascii="Arial" w:cs="Arial" w:eastAsia="Arial" w:hAnsi="Arial"/>
          <w:sz w:val="14"/>
          <w:szCs w:val="14"/>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PROPOSAL 1: ELECTION OF DIRECTORS</w:t>
      </w:r>
    </w:p>
    <w:p>
      <w:pPr>
        <w:spacing w:after="0" w:line="20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board of directors is currently comprised of the eleven members identified in the table below. Our Certificate of Incorporation provides for the classification of our Board into three classes, with the term of one class expiring each year. Our Board has adopted a policy that no director may serve on the Board for more than 10 years. See “Corporate Governance — Governance Committee — Director Nomination Process” for more information on this policy.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20" w:type="dxa"/>
            <w:vAlign w:val="bottom"/>
            <w:shd w:val="clear" w:color="auto" w:fill="525252"/>
          </w:tcPr>
          <w:p>
            <w:pPr>
              <w:spacing w:after="0"/>
              <w:rPr>
                <w:sz w:val="15"/>
                <w:szCs w:val="15"/>
                <w:color w:val="auto"/>
              </w:rPr>
            </w:pPr>
          </w:p>
        </w:tc>
        <w:tc>
          <w:tcPr>
            <w:tcW w:w="4560" w:type="dxa"/>
            <w:vAlign w:val="bottom"/>
            <w:shd w:val="clear" w:color="auto" w:fill="525252"/>
          </w:tcPr>
          <w:p>
            <w:pPr>
              <w:spacing w:after="0"/>
              <w:rPr>
                <w:sz w:val="15"/>
                <w:szCs w:val="15"/>
                <w:color w:val="auto"/>
              </w:rPr>
            </w:pPr>
          </w:p>
        </w:tc>
        <w:tc>
          <w:tcPr>
            <w:tcW w:w="1840" w:type="dxa"/>
            <w:vAlign w:val="bottom"/>
            <w:shd w:val="clear" w:color="auto" w:fill="525252"/>
          </w:tcPr>
          <w:p>
            <w:pPr>
              <w:jc w:val="center"/>
              <w:spacing w:after="0"/>
              <w:rPr>
                <w:sz w:val="20"/>
                <w:szCs w:val="20"/>
                <w:color w:val="auto"/>
              </w:rPr>
            </w:pPr>
            <w:r>
              <w:rPr>
                <w:rFonts w:ascii="Arial" w:cs="Arial" w:eastAsia="Arial" w:hAnsi="Arial"/>
                <w:sz w:val="14"/>
                <w:szCs w:val="14"/>
                <w:b w:val="1"/>
                <w:bCs w:val="1"/>
                <w:color w:val="FFFFFF"/>
              </w:rPr>
              <w:t>Year Term</w:t>
            </w:r>
          </w:p>
        </w:tc>
      </w:tr>
      <w:tr>
        <w:trPr>
          <w:trHeight w:val="202"/>
        </w:trPr>
        <w:tc>
          <w:tcPr>
            <w:tcW w:w="5020" w:type="dxa"/>
            <w:vAlign w:val="bottom"/>
            <w:shd w:val="clear" w:color="auto" w:fill="525252"/>
          </w:tcPr>
          <w:p>
            <w:pPr>
              <w:ind w:left="40"/>
              <w:spacing w:after="0"/>
              <w:rPr>
                <w:sz w:val="20"/>
                <w:szCs w:val="20"/>
                <w:color w:val="auto"/>
              </w:rPr>
            </w:pPr>
            <w:r>
              <w:rPr>
                <w:rFonts w:ascii="Arial" w:cs="Arial" w:eastAsia="Arial" w:hAnsi="Arial"/>
                <w:sz w:val="14"/>
                <w:szCs w:val="14"/>
                <w:b w:val="1"/>
                <w:bCs w:val="1"/>
                <w:color w:val="FFFFFF"/>
              </w:rPr>
              <w:t>Name</w:t>
            </w:r>
          </w:p>
        </w:tc>
        <w:tc>
          <w:tcPr>
            <w:tcW w:w="4560" w:type="dxa"/>
            <w:vAlign w:val="bottom"/>
            <w:shd w:val="clear" w:color="auto" w:fill="525252"/>
          </w:tcPr>
          <w:p>
            <w:pPr>
              <w:jc w:val="center"/>
              <w:ind w:left="2691"/>
              <w:spacing w:after="0"/>
              <w:rPr>
                <w:sz w:val="20"/>
                <w:szCs w:val="20"/>
                <w:color w:val="auto"/>
              </w:rPr>
            </w:pPr>
            <w:r>
              <w:rPr>
                <w:rFonts w:ascii="Arial" w:cs="Arial" w:eastAsia="Arial" w:hAnsi="Arial"/>
                <w:sz w:val="14"/>
                <w:szCs w:val="14"/>
                <w:b w:val="1"/>
                <w:bCs w:val="1"/>
                <w:color w:val="FFFFFF"/>
              </w:rPr>
              <w:t>Class</w:t>
            </w:r>
          </w:p>
        </w:tc>
        <w:tc>
          <w:tcPr>
            <w:tcW w:w="1840" w:type="dxa"/>
            <w:vAlign w:val="bottom"/>
            <w:shd w:val="clear" w:color="auto" w:fill="525252"/>
          </w:tcPr>
          <w:p>
            <w:pPr>
              <w:jc w:val="center"/>
              <w:spacing w:after="0"/>
              <w:rPr>
                <w:sz w:val="20"/>
                <w:szCs w:val="20"/>
                <w:color w:val="auto"/>
              </w:rPr>
            </w:pPr>
            <w:r>
              <w:rPr>
                <w:rFonts w:ascii="Arial" w:cs="Arial" w:eastAsia="Arial" w:hAnsi="Arial"/>
                <w:sz w:val="14"/>
                <w:szCs w:val="14"/>
                <w:b w:val="1"/>
                <w:bCs w:val="1"/>
                <w:color w:val="FFFFFF"/>
              </w:rPr>
              <w:t>Expires</w:t>
            </w:r>
          </w:p>
        </w:tc>
      </w:tr>
      <w:tr>
        <w:trPr>
          <w:trHeight w:val="250"/>
        </w:trPr>
        <w:tc>
          <w:tcPr>
            <w:tcW w:w="5020" w:type="dxa"/>
            <w:vAlign w:val="bottom"/>
          </w:tcPr>
          <w:p>
            <w:pPr>
              <w:ind w:left="40"/>
              <w:spacing w:after="0"/>
              <w:rPr>
                <w:sz w:val="20"/>
                <w:szCs w:val="20"/>
                <w:color w:val="auto"/>
              </w:rPr>
            </w:pPr>
            <w:r>
              <w:rPr>
                <w:rFonts w:ascii="Arial" w:cs="Arial" w:eastAsia="Arial" w:hAnsi="Arial"/>
                <w:sz w:val="18"/>
                <w:szCs w:val="18"/>
                <w:color w:val="auto"/>
              </w:rPr>
              <w:t>Jan A. Bertsch</w:t>
            </w:r>
          </w:p>
        </w:tc>
        <w:tc>
          <w:tcPr>
            <w:tcW w:w="4560" w:type="dxa"/>
            <w:vAlign w:val="bottom"/>
          </w:tcPr>
          <w:p>
            <w:pPr>
              <w:jc w:val="center"/>
              <w:ind w:left="2671"/>
              <w:spacing w:after="0"/>
              <w:rPr>
                <w:sz w:val="20"/>
                <w:szCs w:val="20"/>
                <w:color w:val="auto"/>
              </w:rPr>
            </w:pPr>
            <w:r>
              <w:rPr>
                <w:rFonts w:ascii="Arial" w:cs="Arial" w:eastAsia="Arial" w:hAnsi="Arial"/>
                <w:sz w:val="18"/>
                <w:szCs w:val="18"/>
                <w:color w:val="auto"/>
                <w:w w:val="99"/>
              </w:rPr>
              <w:t>Class II</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2018</w:t>
            </w:r>
          </w:p>
        </w:tc>
      </w:tr>
      <w:tr>
        <w:trPr>
          <w:trHeight w:val="263"/>
        </w:trPr>
        <w:tc>
          <w:tcPr>
            <w:tcW w:w="5020" w:type="dxa"/>
            <w:vAlign w:val="bottom"/>
            <w:shd w:val="clear" w:color="auto" w:fill="E0E0E0"/>
          </w:tcPr>
          <w:p>
            <w:pPr>
              <w:ind w:left="40"/>
              <w:spacing w:after="0"/>
              <w:rPr>
                <w:sz w:val="20"/>
                <w:szCs w:val="20"/>
                <w:color w:val="auto"/>
              </w:rPr>
            </w:pPr>
            <w:r>
              <w:rPr>
                <w:rFonts w:ascii="Arial" w:cs="Arial" w:eastAsia="Arial" w:hAnsi="Arial"/>
                <w:sz w:val="18"/>
                <w:szCs w:val="18"/>
                <w:color w:val="auto"/>
              </w:rPr>
              <w:t>Robert W. Goldman*</w:t>
            </w:r>
          </w:p>
        </w:tc>
        <w:tc>
          <w:tcPr>
            <w:tcW w:w="4560" w:type="dxa"/>
            <w:vAlign w:val="bottom"/>
            <w:shd w:val="clear" w:color="auto" w:fill="E0E0E0"/>
          </w:tcPr>
          <w:p>
            <w:pPr>
              <w:jc w:val="center"/>
              <w:ind w:left="2671"/>
              <w:spacing w:after="0"/>
              <w:rPr>
                <w:sz w:val="20"/>
                <w:szCs w:val="20"/>
                <w:color w:val="auto"/>
              </w:rPr>
            </w:pPr>
            <w:r>
              <w:rPr>
                <w:rFonts w:ascii="Arial" w:cs="Arial" w:eastAsia="Arial" w:hAnsi="Arial"/>
                <w:sz w:val="18"/>
                <w:szCs w:val="18"/>
                <w:color w:val="auto"/>
                <w:w w:val="99"/>
              </w:rPr>
              <w:t>Class II</w:t>
            </w:r>
          </w:p>
        </w:tc>
        <w:tc>
          <w:tcPr>
            <w:tcW w:w="1840" w:type="dxa"/>
            <w:vAlign w:val="bottom"/>
            <w:shd w:val="clear" w:color="auto" w:fill="E0E0E0"/>
          </w:tcPr>
          <w:p>
            <w:pPr>
              <w:jc w:val="center"/>
              <w:spacing w:after="0"/>
              <w:rPr>
                <w:sz w:val="20"/>
                <w:szCs w:val="20"/>
                <w:color w:val="auto"/>
              </w:rPr>
            </w:pPr>
            <w:r>
              <w:rPr>
                <w:rFonts w:ascii="Arial" w:cs="Arial" w:eastAsia="Arial" w:hAnsi="Arial"/>
                <w:sz w:val="18"/>
                <w:szCs w:val="18"/>
                <w:color w:val="auto"/>
                <w:w w:val="99"/>
              </w:rPr>
              <w:t>2018</w:t>
            </w:r>
          </w:p>
        </w:tc>
      </w:tr>
      <w:tr>
        <w:trPr>
          <w:trHeight w:val="250"/>
        </w:trPr>
        <w:tc>
          <w:tcPr>
            <w:tcW w:w="5020" w:type="dxa"/>
            <w:vAlign w:val="bottom"/>
          </w:tcPr>
          <w:p>
            <w:pPr>
              <w:ind w:left="40"/>
              <w:spacing w:after="0"/>
              <w:rPr>
                <w:sz w:val="20"/>
                <w:szCs w:val="20"/>
                <w:color w:val="auto"/>
              </w:rPr>
            </w:pPr>
            <w:r>
              <w:rPr>
                <w:rFonts w:ascii="Arial" w:cs="Arial" w:eastAsia="Arial" w:hAnsi="Arial"/>
                <w:sz w:val="18"/>
                <w:szCs w:val="18"/>
                <w:color w:val="auto"/>
              </w:rPr>
              <w:t>James M. Jaska</w:t>
            </w:r>
          </w:p>
        </w:tc>
        <w:tc>
          <w:tcPr>
            <w:tcW w:w="4560" w:type="dxa"/>
            <w:vAlign w:val="bottom"/>
          </w:tcPr>
          <w:p>
            <w:pPr>
              <w:jc w:val="center"/>
              <w:ind w:left="2671"/>
              <w:spacing w:after="0"/>
              <w:rPr>
                <w:sz w:val="20"/>
                <w:szCs w:val="20"/>
                <w:color w:val="auto"/>
              </w:rPr>
            </w:pPr>
            <w:r>
              <w:rPr>
                <w:rFonts w:ascii="Arial" w:cs="Arial" w:eastAsia="Arial" w:hAnsi="Arial"/>
                <w:sz w:val="18"/>
                <w:szCs w:val="18"/>
                <w:color w:val="auto"/>
                <w:w w:val="99"/>
              </w:rPr>
              <w:t>Class II</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2018</w:t>
            </w:r>
          </w:p>
        </w:tc>
      </w:tr>
      <w:tr>
        <w:trPr>
          <w:trHeight w:val="263"/>
        </w:trPr>
        <w:tc>
          <w:tcPr>
            <w:tcW w:w="5020" w:type="dxa"/>
            <w:vAlign w:val="bottom"/>
            <w:shd w:val="clear" w:color="auto" w:fill="E0E0E0"/>
          </w:tcPr>
          <w:p>
            <w:pPr>
              <w:ind w:left="40"/>
              <w:spacing w:after="0"/>
              <w:rPr>
                <w:sz w:val="20"/>
                <w:szCs w:val="20"/>
                <w:color w:val="auto"/>
              </w:rPr>
            </w:pPr>
            <w:r>
              <w:rPr>
                <w:rFonts w:ascii="Arial" w:cs="Arial" w:eastAsia="Arial" w:hAnsi="Arial"/>
                <w:sz w:val="18"/>
                <w:szCs w:val="18"/>
                <w:color w:val="auto"/>
              </w:rPr>
              <w:t>Kenneth J. Krieg</w:t>
            </w:r>
          </w:p>
        </w:tc>
        <w:tc>
          <w:tcPr>
            <w:tcW w:w="4560" w:type="dxa"/>
            <w:vAlign w:val="bottom"/>
            <w:shd w:val="clear" w:color="auto" w:fill="E0E0E0"/>
          </w:tcPr>
          <w:p>
            <w:pPr>
              <w:jc w:val="center"/>
              <w:ind w:left="2671"/>
              <w:spacing w:after="0"/>
              <w:rPr>
                <w:sz w:val="20"/>
                <w:szCs w:val="20"/>
                <w:color w:val="auto"/>
              </w:rPr>
            </w:pPr>
            <w:r>
              <w:rPr>
                <w:rFonts w:ascii="Arial" w:cs="Arial" w:eastAsia="Arial" w:hAnsi="Arial"/>
                <w:sz w:val="18"/>
                <w:szCs w:val="18"/>
                <w:color w:val="auto"/>
                <w:w w:val="99"/>
              </w:rPr>
              <w:t>Class II</w:t>
            </w:r>
          </w:p>
        </w:tc>
        <w:tc>
          <w:tcPr>
            <w:tcW w:w="1840" w:type="dxa"/>
            <w:vAlign w:val="bottom"/>
            <w:shd w:val="clear" w:color="auto" w:fill="E0E0E0"/>
          </w:tcPr>
          <w:p>
            <w:pPr>
              <w:jc w:val="center"/>
              <w:spacing w:after="0"/>
              <w:rPr>
                <w:sz w:val="20"/>
                <w:szCs w:val="20"/>
                <w:color w:val="auto"/>
              </w:rPr>
            </w:pPr>
            <w:r>
              <w:rPr>
                <w:rFonts w:ascii="Arial" w:cs="Arial" w:eastAsia="Arial" w:hAnsi="Arial"/>
                <w:sz w:val="18"/>
                <w:szCs w:val="18"/>
                <w:color w:val="auto"/>
                <w:w w:val="99"/>
              </w:rPr>
              <w:t>2018</w:t>
            </w:r>
          </w:p>
        </w:tc>
      </w:tr>
      <w:tr>
        <w:trPr>
          <w:trHeight w:val="250"/>
        </w:trPr>
        <w:tc>
          <w:tcPr>
            <w:tcW w:w="5020" w:type="dxa"/>
            <w:vAlign w:val="bottom"/>
          </w:tcPr>
          <w:p>
            <w:pPr>
              <w:ind w:left="40"/>
              <w:spacing w:after="0"/>
              <w:rPr>
                <w:sz w:val="20"/>
                <w:szCs w:val="20"/>
                <w:color w:val="auto"/>
              </w:rPr>
            </w:pPr>
            <w:r>
              <w:rPr>
                <w:rFonts w:ascii="Arial" w:cs="Arial" w:eastAsia="Arial" w:hAnsi="Arial"/>
                <w:sz w:val="18"/>
                <w:szCs w:val="18"/>
                <w:color w:val="auto"/>
              </w:rPr>
              <w:t>John A. Fees</w:t>
            </w:r>
          </w:p>
        </w:tc>
        <w:tc>
          <w:tcPr>
            <w:tcW w:w="4560" w:type="dxa"/>
            <w:vAlign w:val="bottom"/>
          </w:tcPr>
          <w:p>
            <w:pPr>
              <w:jc w:val="center"/>
              <w:ind w:left="2691"/>
              <w:spacing w:after="0"/>
              <w:rPr>
                <w:sz w:val="20"/>
                <w:szCs w:val="20"/>
                <w:color w:val="auto"/>
              </w:rPr>
            </w:pPr>
            <w:r>
              <w:rPr>
                <w:rFonts w:ascii="Arial" w:cs="Arial" w:eastAsia="Arial" w:hAnsi="Arial"/>
                <w:sz w:val="18"/>
                <w:szCs w:val="18"/>
                <w:color w:val="auto"/>
              </w:rPr>
              <w:t>Class III</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2019</w:t>
            </w:r>
          </w:p>
        </w:tc>
      </w:tr>
      <w:tr>
        <w:trPr>
          <w:trHeight w:val="263"/>
        </w:trPr>
        <w:tc>
          <w:tcPr>
            <w:tcW w:w="5020" w:type="dxa"/>
            <w:vAlign w:val="bottom"/>
            <w:shd w:val="clear" w:color="auto" w:fill="E0E0E0"/>
          </w:tcPr>
          <w:p>
            <w:pPr>
              <w:ind w:left="40"/>
              <w:spacing w:after="0"/>
              <w:rPr>
                <w:sz w:val="20"/>
                <w:szCs w:val="20"/>
                <w:color w:val="auto"/>
              </w:rPr>
            </w:pPr>
            <w:r>
              <w:rPr>
                <w:rFonts w:ascii="Arial" w:cs="Arial" w:eastAsia="Arial" w:hAnsi="Arial"/>
                <w:sz w:val="18"/>
                <w:szCs w:val="18"/>
                <w:color w:val="auto"/>
              </w:rPr>
              <w:t>Robb A. LeMasters</w:t>
            </w:r>
          </w:p>
        </w:tc>
        <w:tc>
          <w:tcPr>
            <w:tcW w:w="4560" w:type="dxa"/>
            <w:vAlign w:val="bottom"/>
            <w:shd w:val="clear" w:color="auto" w:fill="E0E0E0"/>
          </w:tcPr>
          <w:p>
            <w:pPr>
              <w:jc w:val="center"/>
              <w:ind w:left="2691"/>
              <w:spacing w:after="0"/>
              <w:rPr>
                <w:sz w:val="20"/>
                <w:szCs w:val="20"/>
                <w:color w:val="auto"/>
              </w:rPr>
            </w:pPr>
            <w:r>
              <w:rPr>
                <w:rFonts w:ascii="Arial" w:cs="Arial" w:eastAsia="Arial" w:hAnsi="Arial"/>
                <w:sz w:val="18"/>
                <w:szCs w:val="18"/>
                <w:color w:val="auto"/>
              </w:rPr>
              <w:t>Class III</w:t>
            </w:r>
          </w:p>
        </w:tc>
        <w:tc>
          <w:tcPr>
            <w:tcW w:w="1840" w:type="dxa"/>
            <w:vAlign w:val="bottom"/>
            <w:shd w:val="clear" w:color="auto" w:fill="E0E0E0"/>
          </w:tcPr>
          <w:p>
            <w:pPr>
              <w:jc w:val="center"/>
              <w:spacing w:after="0"/>
              <w:rPr>
                <w:sz w:val="20"/>
                <w:szCs w:val="20"/>
                <w:color w:val="auto"/>
              </w:rPr>
            </w:pPr>
            <w:r>
              <w:rPr>
                <w:rFonts w:ascii="Arial" w:cs="Arial" w:eastAsia="Arial" w:hAnsi="Arial"/>
                <w:sz w:val="18"/>
                <w:szCs w:val="18"/>
                <w:color w:val="auto"/>
                <w:w w:val="99"/>
              </w:rPr>
              <w:t>2019</w:t>
            </w:r>
          </w:p>
        </w:tc>
      </w:tr>
      <w:tr>
        <w:trPr>
          <w:trHeight w:val="250"/>
        </w:trPr>
        <w:tc>
          <w:tcPr>
            <w:tcW w:w="5020" w:type="dxa"/>
            <w:vAlign w:val="bottom"/>
          </w:tcPr>
          <w:p>
            <w:pPr>
              <w:ind w:left="40"/>
              <w:spacing w:after="0"/>
              <w:rPr>
                <w:sz w:val="20"/>
                <w:szCs w:val="20"/>
                <w:color w:val="auto"/>
              </w:rPr>
            </w:pPr>
            <w:r>
              <w:rPr>
                <w:rFonts w:ascii="Arial" w:cs="Arial" w:eastAsia="Arial" w:hAnsi="Arial"/>
                <w:sz w:val="18"/>
                <w:szCs w:val="18"/>
                <w:color w:val="auto"/>
              </w:rPr>
              <w:t>Richard W. Mies</w:t>
            </w:r>
          </w:p>
        </w:tc>
        <w:tc>
          <w:tcPr>
            <w:tcW w:w="4560" w:type="dxa"/>
            <w:vAlign w:val="bottom"/>
          </w:tcPr>
          <w:p>
            <w:pPr>
              <w:jc w:val="center"/>
              <w:ind w:left="2691"/>
              <w:spacing w:after="0"/>
              <w:rPr>
                <w:sz w:val="20"/>
                <w:szCs w:val="20"/>
                <w:color w:val="auto"/>
              </w:rPr>
            </w:pPr>
            <w:r>
              <w:rPr>
                <w:rFonts w:ascii="Arial" w:cs="Arial" w:eastAsia="Arial" w:hAnsi="Arial"/>
                <w:sz w:val="18"/>
                <w:szCs w:val="18"/>
                <w:color w:val="auto"/>
              </w:rPr>
              <w:t>Class III</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2019</w:t>
            </w:r>
          </w:p>
        </w:tc>
      </w:tr>
      <w:tr>
        <w:trPr>
          <w:trHeight w:val="263"/>
        </w:trPr>
        <w:tc>
          <w:tcPr>
            <w:tcW w:w="5020" w:type="dxa"/>
            <w:vAlign w:val="bottom"/>
            <w:shd w:val="clear" w:color="auto" w:fill="E2E2E2"/>
          </w:tcPr>
          <w:p>
            <w:pPr>
              <w:ind w:left="40"/>
              <w:spacing w:after="0"/>
              <w:rPr>
                <w:sz w:val="20"/>
                <w:szCs w:val="20"/>
                <w:color w:val="auto"/>
              </w:rPr>
            </w:pPr>
            <w:r>
              <w:rPr>
                <w:rFonts w:ascii="Arial" w:cs="Arial" w:eastAsia="Arial" w:hAnsi="Arial"/>
                <w:sz w:val="18"/>
                <w:szCs w:val="18"/>
                <w:color w:val="auto"/>
              </w:rPr>
              <w:t>Rex D. Geveden</w:t>
            </w:r>
          </w:p>
        </w:tc>
        <w:tc>
          <w:tcPr>
            <w:tcW w:w="4560" w:type="dxa"/>
            <w:vAlign w:val="bottom"/>
            <w:shd w:val="clear" w:color="auto" w:fill="E2E2E2"/>
          </w:tcPr>
          <w:p>
            <w:pPr>
              <w:jc w:val="center"/>
              <w:ind w:left="2691"/>
              <w:spacing w:after="0"/>
              <w:rPr>
                <w:sz w:val="20"/>
                <w:szCs w:val="20"/>
                <w:color w:val="auto"/>
              </w:rPr>
            </w:pPr>
            <w:r>
              <w:rPr>
                <w:rFonts w:ascii="Arial" w:cs="Arial" w:eastAsia="Arial" w:hAnsi="Arial"/>
                <w:sz w:val="18"/>
                <w:szCs w:val="18"/>
                <w:color w:val="auto"/>
                <w:w w:val="98"/>
              </w:rPr>
              <w:t>Class I</w:t>
            </w:r>
          </w:p>
        </w:tc>
        <w:tc>
          <w:tcPr>
            <w:tcW w:w="1840" w:type="dxa"/>
            <w:vAlign w:val="bottom"/>
            <w:shd w:val="clear" w:color="auto" w:fill="E2E2E2"/>
          </w:tcPr>
          <w:p>
            <w:pPr>
              <w:jc w:val="center"/>
              <w:spacing w:after="0"/>
              <w:rPr>
                <w:sz w:val="20"/>
                <w:szCs w:val="20"/>
                <w:color w:val="auto"/>
              </w:rPr>
            </w:pPr>
            <w:r>
              <w:rPr>
                <w:rFonts w:ascii="Arial" w:cs="Arial" w:eastAsia="Arial" w:hAnsi="Arial"/>
                <w:sz w:val="18"/>
                <w:szCs w:val="18"/>
                <w:color w:val="auto"/>
                <w:w w:val="99"/>
              </w:rPr>
              <w:t>2020</w:t>
            </w:r>
          </w:p>
        </w:tc>
      </w:tr>
      <w:tr>
        <w:trPr>
          <w:trHeight w:val="250"/>
        </w:trPr>
        <w:tc>
          <w:tcPr>
            <w:tcW w:w="5020" w:type="dxa"/>
            <w:vAlign w:val="bottom"/>
          </w:tcPr>
          <w:p>
            <w:pPr>
              <w:ind w:left="40"/>
              <w:spacing w:after="0"/>
              <w:rPr>
                <w:sz w:val="20"/>
                <w:szCs w:val="20"/>
                <w:color w:val="auto"/>
              </w:rPr>
            </w:pPr>
            <w:r>
              <w:rPr>
                <w:rFonts w:ascii="Arial" w:cs="Arial" w:eastAsia="Arial" w:hAnsi="Arial"/>
                <w:sz w:val="18"/>
                <w:szCs w:val="18"/>
                <w:color w:val="auto"/>
              </w:rPr>
              <w:t>Robert L. Nardelli</w:t>
            </w:r>
          </w:p>
        </w:tc>
        <w:tc>
          <w:tcPr>
            <w:tcW w:w="4560" w:type="dxa"/>
            <w:vAlign w:val="bottom"/>
          </w:tcPr>
          <w:p>
            <w:pPr>
              <w:jc w:val="center"/>
              <w:ind w:left="2691"/>
              <w:spacing w:after="0"/>
              <w:rPr>
                <w:sz w:val="20"/>
                <w:szCs w:val="20"/>
                <w:color w:val="auto"/>
              </w:rPr>
            </w:pPr>
            <w:r>
              <w:rPr>
                <w:rFonts w:ascii="Arial" w:cs="Arial" w:eastAsia="Arial" w:hAnsi="Arial"/>
                <w:sz w:val="18"/>
                <w:szCs w:val="18"/>
                <w:color w:val="auto"/>
                <w:w w:val="98"/>
              </w:rPr>
              <w:t>Class I</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2020</w:t>
            </w:r>
          </w:p>
        </w:tc>
      </w:tr>
      <w:tr>
        <w:trPr>
          <w:trHeight w:val="263"/>
        </w:trPr>
        <w:tc>
          <w:tcPr>
            <w:tcW w:w="5020" w:type="dxa"/>
            <w:vAlign w:val="bottom"/>
            <w:shd w:val="clear" w:color="auto" w:fill="E2E2E2"/>
          </w:tcPr>
          <w:p>
            <w:pPr>
              <w:ind w:left="40"/>
              <w:spacing w:after="0"/>
              <w:rPr>
                <w:sz w:val="20"/>
                <w:szCs w:val="20"/>
                <w:color w:val="auto"/>
              </w:rPr>
            </w:pPr>
            <w:r>
              <w:rPr>
                <w:rFonts w:ascii="Arial" w:cs="Arial" w:eastAsia="Arial" w:hAnsi="Arial"/>
                <w:sz w:val="18"/>
                <w:szCs w:val="18"/>
                <w:color w:val="auto"/>
              </w:rPr>
              <w:t>Barbara A. Niland</w:t>
            </w:r>
          </w:p>
        </w:tc>
        <w:tc>
          <w:tcPr>
            <w:tcW w:w="4560" w:type="dxa"/>
            <w:vAlign w:val="bottom"/>
            <w:shd w:val="clear" w:color="auto" w:fill="E2E2E2"/>
          </w:tcPr>
          <w:p>
            <w:pPr>
              <w:jc w:val="center"/>
              <w:ind w:left="2691"/>
              <w:spacing w:after="0"/>
              <w:rPr>
                <w:sz w:val="20"/>
                <w:szCs w:val="20"/>
                <w:color w:val="auto"/>
              </w:rPr>
            </w:pPr>
            <w:r>
              <w:rPr>
                <w:rFonts w:ascii="Arial" w:cs="Arial" w:eastAsia="Arial" w:hAnsi="Arial"/>
                <w:sz w:val="18"/>
                <w:szCs w:val="18"/>
                <w:color w:val="auto"/>
                <w:w w:val="98"/>
              </w:rPr>
              <w:t>Class I</w:t>
            </w:r>
          </w:p>
        </w:tc>
        <w:tc>
          <w:tcPr>
            <w:tcW w:w="1840" w:type="dxa"/>
            <w:vAlign w:val="bottom"/>
            <w:shd w:val="clear" w:color="auto" w:fill="E2E2E2"/>
          </w:tcPr>
          <w:p>
            <w:pPr>
              <w:jc w:val="center"/>
              <w:spacing w:after="0"/>
              <w:rPr>
                <w:sz w:val="20"/>
                <w:szCs w:val="20"/>
                <w:color w:val="auto"/>
              </w:rPr>
            </w:pPr>
            <w:r>
              <w:rPr>
                <w:rFonts w:ascii="Arial" w:cs="Arial" w:eastAsia="Arial" w:hAnsi="Arial"/>
                <w:sz w:val="18"/>
                <w:szCs w:val="18"/>
                <w:color w:val="auto"/>
                <w:w w:val="99"/>
              </w:rPr>
              <w:t>2020</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Charles W. Pryor, Jr.</w:t>
            </w:r>
          </w:p>
        </w:tc>
        <w:tc>
          <w:tcPr>
            <w:tcW w:w="4560" w:type="dxa"/>
            <w:vAlign w:val="bottom"/>
          </w:tcPr>
          <w:p>
            <w:pPr>
              <w:jc w:val="center"/>
              <w:ind w:left="2691"/>
              <w:spacing w:after="0"/>
              <w:rPr>
                <w:sz w:val="20"/>
                <w:szCs w:val="20"/>
                <w:color w:val="auto"/>
              </w:rPr>
            </w:pPr>
            <w:r>
              <w:rPr>
                <w:rFonts w:ascii="Arial" w:cs="Arial" w:eastAsia="Arial" w:hAnsi="Arial"/>
                <w:sz w:val="18"/>
                <w:szCs w:val="18"/>
                <w:color w:val="auto"/>
                <w:w w:val="98"/>
              </w:rPr>
              <w:t>Class I</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2020</w:t>
            </w:r>
          </w:p>
        </w:tc>
      </w:tr>
    </w:tbl>
    <w:p>
      <w:pPr>
        <w:spacing w:after="0" w:line="45" w:lineRule="exact"/>
        <w:rPr>
          <w:sz w:val="20"/>
          <w:szCs w:val="20"/>
          <w:color w:val="auto"/>
        </w:rPr>
      </w:pPr>
    </w:p>
    <w:p>
      <w:pPr>
        <w:ind w:left="40"/>
        <w:spacing w:after="0"/>
        <w:rPr>
          <w:sz w:val="20"/>
          <w:szCs w:val="20"/>
          <w:color w:val="auto"/>
        </w:rPr>
      </w:pPr>
      <w:r>
        <w:rPr>
          <w:rFonts w:ascii="Arial" w:cs="Arial" w:eastAsia="Arial" w:hAnsi="Arial"/>
          <w:sz w:val="14"/>
          <w:szCs w:val="14"/>
          <w:color w:val="auto"/>
        </w:rPr>
        <w:t>* Mr. Goldman is retiring from the Board at the Annual Meeting and is not standing for re-election.</w:t>
      </w:r>
    </w:p>
    <w:p>
      <w:pPr>
        <w:spacing w:after="0" w:line="10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term of office of our Class II directors will expire at this year’s Annual Meeting. The current Class II directors are Jan A. Bertsch, Robert W. Goldman, James M. Jaska and Kenneth J. Krieg. In December 2017, Mr. Goldman notified the Board of his intention to retire upon the expiration of his current term as a Class II director at the Annual Meeting. Ms. Bertsch has served on our Board since her appointment in June 2013. Messrs. Jaska and Krieg were appointed to the Board in September 2016 upon their identification as potential nominees by a third-party search firm. Both are standing for election for the first time at the Annual Meeting. Accordingly, on the nomination of our Board following the recommendation of the Governance Committee, Ms. Bertsch and Messrs. Jaska and Krieg will each stand for election as a Class II director for a term of three years. Each nominee has consented to serve as a director if elected.</w:t>
      </w:r>
    </w:p>
    <w:p>
      <w:pPr>
        <w:spacing w:after="0" w:line="7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Unless otherwise directed, the persons named as proxies on the enclosed proxy card intend to vote “FOR” the election of the nominees. If any nominee should become unavailable for election, the shares will be voted for such substitute nominee as may be proposed by our Board. However, we are not aware of any circumstances that would prevent any of the nominees from serving.</w:t>
      </w:r>
    </w:p>
    <w:p>
      <w:pPr>
        <w:spacing w:after="0" w:line="6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table below highlights the qualifications, competency and experience of each member of our Board that contributed to the Board’s determination that each individual is uniquely qualified to serve on the Board. This high-level summary is not intended to be an exhaustive list of each nominee’s skills or contributions.</w:t>
      </w:r>
    </w:p>
    <w:p>
      <w:pPr>
        <w:spacing w:after="0" w:line="338"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720" w:type="dxa"/>
            <w:vAlign w:val="bottom"/>
            <w:tcBorders>
              <w:left w:val="single" w:sz="8" w:color="ACACAC"/>
              <w:right w:val="single" w:sz="8" w:color="ACACAC"/>
            </w:tcBorders>
            <w:shd w:val="clear" w:color="auto" w:fill="525252"/>
          </w:tcPr>
          <w:p>
            <w:pPr>
              <w:ind w:left="40"/>
              <w:spacing w:after="0"/>
              <w:rPr>
                <w:sz w:val="20"/>
                <w:szCs w:val="20"/>
                <w:color w:val="auto"/>
              </w:rPr>
            </w:pPr>
            <w:r>
              <w:rPr>
                <w:rFonts w:ascii="Arial" w:cs="Arial" w:eastAsia="Arial" w:hAnsi="Arial"/>
                <w:sz w:val="14"/>
                <w:szCs w:val="14"/>
                <w:b w:val="1"/>
                <w:bCs w:val="1"/>
                <w:color w:val="FFFFFF"/>
              </w:rPr>
              <w:t>Competency / Experience</w:t>
            </w:r>
          </w:p>
        </w:tc>
        <w:tc>
          <w:tcPr>
            <w:tcW w:w="780" w:type="dxa"/>
            <w:vAlign w:val="bottom"/>
            <w:tcBorders>
              <w:right w:val="single" w:sz="8" w:color="ACACAC"/>
            </w:tcBorders>
            <w:shd w:val="clear" w:color="auto" w:fill="525252"/>
          </w:tcPr>
          <w:p>
            <w:pPr>
              <w:jc w:val="center"/>
              <w:spacing w:after="0"/>
              <w:rPr>
                <w:sz w:val="20"/>
                <w:szCs w:val="20"/>
                <w:color w:val="auto"/>
              </w:rPr>
            </w:pPr>
            <w:r>
              <w:rPr>
                <w:rFonts w:ascii="Arial" w:cs="Arial" w:eastAsia="Arial" w:hAnsi="Arial"/>
                <w:sz w:val="13"/>
                <w:szCs w:val="13"/>
                <w:b w:val="1"/>
                <w:bCs w:val="1"/>
                <w:color w:val="FFFFFF"/>
                <w:w w:val="98"/>
              </w:rPr>
              <w:t>Geveden</w:t>
            </w:r>
          </w:p>
        </w:tc>
        <w:tc>
          <w:tcPr>
            <w:tcW w:w="900" w:type="dxa"/>
            <w:vAlign w:val="bottom"/>
            <w:tcBorders>
              <w:right w:val="single" w:sz="8" w:color="ACACAC"/>
            </w:tcBorders>
            <w:shd w:val="clear" w:color="auto" w:fill="525252"/>
          </w:tcPr>
          <w:p>
            <w:pPr>
              <w:jc w:val="center"/>
              <w:spacing w:after="0"/>
              <w:rPr>
                <w:sz w:val="20"/>
                <w:szCs w:val="20"/>
                <w:color w:val="auto"/>
              </w:rPr>
            </w:pPr>
            <w:r>
              <w:rPr>
                <w:rFonts w:ascii="Arial" w:cs="Arial" w:eastAsia="Arial" w:hAnsi="Arial"/>
                <w:sz w:val="13"/>
                <w:szCs w:val="13"/>
                <w:b w:val="1"/>
                <w:bCs w:val="1"/>
                <w:color w:val="FFFFFF"/>
                <w:w w:val="99"/>
              </w:rPr>
              <w:t>Bertsch</w:t>
            </w:r>
          </w:p>
        </w:tc>
        <w:tc>
          <w:tcPr>
            <w:tcW w:w="780" w:type="dxa"/>
            <w:vAlign w:val="bottom"/>
            <w:tcBorders>
              <w:right w:val="single" w:sz="8" w:color="ACACAC"/>
            </w:tcBorders>
            <w:shd w:val="clear" w:color="auto" w:fill="525252"/>
          </w:tcPr>
          <w:p>
            <w:pPr>
              <w:jc w:val="center"/>
              <w:spacing w:after="0"/>
              <w:rPr>
                <w:sz w:val="20"/>
                <w:szCs w:val="20"/>
                <w:color w:val="auto"/>
              </w:rPr>
            </w:pPr>
            <w:r>
              <w:rPr>
                <w:rFonts w:ascii="Arial" w:cs="Arial" w:eastAsia="Arial" w:hAnsi="Arial"/>
                <w:sz w:val="13"/>
                <w:szCs w:val="13"/>
                <w:b w:val="1"/>
                <w:bCs w:val="1"/>
                <w:color w:val="FFFFFF"/>
                <w:w w:val="94"/>
              </w:rPr>
              <w:t>Fees</w:t>
            </w:r>
          </w:p>
        </w:tc>
        <w:tc>
          <w:tcPr>
            <w:tcW w:w="800" w:type="dxa"/>
            <w:vAlign w:val="bottom"/>
            <w:tcBorders>
              <w:right w:val="single" w:sz="8" w:color="ACACAC"/>
            </w:tcBorders>
            <w:shd w:val="clear" w:color="auto" w:fill="525252"/>
          </w:tcPr>
          <w:p>
            <w:pPr>
              <w:jc w:val="center"/>
              <w:spacing w:after="0"/>
              <w:rPr>
                <w:sz w:val="20"/>
                <w:szCs w:val="20"/>
                <w:color w:val="auto"/>
              </w:rPr>
            </w:pPr>
            <w:r>
              <w:rPr>
                <w:rFonts w:ascii="Arial" w:cs="Arial" w:eastAsia="Arial" w:hAnsi="Arial"/>
                <w:sz w:val="13"/>
                <w:szCs w:val="13"/>
                <w:b w:val="1"/>
                <w:bCs w:val="1"/>
                <w:color w:val="FFFFFF"/>
                <w:w w:val="95"/>
              </w:rPr>
              <w:t>Goldman</w:t>
            </w:r>
          </w:p>
        </w:tc>
        <w:tc>
          <w:tcPr>
            <w:tcW w:w="660" w:type="dxa"/>
            <w:vAlign w:val="bottom"/>
            <w:tcBorders>
              <w:right w:val="single" w:sz="8" w:color="ACACAC"/>
            </w:tcBorders>
            <w:shd w:val="clear" w:color="auto" w:fill="525252"/>
          </w:tcPr>
          <w:p>
            <w:pPr>
              <w:jc w:val="center"/>
              <w:spacing w:after="0"/>
              <w:rPr>
                <w:sz w:val="20"/>
                <w:szCs w:val="20"/>
                <w:color w:val="auto"/>
              </w:rPr>
            </w:pPr>
            <w:r>
              <w:rPr>
                <w:rFonts w:ascii="Arial" w:cs="Arial" w:eastAsia="Arial" w:hAnsi="Arial"/>
                <w:sz w:val="13"/>
                <w:szCs w:val="13"/>
                <w:b w:val="1"/>
                <w:bCs w:val="1"/>
                <w:color w:val="FFFFFF"/>
                <w:w w:val="93"/>
              </w:rPr>
              <w:t>Jaska</w:t>
            </w:r>
          </w:p>
        </w:tc>
        <w:tc>
          <w:tcPr>
            <w:tcW w:w="660" w:type="dxa"/>
            <w:vAlign w:val="bottom"/>
            <w:tcBorders>
              <w:right w:val="single" w:sz="8" w:color="ACACAC"/>
            </w:tcBorders>
            <w:shd w:val="clear" w:color="auto" w:fill="525252"/>
          </w:tcPr>
          <w:p>
            <w:pPr>
              <w:jc w:val="center"/>
              <w:spacing w:after="0"/>
              <w:rPr>
                <w:sz w:val="20"/>
                <w:szCs w:val="20"/>
                <w:color w:val="auto"/>
              </w:rPr>
            </w:pPr>
            <w:r>
              <w:rPr>
                <w:rFonts w:ascii="Arial" w:cs="Arial" w:eastAsia="Arial" w:hAnsi="Arial"/>
                <w:sz w:val="13"/>
                <w:szCs w:val="13"/>
                <w:b w:val="1"/>
                <w:bCs w:val="1"/>
                <w:color w:val="FFFFFF"/>
                <w:w w:val="96"/>
              </w:rPr>
              <w:t>Krieg</w:t>
            </w:r>
          </w:p>
        </w:tc>
        <w:tc>
          <w:tcPr>
            <w:tcW w:w="900" w:type="dxa"/>
            <w:vAlign w:val="bottom"/>
            <w:tcBorders>
              <w:right w:val="single" w:sz="8" w:color="ACACAC"/>
            </w:tcBorders>
            <w:shd w:val="clear" w:color="auto" w:fill="525252"/>
          </w:tcPr>
          <w:p>
            <w:pPr>
              <w:jc w:val="center"/>
              <w:spacing w:after="0"/>
              <w:rPr>
                <w:sz w:val="20"/>
                <w:szCs w:val="20"/>
                <w:color w:val="auto"/>
              </w:rPr>
            </w:pPr>
            <w:r>
              <w:rPr>
                <w:rFonts w:ascii="Arial" w:cs="Arial" w:eastAsia="Arial" w:hAnsi="Arial"/>
                <w:sz w:val="13"/>
                <w:szCs w:val="13"/>
                <w:b w:val="1"/>
                <w:bCs w:val="1"/>
                <w:color w:val="FFFFFF"/>
                <w:w w:val="99"/>
              </w:rPr>
              <w:t>LeMasters</w:t>
            </w:r>
          </w:p>
        </w:tc>
        <w:tc>
          <w:tcPr>
            <w:tcW w:w="760" w:type="dxa"/>
            <w:vAlign w:val="bottom"/>
            <w:tcBorders>
              <w:right w:val="single" w:sz="8" w:color="ACACAC"/>
            </w:tcBorders>
            <w:shd w:val="clear" w:color="auto" w:fill="525252"/>
          </w:tcPr>
          <w:p>
            <w:pPr>
              <w:jc w:val="center"/>
              <w:spacing w:after="0"/>
              <w:rPr>
                <w:sz w:val="20"/>
                <w:szCs w:val="20"/>
                <w:color w:val="auto"/>
              </w:rPr>
            </w:pPr>
            <w:r>
              <w:rPr>
                <w:rFonts w:ascii="Arial" w:cs="Arial" w:eastAsia="Arial" w:hAnsi="Arial"/>
                <w:sz w:val="13"/>
                <w:szCs w:val="13"/>
                <w:b w:val="1"/>
                <w:bCs w:val="1"/>
                <w:color w:val="FFFFFF"/>
                <w:w w:val="96"/>
              </w:rPr>
              <w:t>Mies</w:t>
            </w:r>
          </w:p>
        </w:tc>
        <w:tc>
          <w:tcPr>
            <w:tcW w:w="780" w:type="dxa"/>
            <w:vAlign w:val="bottom"/>
            <w:tcBorders>
              <w:right w:val="single" w:sz="8" w:color="ACACAC"/>
            </w:tcBorders>
            <w:shd w:val="clear" w:color="auto" w:fill="525252"/>
          </w:tcPr>
          <w:p>
            <w:pPr>
              <w:jc w:val="center"/>
              <w:spacing w:after="0"/>
              <w:rPr>
                <w:sz w:val="20"/>
                <w:szCs w:val="20"/>
                <w:color w:val="auto"/>
              </w:rPr>
            </w:pPr>
            <w:r>
              <w:rPr>
                <w:rFonts w:ascii="Arial" w:cs="Arial" w:eastAsia="Arial" w:hAnsi="Arial"/>
                <w:sz w:val="13"/>
                <w:szCs w:val="13"/>
                <w:b w:val="1"/>
                <w:bCs w:val="1"/>
                <w:color w:val="FFFFFF"/>
              </w:rPr>
              <w:t>Nardelli</w:t>
            </w:r>
          </w:p>
        </w:tc>
        <w:tc>
          <w:tcPr>
            <w:tcW w:w="660" w:type="dxa"/>
            <w:vAlign w:val="bottom"/>
            <w:tcBorders>
              <w:right w:val="single" w:sz="8" w:color="ACACAC"/>
            </w:tcBorders>
            <w:shd w:val="clear" w:color="auto" w:fill="525252"/>
          </w:tcPr>
          <w:p>
            <w:pPr>
              <w:jc w:val="center"/>
              <w:spacing w:after="0"/>
              <w:rPr>
                <w:sz w:val="20"/>
                <w:szCs w:val="20"/>
                <w:color w:val="auto"/>
              </w:rPr>
            </w:pPr>
            <w:r>
              <w:rPr>
                <w:rFonts w:ascii="Arial" w:cs="Arial" w:eastAsia="Arial" w:hAnsi="Arial"/>
                <w:sz w:val="13"/>
                <w:szCs w:val="13"/>
                <w:b w:val="1"/>
                <w:bCs w:val="1"/>
                <w:color w:val="FFFFFF"/>
                <w:w w:val="95"/>
              </w:rPr>
              <w:t>Niland</w:t>
            </w:r>
          </w:p>
        </w:tc>
        <w:tc>
          <w:tcPr>
            <w:tcW w:w="760" w:type="dxa"/>
            <w:vAlign w:val="bottom"/>
            <w:tcBorders>
              <w:right w:val="single" w:sz="8" w:color="525252"/>
            </w:tcBorders>
            <w:shd w:val="clear" w:color="auto" w:fill="525252"/>
          </w:tcPr>
          <w:p>
            <w:pPr>
              <w:jc w:val="center"/>
              <w:spacing w:after="0"/>
              <w:rPr>
                <w:sz w:val="20"/>
                <w:szCs w:val="20"/>
                <w:color w:val="auto"/>
              </w:rPr>
            </w:pPr>
            <w:r>
              <w:rPr>
                <w:rFonts w:ascii="Arial" w:cs="Arial" w:eastAsia="Arial" w:hAnsi="Arial"/>
                <w:sz w:val="13"/>
                <w:szCs w:val="13"/>
                <w:b w:val="1"/>
                <w:bCs w:val="1"/>
                <w:color w:val="FFFFFF"/>
                <w:w w:val="99"/>
              </w:rPr>
              <w:t>Pryor</w:t>
            </w:r>
          </w:p>
        </w:tc>
        <w:tc>
          <w:tcPr>
            <w:tcW w:w="0" w:type="dxa"/>
            <w:vAlign w:val="bottom"/>
          </w:tcPr>
          <w:p>
            <w:pPr>
              <w:spacing w:after="0"/>
              <w:rPr>
                <w:sz w:val="1"/>
                <w:szCs w:val="1"/>
                <w:color w:val="auto"/>
              </w:rPr>
            </w:pPr>
          </w:p>
        </w:tc>
      </w:tr>
      <w:tr>
        <w:trPr>
          <w:trHeight w:val="243"/>
        </w:trPr>
        <w:tc>
          <w:tcPr>
            <w:tcW w:w="2720" w:type="dxa"/>
            <w:vAlign w:val="bottom"/>
            <w:tcBorders>
              <w:left w:val="single" w:sz="8" w:color="ACACAC"/>
              <w:right w:val="single" w:sz="8" w:color="ACACAC"/>
            </w:tcBorders>
          </w:tcPr>
          <w:p>
            <w:pPr>
              <w:ind w:left="40"/>
              <w:spacing w:after="0"/>
              <w:rPr>
                <w:sz w:val="20"/>
                <w:szCs w:val="20"/>
                <w:color w:val="auto"/>
              </w:rPr>
            </w:pPr>
            <w:r>
              <w:rPr>
                <w:rFonts w:ascii="Arial" w:cs="Arial" w:eastAsia="Arial" w:hAnsi="Arial"/>
                <w:sz w:val="14"/>
                <w:szCs w:val="14"/>
                <w:color w:val="auto"/>
              </w:rPr>
              <w:t>Executive / Operating</w:t>
            </w:r>
          </w:p>
        </w:tc>
        <w:tc>
          <w:tcPr>
            <w:tcW w:w="780" w:type="dxa"/>
            <w:vAlign w:val="bottom"/>
            <w:tcBorders>
              <w:right w:val="single" w:sz="8" w:color="ACACAC"/>
            </w:tcBorders>
          </w:tcPr>
          <w:p>
            <w:pPr>
              <w:jc w:val="center"/>
              <w:spacing w:after="0"/>
              <w:rPr>
                <w:sz w:val="20"/>
                <w:szCs w:val="20"/>
                <w:color w:val="auto"/>
              </w:rPr>
            </w:pPr>
            <w:r>
              <w:rPr>
                <w:rFonts w:ascii="Arial" w:cs="Arial" w:eastAsia="Arial" w:hAnsi="Arial"/>
                <w:sz w:val="18"/>
                <w:szCs w:val="18"/>
                <w:color w:val="525252"/>
                <w:w w:val="99"/>
              </w:rPr>
              <w:t>ò</w:t>
            </w:r>
          </w:p>
        </w:tc>
        <w:tc>
          <w:tcPr>
            <w:tcW w:w="900" w:type="dxa"/>
            <w:vAlign w:val="bottom"/>
            <w:tcBorders>
              <w:right w:val="single" w:sz="8" w:color="ACACAC"/>
            </w:tcBorders>
          </w:tcPr>
          <w:p>
            <w:pPr>
              <w:jc w:val="center"/>
              <w:spacing w:after="0"/>
              <w:rPr>
                <w:sz w:val="20"/>
                <w:szCs w:val="20"/>
                <w:color w:val="auto"/>
              </w:rPr>
            </w:pPr>
            <w:r>
              <w:rPr>
                <w:rFonts w:ascii="Arial" w:cs="Arial" w:eastAsia="Arial" w:hAnsi="Arial"/>
                <w:sz w:val="18"/>
                <w:szCs w:val="18"/>
                <w:color w:val="525252"/>
                <w:w w:val="79"/>
              </w:rPr>
              <w:t>ò</w:t>
            </w:r>
          </w:p>
        </w:tc>
        <w:tc>
          <w:tcPr>
            <w:tcW w:w="780" w:type="dxa"/>
            <w:vAlign w:val="bottom"/>
            <w:tcBorders>
              <w:right w:val="single" w:sz="8" w:color="ACACAC"/>
            </w:tcBorders>
          </w:tcPr>
          <w:p>
            <w:pPr>
              <w:jc w:val="center"/>
              <w:spacing w:after="0"/>
              <w:rPr>
                <w:sz w:val="20"/>
                <w:szCs w:val="20"/>
                <w:color w:val="auto"/>
              </w:rPr>
            </w:pPr>
            <w:r>
              <w:rPr>
                <w:rFonts w:ascii="Arial" w:cs="Arial" w:eastAsia="Arial" w:hAnsi="Arial"/>
                <w:sz w:val="18"/>
                <w:szCs w:val="18"/>
                <w:color w:val="525252"/>
                <w:w w:val="79"/>
              </w:rPr>
              <w:t>ò</w:t>
            </w:r>
          </w:p>
        </w:tc>
        <w:tc>
          <w:tcPr>
            <w:tcW w:w="800" w:type="dxa"/>
            <w:vAlign w:val="bottom"/>
            <w:tcBorders>
              <w:right w:val="single" w:sz="8" w:color="ACACAC"/>
            </w:tcBorders>
          </w:tcPr>
          <w:p>
            <w:pPr>
              <w:jc w:val="center"/>
              <w:spacing w:after="0"/>
              <w:rPr>
                <w:sz w:val="20"/>
                <w:szCs w:val="20"/>
                <w:color w:val="auto"/>
              </w:rPr>
            </w:pPr>
            <w:r>
              <w:rPr>
                <w:rFonts w:ascii="Arial" w:cs="Arial" w:eastAsia="Arial" w:hAnsi="Arial"/>
                <w:sz w:val="18"/>
                <w:szCs w:val="18"/>
                <w:color w:val="525252"/>
                <w:w w:val="99"/>
              </w:rPr>
              <w:t>ò</w:t>
            </w:r>
          </w:p>
        </w:tc>
        <w:tc>
          <w:tcPr>
            <w:tcW w:w="660" w:type="dxa"/>
            <w:vAlign w:val="bottom"/>
            <w:tcBorders>
              <w:right w:val="single" w:sz="8" w:color="ACACAC"/>
            </w:tcBorders>
          </w:tcPr>
          <w:p>
            <w:pPr>
              <w:jc w:val="center"/>
              <w:spacing w:after="0"/>
              <w:rPr>
                <w:sz w:val="20"/>
                <w:szCs w:val="20"/>
                <w:color w:val="auto"/>
              </w:rPr>
            </w:pPr>
            <w:r>
              <w:rPr>
                <w:rFonts w:ascii="Arial" w:cs="Arial" w:eastAsia="Arial" w:hAnsi="Arial"/>
                <w:sz w:val="18"/>
                <w:szCs w:val="18"/>
                <w:color w:val="525252"/>
                <w:w w:val="99"/>
              </w:rPr>
              <w:t>ò</w:t>
            </w:r>
          </w:p>
        </w:tc>
        <w:tc>
          <w:tcPr>
            <w:tcW w:w="660" w:type="dxa"/>
            <w:vAlign w:val="bottom"/>
            <w:tcBorders>
              <w:right w:val="single" w:sz="8" w:color="ACACAC"/>
            </w:tcBorders>
          </w:tcPr>
          <w:p>
            <w:pPr>
              <w:jc w:val="center"/>
              <w:spacing w:after="0"/>
              <w:rPr>
                <w:sz w:val="20"/>
                <w:szCs w:val="20"/>
                <w:color w:val="auto"/>
              </w:rPr>
            </w:pPr>
            <w:r>
              <w:rPr>
                <w:rFonts w:ascii="Arial" w:cs="Arial" w:eastAsia="Arial" w:hAnsi="Arial"/>
                <w:sz w:val="18"/>
                <w:szCs w:val="18"/>
                <w:color w:val="525252"/>
                <w:w w:val="79"/>
              </w:rPr>
              <w:t>õ</w:t>
            </w:r>
          </w:p>
        </w:tc>
        <w:tc>
          <w:tcPr>
            <w:tcW w:w="900" w:type="dxa"/>
            <w:vAlign w:val="bottom"/>
            <w:tcBorders>
              <w:right w:val="single" w:sz="8" w:color="ACACAC"/>
            </w:tcBorders>
          </w:tcPr>
          <w:p>
            <w:pPr>
              <w:jc w:val="center"/>
              <w:spacing w:after="0"/>
              <w:rPr>
                <w:sz w:val="20"/>
                <w:szCs w:val="20"/>
                <w:color w:val="auto"/>
              </w:rPr>
            </w:pPr>
            <w:r>
              <w:rPr>
                <w:rFonts w:ascii="Arial" w:cs="Arial" w:eastAsia="Arial" w:hAnsi="Arial"/>
                <w:sz w:val="18"/>
                <w:szCs w:val="18"/>
                <w:color w:val="525252"/>
                <w:w w:val="79"/>
              </w:rPr>
              <w:t>ò</w:t>
            </w:r>
          </w:p>
        </w:tc>
        <w:tc>
          <w:tcPr>
            <w:tcW w:w="760" w:type="dxa"/>
            <w:vAlign w:val="bottom"/>
            <w:tcBorders>
              <w:right w:val="single" w:sz="8" w:color="ACACAC"/>
            </w:tcBorders>
          </w:tcPr>
          <w:p>
            <w:pPr>
              <w:jc w:val="center"/>
              <w:spacing w:after="0"/>
              <w:rPr>
                <w:sz w:val="20"/>
                <w:szCs w:val="20"/>
                <w:color w:val="auto"/>
              </w:rPr>
            </w:pPr>
            <w:r>
              <w:rPr>
                <w:rFonts w:ascii="Arial" w:cs="Arial" w:eastAsia="Arial" w:hAnsi="Arial"/>
                <w:sz w:val="18"/>
                <w:szCs w:val="18"/>
                <w:color w:val="525252"/>
                <w:w w:val="99"/>
              </w:rPr>
              <w:t>ò</w:t>
            </w:r>
          </w:p>
        </w:tc>
        <w:tc>
          <w:tcPr>
            <w:tcW w:w="780" w:type="dxa"/>
            <w:vAlign w:val="bottom"/>
            <w:tcBorders>
              <w:right w:val="single" w:sz="8" w:color="ACACAC"/>
            </w:tcBorders>
          </w:tcPr>
          <w:p>
            <w:pPr>
              <w:jc w:val="center"/>
              <w:spacing w:after="0"/>
              <w:rPr>
                <w:sz w:val="20"/>
                <w:szCs w:val="20"/>
                <w:color w:val="auto"/>
              </w:rPr>
            </w:pPr>
            <w:r>
              <w:rPr>
                <w:rFonts w:ascii="Arial" w:cs="Arial" w:eastAsia="Arial" w:hAnsi="Arial"/>
                <w:sz w:val="18"/>
                <w:szCs w:val="18"/>
                <w:color w:val="525252"/>
                <w:w w:val="79"/>
              </w:rPr>
              <w:t>ò</w:t>
            </w:r>
          </w:p>
        </w:tc>
        <w:tc>
          <w:tcPr>
            <w:tcW w:w="660" w:type="dxa"/>
            <w:vAlign w:val="bottom"/>
            <w:tcBorders>
              <w:right w:val="single" w:sz="8" w:color="ACACAC"/>
            </w:tcBorders>
          </w:tcPr>
          <w:p>
            <w:pPr>
              <w:jc w:val="center"/>
              <w:spacing w:after="0"/>
              <w:rPr>
                <w:sz w:val="20"/>
                <w:szCs w:val="20"/>
                <w:color w:val="auto"/>
              </w:rPr>
            </w:pPr>
            <w:r>
              <w:rPr>
                <w:rFonts w:ascii="Arial" w:cs="Arial" w:eastAsia="Arial" w:hAnsi="Arial"/>
                <w:sz w:val="18"/>
                <w:szCs w:val="18"/>
                <w:color w:val="525252"/>
                <w:w w:val="79"/>
              </w:rPr>
              <w:t>ò</w:t>
            </w:r>
          </w:p>
        </w:tc>
        <w:tc>
          <w:tcPr>
            <w:tcW w:w="760" w:type="dxa"/>
            <w:vAlign w:val="bottom"/>
            <w:tcBorders>
              <w:right w:val="single" w:sz="8" w:color="ACACAC"/>
            </w:tcBorders>
          </w:tcPr>
          <w:p>
            <w:pPr>
              <w:jc w:val="center"/>
              <w:spacing w:after="0"/>
              <w:rPr>
                <w:sz w:val="20"/>
                <w:szCs w:val="20"/>
                <w:color w:val="auto"/>
              </w:rPr>
            </w:pPr>
            <w:r>
              <w:rPr>
                <w:rFonts w:ascii="Arial" w:cs="Arial" w:eastAsia="Arial" w:hAnsi="Arial"/>
                <w:sz w:val="18"/>
                <w:szCs w:val="18"/>
                <w:color w:val="525252"/>
                <w:w w:val="99"/>
              </w:rPr>
              <w:t>ò</w:t>
            </w:r>
          </w:p>
        </w:tc>
        <w:tc>
          <w:tcPr>
            <w:tcW w:w="0" w:type="dxa"/>
            <w:vAlign w:val="bottom"/>
          </w:tcPr>
          <w:p>
            <w:pPr>
              <w:spacing w:after="0"/>
              <w:rPr>
                <w:sz w:val="1"/>
                <w:szCs w:val="1"/>
                <w:color w:val="auto"/>
              </w:rPr>
            </w:pPr>
          </w:p>
        </w:tc>
      </w:tr>
      <w:tr>
        <w:trPr>
          <w:trHeight w:val="27"/>
        </w:trPr>
        <w:tc>
          <w:tcPr>
            <w:tcW w:w="2720" w:type="dxa"/>
            <w:vAlign w:val="bottom"/>
            <w:tcBorders>
              <w:left w:val="single" w:sz="8" w:color="ACACAC"/>
              <w:bottom w:val="single" w:sz="8" w:color="ACACAC"/>
              <w:right w:val="single" w:sz="8" w:color="ACACAC"/>
            </w:tcBorders>
          </w:tcPr>
          <w:p>
            <w:pPr>
              <w:spacing w:after="0"/>
              <w:rPr>
                <w:sz w:val="2"/>
                <w:szCs w:val="2"/>
                <w:color w:val="auto"/>
              </w:rPr>
            </w:pPr>
          </w:p>
        </w:tc>
        <w:tc>
          <w:tcPr>
            <w:tcW w:w="780" w:type="dxa"/>
            <w:vAlign w:val="bottom"/>
            <w:tcBorders>
              <w:bottom w:val="single" w:sz="8" w:color="ACACAC"/>
              <w:right w:val="single" w:sz="8" w:color="ACACAC"/>
            </w:tcBorders>
          </w:tcPr>
          <w:p>
            <w:pPr>
              <w:spacing w:after="0"/>
              <w:rPr>
                <w:sz w:val="2"/>
                <w:szCs w:val="2"/>
                <w:color w:val="auto"/>
              </w:rPr>
            </w:pPr>
          </w:p>
        </w:tc>
        <w:tc>
          <w:tcPr>
            <w:tcW w:w="900" w:type="dxa"/>
            <w:vAlign w:val="bottom"/>
            <w:tcBorders>
              <w:bottom w:val="single" w:sz="8" w:color="ACACAC"/>
              <w:right w:val="single" w:sz="8" w:color="ACACAC"/>
            </w:tcBorders>
          </w:tcPr>
          <w:p>
            <w:pPr>
              <w:spacing w:after="0"/>
              <w:rPr>
                <w:sz w:val="2"/>
                <w:szCs w:val="2"/>
                <w:color w:val="auto"/>
              </w:rPr>
            </w:pPr>
          </w:p>
        </w:tc>
        <w:tc>
          <w:tcPr>
            <w:tcW w:w="780" w:type="dxa"/>
            <w:vAlign w:val="bottom"/>
            <w:tcBorders>
              <w:bottom w:val="single" w:sz="8" w:color="ACACAC"/>
              <w:right w:val="single" w:sz="8" w:color="ACACAC"/>
            </w:tcBorders>
          </w:tcPr>
          <w:p>
            <w:pPr>
              <w:spacing w:after="0"/>
              <w:rPr>
                <w:sz w:val="2"/>
                <w:szCs w:val="2"/>
                <w:color w:val="auto"/>
              </w:rPr>
            </w:pPr>
          </w:p>
        </w:tc>
        <w:tc>
          <w:tcPr>
            <w:tcW w:w="800" w:type="dxa"/>
            <w:vAlign w:val="bottom"/>
            <w:tcBorders>
              <w:bottom w:val="single" w:sz="8" w:color="ACACAC"/>
              <w:right w:val="single" w:sz="8" w:color="ACACAC"/>
            </w:tcBorders>
          </w:tcPr>
          <w:p>
            <w:pPr>
              <w:spacing w:after="0"/>
              <w:rPr>
                <w:sz w:val="2"/>
                <w:szCs w:val="2"/>
                <w:color w:val="auto"/>
              </w:rPr>
            </w:pPr>
          </w:p>
        </w:tc>
        <w:tc>
          <w:tcPr>
            <w:tcW w:w="660" w:type="dxa"/>
            <w:vAlign w:val="bottom"/>
            <w:tcBorders>
              <w:bottom w:val="single" w:sz="8" w:color="ACACAC"/>
              <w:right w:val="single" w:sz="8" w:color="ACACAC"/>
            </w:tcBorders>
          </w:tcPr>
          <w:p>
            <w:pPr>
              <w:spacing w:after="0"/>
              <w:rPr>
                <w:sz w:val="2"/>
                <w:szCs w:val="2"/>
                <w:color w:val="auto"/>
              </w:rPr>
            </w:pPr>
          </w:p>
        </w:tc>
        <w:tc>
          <w:tcPr>
            <w:tcW w:w="660" w:type="dxa"/>
            <w:vAlign w:val="bottom"/>
            <w:tcBorders>
              <w:bottom w:val="single" w:sz="8" w:color="ACACAC"/>
              <w:right w:val="single" w:sz="8" w:color="ACACAC"/>
            </w:tcBorders>
          </w:tcPr>
          <w:p>
            <w:pPr>
              <w:spacing w:after="0"/>
              <w:rPr>
                <w:sz w:val="2"/>
                <w:szCs w:val="2"/>
                <w:color w:val="auto"/>
              </w:rPr>
            </w:pPr>
          </w:p>
        </w:tc>
        <w:tc>
          <w:tcPr>
            <w:tcW w:w="900" w:type="dxa"/>
            <w:vAlign w:val="bottom"/>
            <w:tcBorders>
              <w:bottom w:val="single" w:sz="8" w:color="ACACAC"/>
              <w:right w:val="single" w:sz="8" w:color="ACACAC"/>
            </w:tcBorders>
          </w:tcPr>
          <w:p>
            <w:pPr>
              <w:spacing w:after="0"/>
              <w:rPr>
                <w:sz w:val="2"/>
                <w:szCs w:val="2"/>
                <w:color w:val="auto"/>
              </w:rPr>
            </w:pPr>
          </w:p>
        </w:tc>
        <w:tc>
          <w:tcPr>
            <w:tcW w:w="760" w:type="dxa"/>
            <w:vAlign w:val="bottom"/>
            <w:tcBorders>
              <w:bottom w:val="single" w:sz="8" w:color="ACACAC"/>
              <w:right w:val="single" w:sz="8" w:color="ACACAC"/>
            </w:tcBorders>
          </w:tcPr>
          <w:p>
            <w:pPr>
              <w:spacing w:after="0"/>
              <w:rPr>
                <w:sz w:val="2"/>
                <w:szCs w:val="2"/>
                <w:color w:val="auto"/>
              </w:rPr>
            </w:pPr>
          </w:p>
        </w:tc>
        <w:tc>
          <w:tcPr>
            <w:tcW w:w="780" w:type="dxa"/>
            <w:vAlign w:val="bottom"/>
            <w:tcBorders>
              <w:bottom w:val="single" w:sz="8" w:color="ACACAC"/>
              <w:right w:val="single" w:sz="8" w:color="ACACAC"/>
            </w:tcBorders>
          </w:tcPr>
          <w:p>
            <w:pPr>
              <w:spacing w:after="0"/>
              <w:rPr>
                <w:sz w:val="2"/>
                <w:szCs w:val="2"/>
                <w:color w:val="auto"/>
              </w:rPr>
            </w:pPr>
          </w:p>
        </w:tc>
        <w:tc>
          <w:tcPr>
            <w:tcW w:w="660" w:type="dxa"/>
            <w:vAlign w:val="bottom"/>
            <w:tcBorders>
              <w:bottom w:val="single" w:sz="8" w:color="ACACAC"/>
              <w:right w:val="single" w:sz="8" w:color="ACACAC"/>
            </w:tcBorders>
          </w:tcPr>
          <w:p>
            <w:pPr>
              <w:spacing w:after="0"/>
              <w:rPr>
                <w:sz w:val="2"/>
                <w:szCs w:val="2"/>
                <w:color w:val="auto"/>
              </w:rPr>
            </w:pPr>
          </w:p>
        </w:tc>
        <w:tc>
          <w:tcPr>
            <w:tcW w:w="760" w:type="dxa"/>
            <w:vAlign w:val="bottom"/>
            <w:tcBorders>
              <w:bottom w:val="single" w:sz="8" w:color="ACACAC"/>
              <w:right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720" w:type="dxa"/>
            <w:vAlign w:val="bottom"/>
            <w:tcBorders>
              <w:left w:val="single" w:sz="8" w:color="ACACAC"/>
              <w:right w:val="single" w:sz="8" w:color="ACACAC"/>
            </w:tcBorders>
            <w:shd w:val="clear" w:color="auto" w:fill="DDDDDD"/>
          </w:tcPr>
          <w:p>
            <w:pPr>
              <w:ind w:left="40"/>
              <w:spacing w:after="0"/>
              <w:rPr>
                <w:sz w:val="20"/>
                <w:szCs w:val="20"/>
                <w:color w:val="auto"/>
              </w:rPr>
            </w:pPr>
            <w:r>
              <w:rPr>
                <w:rFonts w:ascii="Arial" w:cs="Arial" w:eastAsia="Arial" w:hAnsi="Arial"/>
                <w:sz w:val="14"/>
                <w:szCs w:val="14"/>
                <w:color w:val="auto"/>
              </w:rPr>
              <w:t>Government, Nuclear or Manufacturing</w:t>
            </w:r>
          </w:p>
        </w:tc>
        <w:tc>
          <w:tcPr>
            <w:tcW w:w="780" w:type="dxa"/>
            <w:vAlign w:val="bottom"/>
            <w:tcBorders>
              <w:right w:val="single" w:sz="8" w:color="ACACAC"/>
            </w:tcBorders>
            <w:vMerge w:val="restart"/>
            <w:shd w:val="clear" w:color="auto" w:fill="DDDDDD"/>
          </w:tcPr>
          <w:p>
            <w:pPr>
              <w:jc w:val="center"/>
              <w:spacing w:after="0"/>
              <w:rPr>
                <w:sz w:val="20"/>
                <w:szCs w:val="20"/>
                <w:color w:val="auto"/>
              </w:rPr>
            </w:pPr>
            <w:r>
              <w:rPr>
                <w:rFonts w:ascii="Arial" w:cs="Arial" w:eastAsia="Arial" w:hAnsi="Arial"/>
                <w:sz w:val="18"/>
                <w:szCs w:val="18"/>
                <w:color w:val="525252"/>
                <w:w w:val="99"/>
              </w:rPr>
              <w:t>ò</w:t>
            </w:r>
          </w:p>
        </w:tc>
        <w:tc>
          <w:tcPr>
            <w:tcW w:w="900" w:type="dxa"/>
            <w:vAlign w:val="bottom"/>
            <w:tcBorders>
              <w:right w:val="single" w:sz="8" w:color="ACACAC"/>
            </w:tcBorders>
            <w:vMerge w:val="restart"/>
            <w:shd w:val="clear" w:color="auto" w:fill="DDDDDD"/>
          </w:tcPr>
          <w:p>
            <w:pPr>
              <w:jc w:val="center"/>
              <w:spacing w:after="0"/>
              <w:rPr>
                <w:sz w:val="20"/>
                <w:szCs w:val="20"/>
                <w:color w:val="auto"/>
              </w:rPr>
            </w:pPr>
            <w:r>
              <w:rPr>
                <w:rFonts w:ascii="Arial" w:cs="Arial" w:eastAsia="Arial" w:hAnsi="Arial"/>
                <w:sz w:val="18"/>
                <w:szCs w:val="18"/>
                <w:color w:val="525252"/>
                <w:w w:val="79"/>
              </w:rPr>
              <w:t>ò</w:t>
            </w:r>
          </w:p>
        </w:tc>
        <w:tc>
          <w:tcPr>
            <w:tcW w:w="780" w:type="dxa"/>
            <w:vAlign w:val="bottom"/>
            <w:tcBorders>
              <w:right w:val="single" w:sz="8" w:color="ACACAC"/>
            </w:tcBorders>
            <w:vMerge w:val="restart"/>
            <w:shd w:val="clear" w:color="auto" w:fill="DDDDDD"/>
          </w:tcPr>
          <w:p>
            <w:pPr>
              <w:jc w:val="center"/>
              <w:spacing w:after="0"/>
              <w:rPr>
                <w:sz w:val="20"/>
                <w:szCs w:val="20"/>
                <w:color w:val="auto"/>
              </w:rPr>
            </w:pPr>
            <w:r>
              <w:rPr>
                <w:rFonts w:ascii="Arial" w:cs="Arial" w:eastAsia="Arial" w:hAnsi="Arial"/>
                <w:sz w:val="18"/>
                <w:szCs w:val="18"/>
                <w:color w:val="525252"/>
                <w:w w:val="79"/>
              </w:rPr>
              <w:t>ò</w:t>
            </w:r>
          </w:p>
        </w:tc>
        <w:tc>
          <w:tcPr>
            <w:tcW w:w="800" w:type="dxa"/>
            <w:vAlign w:val="bottom"/>
            <w:tcBorders>
              <w:right w:val="single" w:sz="8" w:color="ACACAC"/>
            </w:tcBorders>
            <w:vMerge w:val="restart"/>
            <w:shd w:val="clear" w:color="auto" w:fill="DDDDDD"/>
          </w:tcPr>
          <w:p>
            <w:pPr>
              <w:jc w:val="center"/>
              <w:spacing w:after="0"/>
              <w:rPr>
                <w:sz w:val="20"/>
                <w:szCs w:val="20"/>
                <w:color w:val="auto"/>
              </w:rPr>
            </w:pPr>
            <w:r>
              <w:rPr>
                <w:rFonts w:ascii="Arial" w:cs="Arial" w:eastAsia="Arial" w:hAnsi="Arial"/>
                <w:sz w:val="18"/>
                <w:szCs w:val="18"/>
                <w:color w:val="525252"/>
                <w:w w:val="99"/>
              </w:rPr>
              <w:t>õ</w:t>
            </w:r>
          </w:p>
        </w:tc>
        <w:tc>
          <w:tcPr>
            <w:tcW w:w="660" w:type="dxa"/>
            <w:vAlign w:val="bottom"/>
            <w:tcBorders>
              <w:right w:val="single" w:sz="8" w:color="ACACAC"/>
            </w:tcBorders>
            <w:vMerge w:val="restart"/>
            <w:shd w:val="clear" w:color="auto" w:fill="DDDDDD"/>
          </w:tcPr>
          <w:p>
            <w:pPr>
              <w:jc w:val="center"/>
              <w:spacing w:after="0"/>
              <w:rPr>
                <w:sz w:val="20"/>
                <w:szCs w:val="20"/>
                <w:color w:val="auto"/>
              </w:rPr>
            </w:pPr>
            <w:r>
              <w:rPr>
                <w:rFonts w:ascii="Arial" w:cs="Arial" w:eastAsia="Arial" w:hAnsi="Arial"/>
                <w:sz w:val="18"/>
                <w:szCs w:val="18"/>
                <w:color w:val="525252"/>
                <w:w w:val="99"/>
              </w:rPr>
              <w:t>ò</w:t>
            </w:r>
          </w:p>
        </w:tc>
        <w:tc>
          <w:tcPr>
            <w:tcW w:w="660" w:type="dxa"/>
            <w:vAlign w:val="bottom"/>
            <w:tcBorders>
              <w:right w:val="single" w:sz="8" w:color="ACACAC"/>
            </w:tcBorders>
            <w:vMerge w:val="restart"/>
            <w:shd w:val="clear" w:color="auto" w:fill="DDDDDD"/>
          </w:tcPr>
          <w:p>
            <w:pPr>
              <w:jc w:val="center"/>
              <w:spacing w:after="0"/>
              <w:rPr>
                <w:sz w:val="20"/>
                <w:szCs w:val="20"/>
                <w:color w:val="auto"/>
              </w:rPr>
            </w:pPr>
            <w:r>
              <w:rPr>
                <w:rFonts w:ascii="Arial" w:cs="Arial" w:eastAsia="Arial" w:hAnsi="Arial"/>
                <w:sz w:val="18"/>
                <w:szCs w:val="18"/>
                <w:color w:val="525252"/>
                <w:w w:val="79"/>
              </w:rPr>
              <w:t>ò</w:t>
            </w:r>
          </w:p>
        </w:tc>
        <w:tc>
          <w:tcPr>
            <w:tcW w:w="900" w:type="dxa"/>
            <w:vAlign w:val="bottom"/>
            <w:tcBorders>
              <w:right w:val="single" w:sz="8" w:color="ACACAC"/>
            </w:tcBorders>
            <w:vMerge w:val="restart"/>
            <w:shd w:val="clear" w:color="auto" w:fill="DDDDDD"/>
          </w:tcPr>
          <w:p>
            <w:pPr>
              <w:jc w:val="center"/>
              <w:spacing w:after="0"/>
              <w:rPr>
                <w:sz w:val="20"/>
                <w:szCs w:val="20"/>
                <w:color w:val="auto"/>
              </w:rPr>
            </w:pPr>
            <w:r>
              <w:rPr>
                <w:rFonts w:ascii="Arial" w:cs="Arial" w:eastAsia="Arial" w:hAnsi="Arial"/>
                <w:sz w:val="18"/>
                <w:szCs w:val="18"/>
                <w:color w:val="525252"/>
                <w:w w:val="79"/>
              </w:rPr>
              <w:t>ò</w:t>
            </w:r>
          </w:p>
        </w:tc>
        <w:tc>
          <w:tcPr>
            <w:tcW w:w="760" w:type="dxa"/>
            <w:vAlign w:val="bottom"/>
            <w:tcBorders>
              <w:right w:val="single" w:sz="8" w:color="ACACAC"/>
            </w:tcBorders>
            <w:vMerge w:val="restart"/>
            <w:shd w:val="clear" w:color="auto" w:fill="DDDDDD"/>
          </w:tcPr>
          <w:p>
            <w:pPr>
              <w:jc w:val="center"/>
              <w:spacing w:after="0"/>
              <w:rPr>
                <w:sz w:val="20"/>
                <w:szCs w:val="20"/>
                <w:color w:val="auto"/>
              </w:rPr>
            </w:pPr>
            <w:r>
              <w:rPr>
                <w:rFonts w:ascii="Arial" w:cs="Arial" w:eastAsia="Arial" w:hAnsi="Arial"/>
                <w:sz w:val="18"/>
                <w:szCs w:val="18"/>
                <w:color w:val="525252"/>
                <w:w w:val="99"/>
              </w:rPr>
              <w:t>ò</w:t>
            </w:r>
          </w:p>
        </w:tc>
        <w:tc>
          <w:tcPr>
            <w:tcW w:w="780" w:type="dxa"/>
            <w:vAlign w:val="bottom"/>
            <w:tcBorders>
              <w:right w:val="single" w:sz="8" w:color="ACACAC"/>
            </w:tcBorders>
            <w:vMerge w:val="restart"/>
            <w:shd w:val="clear" w:color="auto" w:fill="DDDDDD"/>
          </w:tcPr>
          <w:p>
            <w:pPr>
              <w:jc w:val="center"/>
              <w:spacing w:after="0"/>
              <w:rPr>
                <w:sz w:val="20"/>
                <w:szCs w:val="20"/>
                <w:color w:val="auto"/>
              </w:rPr>
            </w:pPr>
            <w:r>
              <w:rPr>
                <w:rFonts w:ascii="Arial" w:cs="Arial" w:eastAsia="Arial" w:hAnsi="Arial"/>
                <w:sz w:val="18"/>
                <w:szCs w:val="18"/>
                <w:color w:val="525252"/>
                <w:w w:val="79"/>
              </w:rPr>
              <w:t>ò</w:t>
            </w:r>
          </w:p>
        </w:tc>
        <w:tc>
          <w:tcPr>
            <w:tcW w:w="660" w:type="dxa"/>
            <w:vAlign w:val="bottom"/>
            <w:tcBorders>
              <w:right w:val="single" w:sz="8" w:color="ACACAC"/>
            </w:tcBorders>
            <w:vMerge w:val="restart"/>
            <w:shd w:val="clear" w:color="auto" w:fill="DDDDDD"/>
          </w:tcPr>
          <w:p>
            <w:pPr>
              <w:jc w:val="center"/>
              <w:spacing w:after="0"/>
              <w:rPr>
                <w:sz w:val="20"/>
                <w:szCs w:val="20"/>
                <w:color w:val="auto"/>
              </w:rPr>
            </w:pPr>
            <w:r>
              <w:rPr>
                <w:rFonts w:ascii="Arial" w:cs="Arial" w:eastAsia="Arial" w:hAnsi="Arial"/>
                <w:sz w:val="18"/>
                <w:szCs w:val="18"/>
                <w:color w:val="525252"/>
                <w:w w:val="79"/>
              </w:rPr>
              <w:t>õ</w:t>
            </w:r>
          </w:p>
        </w:tc>
        <w:tc>
          <w:tcPr>
            <w:tcW w:w="760" w:type="dxa"/>
            <w:vAlign w:val="bottom"/>
            <w:tcBorders>
              <w:right w:val="single" w:sz="8" w:color="ACACAC"/>
            </w:tcBorders>
            <w:vMerge w:val="restart"/>
            <w:shd w:val="clear" w:color="auto" w:fill="DDDDDD"/>
          </w:tcPr>
          <w:p>
            <w:pPr>
              <w:jc w:val="center"/>
              <w:spacing w:after="0"/>
              <w:rPr>
                <w:sz w:val="20"/>
                <w:szCs w:val="20"/>
                <w:color w:val="auto"/>
              </w:rPr>
            </w:pPr>
            <w:r>
              <w:rPr>
                <w:rFonts w:ascii="Arial" w:cs="Arial" w:eastAsia="Arial" w:hAnsi="Arial"/>
                <w:sz w:val="18"/>
                <w:szCs w:val="18"/>
                <w:color w:val="525252"/>
                <w:w w:val="99"/>
              </w:rPr>
              <w:t>ò</w:t>
            </w:r>
          </w:p>
        </w:tc>
        <w:tc>
          <w:tcPr>
            <w:tcW w:w="0" w:type="dxa"/>
            <w:vAlign w:val="bottom"/>
          </w:tcPr>
          <w:p>
            <w:pPr>
              <w:spacing w:after="0"/>
              <w:rPr>
                <w:sz w:val="1"/>
                <w:szCs w:val="1"/>
                <w:color w:val="auto"/>
              </w:rPr>
            </w:pPr>
          </w:p>
        </w:tc>
      </w:tr>
      <w:tr>
        <w:trPr>
          <w:trHeight w:val="103"/>
        </w:trPr>
        <w:tc>
          <w:tcPr>
            <w:tcW w:w="2720" w:type="dxa"/>
            <w:vAlign w:val="bottom"/>
            <w:tcBorders>
              <w:left w:val="single" w:sz="8" w:color="ACACAC"/>
              <w:right w:val="single" w:sz="8" w:color="ACACAC"/>
            </w:tcBorders>
            <w:vMerge w:val="restart"/>
            <w:shd w:val="clear" w:color="auto" w:fill="DDDDDD"/>
          </w:tcPr>
          <w:p>
            <w:pPr>
              <w:ind w:left="40"/>
              <w:spacing w:after="0"/>
              <w:rPr>
                <w:sz w:val="20"/>
                <w:szCs w:val="20"/>
                <w:color w:val="auto"/>
              </w:rPr>
            </w:pPr>
            <w:r>
              <w:rPr>
                <w:rFonts w:ascii="Arial" w:cs="Arial" w:eastAsia="Arial" w:hAnsi="Arial"/>
                <w:sz w:val="14"/>
                <w:szCs w:val="14"/>
                <w:color w:val="auto"/>
              </w:rPr>
              <w:t>Industry</w:t>
            </w:r>
          </w:p>
        </w:tc>
        <w:tc>
          <w:tcPr>
            <w:tcW w:w="780" w:type="dxa"/>
            <w:vAlign w:val="bottom"/>
            <w:tcBorders>
              <w:right w:val="single" w:sz="8" w:color="ACACAC"/>
            </w:tcBorders>
            <w:vMerge w:val="continue"/>
            <w:shd w:val="clear" w:color="auto" w:fill="DDDDDD"/>
          </w:tcPr>
          <w:p>
            <w:pPr>
              <w:spacing w:after="0"/>
              <w:rPr>
                <w:sz w:val="8"/>
                <w:szCs w:val="8"/>
                <w:color w:val="auto"/>
              </w:rPr>
            </w:pPr>
          </w:p>
        </w:tc>
        <w:tc>
          <w:tcPr>
            <w:tcW w:w="900" w:type="dxa"/>
            <w:vAlign w:val="bottom"/>
            <w:tcBorders>
              <w:right w:val="single" w:sz="8" w:color="ACACAC"/>
            </w:tcBorders>
            <w:vMerge w:val="continue"/>
            <w:shd w:val="clear" w:color="auto" w:fill="DDDDDD"/>
          </w:tcPr>
          <w:p>
            <w:pPr>
              <w:spacing w:after="0"/>
              <w:rPr>
                <w:sz w:val="8"/>
                <w:szCs w:val="8"/>
                <w:color w:val="auto"/>
              </w:rPr>
            </w:pPr>
          </w:p>
        </w:tc>
        <w:tc>
          <w:tcPr>
            <w:tcW w:w="780" w:type="dxa"/>
            <w:vAlign w:val="bottom"/>
            <w:tcBorders>
              <w:right w:val="single" w:sz="8" w:color="ACACAC"/>
            </w:tcBorders>
            <w:vMerge w:val="continue"/>
            <w:shd w:val="clear" w:color="auto" w:fill="DDDDDD"/>
          </w:tcPr>
          <w:p>
            <w:pPr>
              <w:spacing w:after="0"/>
              <w:rPr>
                <w:sz w:val="8"/>
                <w:szCs w:val="8"/>
                <w:color w:val="auto"/>
              </w:rPr>
            </w:pPr>
          </w:p>
        </w:tc>
        <w:tc>
          <w:tcPr>
            <w:tcW w:w="800" w:type="dxa"/>
            <w:vAlign w:val="bottom"/>
            <w:tcBorders>
              <w:right w:val="single" w:sz="8" w:color="ACACAC"/>
            </w:tcBorders>
            <w:vMerge w:val="continue"/>
            <w:shd w:val="clear" w:color="auto" w:fill="DDDDDD"/>
          </w:tcPr>
          <w:p>
            <w:pPr>
              <w:spacing w:after="0"/>
              <w:rPr>
                <w:sz w:val="8"/>
                <w:szCs w:val="8"/>
                <w:color w:val="auto"/>
              </w:rPr>
            </w:pPr>
          </w:p>
        </w:tc>
        <w:tc>
          <w:tcPr>
            <w:tcW w:w="660" w:type="dxa"/>
            <w:vAlign w:val="bottom"/>
            <w:tcBorders>
              <w:right w:val="single" w:sz="8" w:color="ACACAC"/>
            </w:tcBorders>
            <w:vMerge w:val="continue"/>
            <w:shd w:val="clear" w:color="auto" w:fill="DDDDDD"/>
          </w:tcPr>
          <w:p>
            <w:pPr>
              <w:spacing w:after="0"/>
              <w:rPr>
                <w:sz w:val="8"/>
                <w:szCs w:val="8"/>
                <w:color w:val="auto"/>
              </w:rPr>
            </w:pPr>
          </w:p>
        </w:tc>
        <w:tc>
          <w:tcPr>
            <w:tcW w:w="660" w:type="dxa"/>
            <w:vAlign w:val="bottom"/>
            <w:tcBorders>
              <w:right w:val="single" w:sz="8" w:color="ACACAC"/>
            </w:tcBorders>
            <w:vMerge w:val="continue"/>
            <w:shd w:val="clear" w:color="auto" w:fill="DDDDDD"/>
          </w:tcPr>
          <w:p>
            <w:pPr>
              <w:spacing w:after="0"/>
              <w:rPr>
                <w:sz w:val="8"/>
                <w:szCs w:val="8"/>
                <w:color w:val="auto"/>
              </w:rPr>
            </w:pPr>
          </w:p>
        </w:tc>
        <w:tc>
          <w:tcPr>
            <w:tcW w:w="900" w:type="dxa"/>
            <w:vAlign w:val="bottom"/>
            <w:tcBorders>
              <w:right w:val="single" w:sz="8" w:color="ACACAC"/>
            </w:tcBorders>
            <w:vMerge w:val="continue"/>
            <w:shd w:val="clear" w:color="auto" w:fill="DDDDDD"/>
          </w:tcPr>
          <w:p>
            <w:pPr>
              <w:spacing w:after="0"/>
              <w:rPr>
                <w:sz w:val="8"/>
                <w:szCs w:val="8"/>
                <w:color w:val="auto"/>
              </w:rPr>
            </w:pPr>
          </w:p>
        </w:tc>
        <w:tc>
          <w:tcPr>
            <w:tcW w:w="760" w:type="dxa"/>
            <w:vAlign w:val="bottom"/>
            <w:tcBorders>
              <w:right w:val="single" w:sz="8" w:color="ACACAC"/>
            </w:tcBorders>
            <w:vMerge w:val="continue"/>
            <w:shd w:val="clear" w:color="auto" w:fill="DDDDDD"/>
          </w:tcPr>
          <w:p>
            <w:pPr>
              <w:spacing w:after="0"/>
              <w:rPr>
                <w:sz w:val="8"/>
                <w:szCs w:val="8"/>
                <w:color w:val="auto"/>
              </w:rPr>
            </w:pPr>
          </w:p>
        </w:tc>
        <w:tc>
          <w:tcPr>
            <w:tcW w:w="780" w:type="dxa"/>
            <w:vAlign w:val="bottom"/>
            <w:tcBorders>
              <w:right w:val="single" w:sz="8" w:color="ACACAC"/>
            </w:tcBorders>
            <w:vMerge w:val="continue"/>
            <w:shd w:val="clear" w:color="auto" w:fill="DDDDDD"/>
          </w:tcPr>
          <w:p>
            <w:pPr>
              <w:spacing w:after="0"/>
              <w:rPr>
                <w:sz w:val="8"/>
                <w:szCs w:val="8"/>
                <w:color w:val="auto"/>
              </w:rPr>
            </w:pPr>
          </w:p>
        </w:tc>
        <w:tc>
          <w:tcPr>
            <w:tcW w:w="660" w:type="dxa"/>
            <w:vAlign w:val="bottom"/>
            <w:tcBorders>
              <w:right w:val="single" w:sz="8" w:color="ACACAC"/>
            </w:tcBorders>
            <w:vMerge w:val="continue"/>
            <w:shd w:val="clear" w:color="auto" w:fill="DDDDDD"/>
          </w:tcPr>
          <w:p>
            <w:pPr>
              <w:spacing w:after="0"/>
              <w:rPr>
                <w:sz w:val="8"/>
                <w:szCs w:val="8"/>
                <w:color w:val="auto"/>
              </w:rPr>
            </w:pPr>
          </w:p>
        </w:tc>
        <w:tc>
          <w:tcPr>
            <w:tcW w:w="760" w:type="dxa"/>
            <w:vAlign w:val="bottom"/>
            <w:tcBorders>
              <w:right w:val="single" w:sz="8" w:color="ACACAC"/>
            </w:tcBorders>
            <w:vMerge w:val="continue"/>
            <w:shd w:val="clear" w:color="auto" w:fill="DDDDDD"/>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720" w:type="dxa"/>
            <w:vAlign w:val="bottom"/>
            <w:tcBorders>
              <w:left w:val="single" w:sz="8" w:color="ACACAC"/>
              <w:bottom w:val="single" w:sz="8" w:color="ACACAC"/>
              <w:right w:val="single" w:sz="8" w:color="ACACAC"/>
            </w:tcBorders>
            <w:vMerge w:val="continue"/>
            <w:shd w:val="clear" w:color="auto" w:fill="DDDDDD"/>
          </w:tcPr>
          <w:p>
            <w:pPr>
              <w:spacing w:after="0"/>
              <w:rPr>
                <w:sz w:val="6"/>
                <w:szCs w:val="6"/>
                <w:color w:val="auto"/>
              </w:rPr>
            </w:pPr>
          </w:p>
        </w:tc>
        <w:tc>
          <w:tcPr>
            <w:tcW w:w="780" w:type="dxa"/>
            <w:vAlign w:val="bottom"/>
            <w:tcBorders>
              <w:bottom w:val="single" w:sz="8" w:color="ACACAC"/>
              <w:right w:val="single" w:sz="8" w:color="ACACAC"/>
            </w:tcBorders>
            <w:shd w:val="clear" w:color="auto" w:fill="DDDDDD"/>
          </w:tcPr>
          <w:p>
            <w:pPr>
              <w:spacing w:after="0"/>
              <w:rPr>
                <w:sz w:val="6"/>
                <w:szCs w:val="6"/>
                <w:color w:val="auto"/>
              </w:rPr>
            </w:pPr>
          </w:p>
        </w:tc>
        <w:tc>
          <w:tcPr>
            <w:tcW w:w="900" w:type="dxa"/>
            <w:vAlign w:val="bottom"/>
            <w:tcBorders>
              <w:bottom w:val="single" w:sz="8" w:color="ACACAC"/>
              <w:right w:val="single" w:sz="8" w:color="ACACAC"/>
            </w:tcBorders>
            <w:shd w:val="clear" w:color="auto" w:fill="DDDDDD"/>
          </w:tcPr>
          <w:p>
            <w:pPr>
              <w:spacing w:after="0"/>
              <w:rPr>
                <w:sz w:val="6"/>
                <w:szCs w:val="6"/>
                <w:color w:val="auto"/>
              </w:rPr>
            </w:pPr>
          </w:p>
        </w:tc>
        <w:tc>
          <w:tcPr>
            <w:tcW w:w="780" w:type="dxa"/>
            <w:vAlign w:val="bottom"/>
            <w:tcBorders>
              <w:bottom w:val="single" w:sz="8" w:color="ACACAC"/>
              <w:right w:val="single" w:sz="8" w:color="ACACAC"/>
            </w:tcBorders>
            <w:shd w:val="clear" w:color="auto" w:fill="DDDDDD"/>
          </w:tcPr>
          <w:p>
            <w:pPr>
              <w:spacing w:after="0"/>
              <w:rPr>
                <w:sz w:val="6"/>
                <w:szCs w:val="6"/>
                <w:color w:val="auto"/>
              </w:rPr>
            </w:pPr>
          </w:p>
        </w:tc>
        <w:tc>
          <w:tcPr>
            <w:tcW w:w="800" w:type="dxa"/>
            <w:vAlign w:val="bottom"/>
            <w:tcBorders>
              <w:bottom w:val="single" w:sz="8" w:color="ACACAC"/>
              <w:right w:val="single" w:sz="8" w:color="ACACAC"/>
            </w:tcBorders>
            <w:shd w:val="clear" w:color="auto" w:fill="DDDDDD"/>
          </w:tcPr>
          <w:p>
            <w:pPr>
              <w:spacing w:after="0"/>
              <w:rPr>
                <w:sz w:val="6"/>
                <w:szCs w:val="6"/>
                <w:color w:val="auto"/>
              </w:rPr>
            </w:pPr>
          </w:p>
        </w:tc>
        <w:tc>
          <w:tcPr>
            <w:tcW w:w="660" w:type="dxa"/>
            <w:vAlign w:val="bottom"/>
            <w:tcBorders>
              <w:bottom w:val="single" w:sz="8" w:color="ACACAC"/>
              <w:right w:val="single" w:sz="8" w:color="ACACAC"/>
            </w:tcBorders>
            <w:shd w:val="clear" w:color="auto" w:fill="DDDDDD"/>
          </w:tcPr>
          <w:p>
            <w:pPr>
              <w:spacing w:after="0"/>
              <w:rPr>
                <w:sz w:val="6"/>
                <w:szCs w:val="6"/>
                <w:color w:val="auto"/>
              </w:rPr>
            </w:pPr>
          </w:p>
        </w:tc>
        <w:tc>
          <w:tcPr>
            <w:tcW w:w="660" w:type="dxa"/>
            <w:vAlign w:val="bottom"/>
            <w:tcBorders>
              <w:bottom w:val="single" w:sz="8" w:color="ACACAC"/>
              <w:right w:val="single" w:sz="8" w:color="ACACAC"/>
            </w:tcBorders>
            <w:shd w:val="clear" w:color="auto" w:fill="DDDDDD"/>
          </w:tcPr>
          <w:p>
            <w:pPr>
              <w:spacing w:after="0"/>
              <w:rPr>
                <w:sz w:val="6"/>
                <w:szCs w:val="6"/>
                <w:color w:val="auto"/>
              </w:rPr>
            </w:pPr>
          </w:p>
        </w:tc>
        <w:tc>
          <w:tcPr>
            <w:tcW w:w="900" w:type="dxa"/>
            <w:vAlign w:val="bottom"/>
            <w:tcBorders>
              <w:bottom w:val="single" w:sz="8" w:color="ACACAC"/>
              <w:right w:val="single" w:sz="8" w:color="ACACAC"/>
            </w:tcBorders>
            <w:shd w:val="clear" w:color="auto" w:fill="DDDDDD"/>
          </w:tcPr>
          <w:p>
            <w:pPr>
              <w:spacing w:after="0"/>
              <w:rPr>
                <w:sz w:val="6"/>
                <w:szCs w:val="6"/>
                <w:color w:val="auto"/>
              </w:rPr>
            </w:pPr>
          </w:p>
        </w:tc>
        <w:tc>
          <w:tcPr>
            <w:tcW w:w="760" w:type="dxa"/>
            <w:vAlign w:val="bottom"/>
            <w:tcBorders>
              <w:bottom w:val="single" w:sz="8" w:color="ACACAC"/>
              <w:right w:val="single" w:sz="8" w:color="ACACAC"/>
            </w:tcBorders>
            <w:shd w:val="clear" w:color="auto" w:fill="DDDDDD"/>
          </w:tcPr>
          <w:p>
            <w:pPr>
              <w:spacing w:after="0"/>
              <w:rPr>
                <w:sz w:val="6"/>
                <w:szCs w:val="6"/>
                <w:color w:val="auto"/>
              </w:rPr>
            </w:pPr>
          </w:p>
        </w:tc>
        <w:tc>
          <w:tcPr>
            <w:tcW w:w="780" w:type="dxa"/>
            <w:vAlign w:val="bottom"/>
            <w:tcBorders>
              <w:bottom w:val="single" w:sz="8" w:color="ACACAC"/>
              <w:right w:val="single" w:sz="8" w:color="ACACAC"/>
            </w:tcBorders>
            <w:shd w:val="clear" w:color="auto" w:fill="DDDDDD"/>
          </w:tcPr>
          <w:p>
            <w:pPr>
              <w:spacing w:after="0"/>
              <w:rPr>
                <w:sz w:val="6"/>
                <w:szCs w:val="6"/>
                <w:color w:val="auto"/>
              </w:rPr>
            </w:pPr>
          </w:p>
        </w:tc>
        <w:tc>
          <w:tcPr>
            <w:tcW w:w="660" w:type="dxa"/>
            <w:vAlign w:val="bottom"/>
            <w:tcBorders>
              <w:bottom w:val="single" w:sz="8" w:color="ACACAC"/>
              <w:right w:val="single" w:sz="8" w:color="ACACAC"/>
            </w:tcBorders>
            <w:shd w:val="clear" w:color="auto" w:fill="DDDDDD"/>
          </w:tcPr>
          <w:p>
            <w:pPr>
              <w:spacing w:after="0"/>
              <w:rPr>
                <w:sz w:val="6"/>
                <w:szCs w:val="6"/>
                <w:color w:val="auto"/>
              </w:rPr>
            </w:pPr>
          </w:p>
        </w:tc>
        <w:tc>
          <w:tcPr>
            <w:tcW w:w="760" w:type="dxa"/>
            <w:vAlign w:val="bottom"/>
            <w:tcBorders>
              <w:bottom w:val="single" w:sz="8" w:color="ACACAC"/>
              <w:right w:val="single" w:sz="8" w:color="ACACAC"/>
            </w:tcBorders>
            <w:shd w:val="clear" w:color="auto" w:fill="DDDDDD"/>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720" w:type="dxa"/>
            <w:vAlign w:val="bottom"/>
            <w:tcBorders>
              <w:left w:val="single" w:sz="8" w:color="ACACAC"/>
              <w:right w:val="single" w:sz="8" w:color="ACACAC"/>
            </w:tcBorders>
          </w:tcPr>
          <w:p>
            <w:pPr>
              <w:ind w:left="40"/>
              <w:spacing w:after="0"/>
              <w:rPr>
                <w:sz w:val="20"/>
                <w:szCs w:val="20"/>
                <w:color w:val="auto"/>
              </w:rPr>
            </w:pPr>
            <w:r>
              <w:rPr>
                <w:rFonts w:ascii="Arial" w:cs="Arial" w:eastAsia="Arial" w:hAnsi="Arial"/>
                <w:sz w:val="14"/>
                <w:szCs w:val="14"/>
                <w:color w:val="auto"/>
              </w:rPr>
              <w:t>Financial / Strategic / M&amp;A</w:t>
            </w:r>
          </w:p>
        </w:tc>
        <w:tc>
          <w:tcPr>
            <w:tcW w:w="780" w:type="dxa"/>
            <w:vAlign w:val="bottom"/>
            <w:tcBorders>
              <w:right w:val="single" w:sz="8" w:color="ACACAC"/>
            </w:tcBorders>
          </w:tcPr>
          <w:p>
            <w:pPr>
              <w:jc w:val="center"/>
              <w:spacing w:after="0"/>
              <w:rPr>
                <w:sz w:val="20"/>
                <w:szCs w:val="20"/>
                <w:color w:val="auto"/>
              </w:rPr>
            </w:pPr>
            <w:r>
              <w:rPr>
                <w:rFonts w:ascii="Arial" w:cs="Arial" w:eastAsia="Arial" w:hAnsi="Arial"/>
                <w:sz w:val="18"/>
                <w:szCs w:val="18"/>
                <w:color w:val="525252"/>
                <w:w w:val="99"/>
              </w:rPr>
              <w:t>ò</w:t>
            </w:r>
          </w:p>
        </w:tc>
        <w:tc>
          <w:tcPr>
            <w:tcW w:w="900" w:type="dxa"/>
            <w:vAlign w:val="bottom"/>
            <w:tcBorders>
              <w:right w:val="single" w:sz="8" w:color="ACACAC"/>
            </w:tcBorders>
          </w:tcPr>
          <w:p>
            <w:pPr>
              <w:jc w:val="center"/>
              <w:spacing w:after="0"/>
              <w:rPr>
                <w:sz w:val="20"/>
                <w:szCs w:val="20"/>
                <w:color w:val="auto"/>
              </w:rPr>
            </w:pPr>
            <w:r>
              <w:rPr>
                <w:rFonts w:ascii="Arial" w:cs="Arial" w:eastAsia="Arial" w:hAnsi="Arial"/>
                <w:sz w:val="18"/>
                <w:szCs w:val="18"/>
                <w:color w:val="525252"/>
                <w:w w:val="79"/>
              </w:rPr>
              <w:t>ò</w:t>
            </w:r>
          </w:p>
        </w:tc>
        <w:tc>
          <w:tcPr>
            <w:tcW w:w="780" w:type="dxa"/>
            <w:vAlign w:val="bottom"/>
            <w:tcBorders>
              <w:right w:val="single" w:sz="8" w:color="ACACAC"/>
            </w:tcBorders>
          </w:tcPr>
          <w:p>
            <w:pPr>
              <w:jc w:val="center"/>
              <w:spacing w:after="0"/>
              <w:rPr>
                <w:sz w:val="20"/>
                <w:szCs w:val="20"/>
                <w:color w:val="auto"/>
              </w:rPr>
            </w:pPr>
            <w:r>
              <w:rPr>
                <w:rFonts w:ascii="Arial" w:cs="Arial" w:eastAsia="Arial" w:hAnsi="Arial"/>
                <w:sz w:val="18"/>
                <w:szCs w:val="18"/>
                <w:color w:val="525252"/>
                <w:w w:val="79"/>
              </w:rPr>
              <w:t>õ</w:t>
            </w:r>
          </w:p>
        </w:tc>
        <w:tc>
          <w:tcPr>
            <w:tcW w:w="800" w:type="dxa"/>
            <w:vAlign w:val="bottom"/>
            <w:tcBorders>
              <w:right w:val="single" w:sz="8" w:color="ACACAC"/>
            </w:tcBorders>
          </w:tcPr>
          <w:p>
            <w:pPr>
              <w:jc w:val="center"/>
              <w:spacing w:after="0"/>
              <w:rPr>
                <w:sz w:val="20"/>
                <w:szCs w:val="20"/>
                <w:color w:val="auto"/>
              </w:rPr>
            </w:pPr>
            <w:r>
              <w:rPr>
                <w:rFonts w:ascii="Arial" w:cs="Arial" w:eastAsia="Arial" w:hAnsi="Arial"/>
                <w:sz w:val="18"/>
                <w:szCs w:val="18"/>
                <w:color w:val="525252"/>
                <w:w w:val="99"/>
              </w:rPr>
              <w:t>ò</w:t>
            </w:r>
          </w:p>
        </w:tc>
        <w:tc>
          <w:tcPr>
            <w:tcW w:w="660" w:type="dxa"/>
            <w:vAlign w:val="bottom"/>
            <w:tcBorders>
              <w:right w:val="single" w:sz="8" w:color="ACACAC"/>
            </w:tcBorders>
          </w:tcPr>
          <w:p>
            <w:pPr>
              <w:jc w:val="center"/>
              <w:spacing w:after="0"/>
              <w:rPr>
                <w:sz w:val="20"/>
                <w:szCs w:val="20"/>
                <w:color w:val="auto"/>
              </w:rPr>
            </w:pPr>
            <w:r>
              <w:rPr>
                <w:rFonts w:ascii="Arial" w:cs="Arial" w:eastAsia="Arial" w:hAnsi="Arial"/>
                <w:sz w:val="18"/>
                <w:szCs w:val="18"/>
                <w:color w:val="525252"/>
                <w:w w:val="99"/>
              </w:rPr>
              <w:t>ò</w:t>
            </w:r>
          </w:p>
        </w:tc>
        <w:tc>
          <w:tcPr>
            <w:tcW w:w="660" w:type="dxa"/>
            <w:vAlign w:val="bottom"/>
            <w:tcBorders>
              <w:right w:val="single" w:sz="8" w:color="ACACAC"/>
            </w:tcBorders>
          </w:tcPr>
          <w:p>
            <w:pPr>
              <w:jc w:val="center"/>
              <w:spacing w:after="0"/>
              <w:rPr>
                <w:sz w:val="20"/>
                <w:szCs w:val="20"/>
                <w:color w:val="auto"/>
              </w:rPr>
            </w:pPr>
            <w:r>
              <w:rPr>
                <w:rFonts w:ascii="Arial" w:cs="Arial" w:eastAsia="Arial" w:hAnsi="Arial"/>
                <w:sz w:val="18"/>
                <w:szCs w:val="18"/>
                <w:color w:val="525252"/>
                <w:w w:val="79"/>
              </w:rPr>
              <w:t>ò</w:t>
            </w:r>
          </w:p>
        </w:tc>
        <w:tc>
          <w:tcPr>
            <w:tcW w:w="900" w:type="dxa"/>
            <w:vAlign w:val="bottom"/>
            <w:tcBorders>
              <w:right w:val="single" w:sz="8" w:color="ACACAC"/>
            </w:tcBorders>
          </w:tcPr>
          <w:p>
            <w:pPr>
              <w:jc w:val="center"/>
              <w:spacing w:after="0"/>
              <w:rPr>
                <w:sz w:val="20"/>
                <w:szCs w:val="20"/>
                <w:color w:val="auto"/>
              </w:rPr>
            </w:pPr>
            <w:r>
              <w:rPr>
                <w:rFonts w:ascii="Arial" w:cs="Arial" w:eastAsia="Arial" w:hAnsi="Arial"/>
                <w:sz w:val="18"/>
                <w:szCs w:val="18"/>
                <w:color w:val="525252"/>
                <w:w w:val="79"/>
              </w:rPr>
              <w:t>õ</w:t>
            </w:r>
          </w:p>
        </w:tc>
        <w:tc>
          <w:tcPr>
            <w:tcW w:w="760" w:type="dxa"/>
            <w:vAlign w:val="bottom"/>
            <w:tcBorders>
              <w:right w:val="single" w:sz="8" w:color="ACACAC"/>
            </w:tcBorders>
          </w:tcPr>
          <w:p>
            <w:pPr>
              <w:jc w:val="center"/>
              <w:spacing w:after="0"/>
              <w:rPr>
                <w:sz w:val="20"/>
                <w:szCs w:val="20"/>
                <w:color w:val="auto"/>
              </w:rPr>
            </w:pPr>
            <w:r>
              <w:rPr>
                <w:rFonts w:ascii="Arial" w:cs="Arial" w:eastAsia="Arial" w:hAnsi="Arial"/>
                <w:sz w:val="18"/>
                <w:szCs w:val="18"/>
                <w:color w:val="525252"/>
                <w:w w:val="99"/>
              </w:rPr>
              <w:t>õ</w:t>
            </w:r>
          </w:p>
        </w:tc>
        <w:tc>
          <w:tcPr>
            <w:tcW w:w="780" w:type="dxa"/>
            <w:vAlign w:val="bottom"/>
            <w:tcBorders>
              <w:right w:val="single" w:sz="8" w:color="ACACAC"/>
            </w:tcBorders>
          </w:tcPr>
          <w:p>
            <w:pPr>
              <w:jc w:val="center"/>
              <w:spacing w:after="0"/>
              <w:rPr>
                <w:sz w:val="20"/>
                <w:szCs w:val="20"/>
                <w:color w:val="auto"/>
              </w:rPr>
            </w:pPr>
            <w:r>
              <w:rPr>
                <w:rFonts w:ascii="Arial" w:cs="Arial" w:eastAsia="Arial" w:hAnsi="Arial"/>
                <w:sz w:val="18"/>
                <w:szCs w:val="18"/>
                <w:color w:val="525252"/>
                <w:w w:val="79"/>
              </w:rPr>
              <w:t>ò</w:t>
            </w:r>
          </w:p>
        </w:tc>
        <w:tc>
          <w:tcPr>
            <w:tcW w:w="660" w:type="dxa"/>
            <w:vAlign w:val="bottom"/>
            <w:tcBorders>
              <w:right w:val="single" w:sz="8" w:color="ACACAC"/>
            </w:tcBorders>
          </w:tcPr>
          <w:p>
            <w:pPr>
              <w:jc w:val="center"/>
              <w:spacing w:after="0"/>
              <w:rPr>
                <w:sz w:val="20"/>
                <w:szCs w:val="20"/>
                <w:color w:val="auto"/>
              </w:rPr>
            </w:pPr>
            <w:r>
              <w:rPr>
                <w:rFonts w:ascii="Arial" w:cs="Arial" w:eastAsia="Arial" w:hAnsi="Arial"/>
                <w:sz w:val="18"/>
                <w:szCs w:val="18"/>
                <w:color w:val="525252"/>
                <w:w w:val="79"/>
              </w:rPr>
              <w:t>ò</w:t>
            </w:r>
          </w:p>
        </w:tc>
        <w:tc>
          <w:tcPr>
            <w:tcW w:w="760" w:type="dxa"/>
            <w:vAlign w:val="bottom"/>
            <w:tcBorders>
              <w:right w:val="single" w:sz="8" w:color="ACACAC"/>
            </w:tcBorders>
          </w:tcPr>
          <w:p>
            <w:pPr>
              <w:jc w:val="center"/>
              <w:spacing w:after="0"/>
              <w:rPr>
                <w:sz w:val="20"/>
                <w:szCs w:val="20"/>
                <w:color w:val="auto"/>
              </w:rPr>
            </w:pPr>
            <w:r>
              <w:rPr>
                <w:rFonts w:ascii="Arial" w:cs="Arial" w:eastAsia="Arial" w:hAnsi="Arial"/>
                <w:sz w:val="18"/>
                <w:szCs w:val="18"/>
                <w:color w:val="525252"/>
                <w:w w:val="99"/>
              </w:rPr>
              <w:t>ò</w:t>
            </w:r>
          </w:p>
        </w:tc>
        <w:tc>
          <w:tcPr>
            <w:tcW w:w="0" w:type="dxa"/>
            <w:vAlign w:val="bottom"/>
          </w:tcPr>
          <w:p>
            <w:pPr>
              <w:spacing w:after="0"/>
              <w:rPr>
                <w:sz w:val="1"/>
                <w:szCs w:val="1"/>
                <w:color w:val="auto"/>
              </w:rPr>
            </w:pPr>
          </w:p>
        </w:tc>
      </w:tr>
      <w:tr>
        <w:trPr>
          <w:trHeight w:val="27"/>
        </w:trPr>
        <w:tc>
          <w:tcPr>
            <w:tcW w:w="2720" w:type="dxa"/>
            <w:vAlign w:val="bottom"/>
            <w:tcBorders>
              <w:left w:val="single" w:sz="8" w:color="ACACAC"/>
              <w:bottom w:val="single" w:sz="8" w:color="ACACAC"/>
              <w:right w:val="single" w:sz="8" w:color="ACACAC"/>
            </w:tcBorders>
          </w:tcPr>
          <w:p>
            <w:pPr>
              <w:spacing w:after="0"/>
              <w:rPr>
                <w:sz w:val="2"/>
                <w:szCs w:val="2"/>
                <w:color w:val="auto"/>
              </w:rPr>
            </w:pPr>
          </w:p>
        </w:tc>
        <w:tc>
          <w:tcPr>
            <w:tcW w:w="780" w:type="dxa"/>
            <w:vAlign w:val="bottom"/>
            <w:tcBorders>
              <w:bottom w:val="single" w:sz="8" w:color="ACACAC"/>
              <w:right w:val="single" w:sz="8" w:color="ACACAC"/>
            </w:tcBorders>
          </w:tcPr>
          <w:p>
            <w:pPr>
              <w:spacing w:after="0"/>
              <w:rPr>
                <w:sz w:val="2"/>
                <w:szCs w:val="2"/>
                <w:color w:val="auto"/>
              </w:rPr>
            </w:pPr>
          </w:p>
        </w:tc>
        <w:tc>
          <w:tcPr>
            <w:tcW w:w="900" w:type="dxa"/>
            <w:vAlign w:val="bottom"/>
            <w:tcBorders>
              <w:bottom w:val="single" w:sz="8" w:color="ACACAC"/>
              <w:right w:val="single" w:sz="8" w:color="ACACAC"/>
            </w:tcBorders>
          </w:tcPr>
          <w:p>
            <w:pPr>
              <w:spacing w:after="0"/>
              <w:rPr>
                <w:sz w:val="2"/>
                <w:szCs w:val="2"/>
                <w:color w:val="auto"/>
              </w:rPr>
            </w:pPr>
          </w:p>
        </w:tc>
        <w:tc>
          <w:tcPr>
            <w:tcW w:w="780" w:type="dxa"/>
            <w:vAlign w:val="bottom"/>
            <w:tcBorders>
              <w:bottom w:val="single" w:sz="8" w:color="ACACAC"/>
              <w:right w:val="single" w:sz="8" w:color="ACACAC"/>
            </w:tcBorders>
          </w:tcPr>
          <w:p>
            <w:pPr>
              <w:spacing w:after="0"/>
              <w:rPr>
                <w:sz w:val="2"/>
                <w:szCs w:val="2"/>
                <w:color w:val="auto"/>
              </w:rPr>
            </w:pPr>
          </w:p>
        </w:tc>
        <w:tc>
          <w:tcPr>
            <w:tcW w:w="800" w:type="dxa"/>
            <w:vAlign w:val="bottom"/>
            <w:tcBorders>
              <w:bottom w:val="single" w:sz="8" w:color="ACACAC"/>
              <w:right w:val="single" w:sz="8" w:color="ACACAC"/>
            </w:tcBorders>
          </w:tcPr>
          <w:p>
            <w:pPr>
              <w:spacing w:after="0"/>
              <w:rPr>
                <w:sz w:val="2"/>
                <w:szCs w:val="2"/>
                <w:color w:val="auto"/>
              </w:rPr>
            </w:pPr>
          </w:p>
        </w:tc>
        <w:tc>
          <w:tcPr>
            <w:tcW w:w="660" w:type="dxa"/>
            <w:vAlign w:val="bottom"/>
            <w:tcBorders>
              <w:bottom w:val="single" w:sz="8" w:color="ACACAC"/>
              <w:right w:val="single" w:sz="8" w:color="ACACAC"/>
            </w:tcBorders>
          </w:tcPr>
          <w:p>
            <w:pPr>
              <w:spacing w:after="0"/>
              <w:rPr>
                <w:sz w:val="2"/>
                <w:szCs w:val="2"/>
                <w:color w:val="auto"/>
              </w:rPr>
            </w:pPr>
          </w:p>
        </w:tc>
        <w:tc>
          <w:tcPr>
            <w:tcW w:w="660" w:type="dxa"/>
            <w:vAlign w:val="bottom"/>
            <w:tcBorders>
              <w:bottom w:val="single" w:sz="8" w:color="ACACAC"/>
              <w:right w:val="single" w:sz="8" w:color="ACACAC"/>
            </w:tcBorders>
          </w:tcPr>
          <w:p>
            <w:pPr>
              <w:spacing w:after="0"/>
              <w:rPr>
                <w:sz w:val="2"/>
                <w:szCs w:val="2"/>
                <w:color w:val="auto"/>
              </w:rPr>
            </w:pPr>
          </w:p>
        </w:tc>
        <w:tc>
          <w:tcPr>
            <w:tcW w:w="900" w:type="dxa"/>
            <w:vAlign w:val="bottom"/>
            <w:tcBorders>
              <w:bottom w:val="single" w:sz="8" w:color="ACACAC"/>
              <w:right w:val="single" w:sz="8" w:color="ACACAC"/>
            </w:tcBorders>
          </w:tcPr>
          <w:p>
            <w:pPr>
              <w:spacing w:after="0"/>
              <w:rPr>
                <w:sz w:val="2"/>
                <w:szCs w:val="2"/>
                <w:color w:val="auto"/>
              </w:rPr>
            </w:pPr>
          </w:p>
        </w:tc>
        <w:tc>
          <w:tcPr>
            <w:tcW w:w="760" w:type="dxa"/>
            <w:vAlign w:val="bottom"/>
            <w:tcBorders>
              <w:bottom w:val="single" w:sz="8" w:color="ACACAC"/>
              <w:right w:val="single" w:sz="8" w:color="ACACAC"/>
            </w:tcBorders>
          </w:tcPr>
          <w:p>
            <w:pPr>
              <w:spacing w:after="0"/>
              <w:rPr>
                <w:sz w:val="2"/>
                <w:szCs w:val="2"/>
                <w:color w:val="auto"/>
              </w:rPr>
            </w:pPr>
          </w:p>
        </w:tc>
        <w:tc>
          <w:tcPr>
            <w:tcW w:w="780" w:type="dxa"/>
            <w:vAlign w:val="bottom"/>
            <w:tcBorders>
              <w:bottom w:val="single" w:sz="8" w:color="ACACAC"/>
              <w:right w:val="single" w:sz="8" w:color="ACACAC"/>
            </w:tcBorders>
          </w:tcPr>
          <w:p>
            <w:pPr>
              <w:spacing w:after="0"/>
              <w:rPr>
                <w:sz w:val="2"/>
                <w:szCs w:val="2"/>
                <w:color w:val="auto"/>
              </w:rPr>
            </w:pPr>
          </w:p>
        </w:tc>
        <w:tc>
          <w:tcPr>
            <w:tcW w:w="660" w:type="dxa"/>
            <w:vAlign w:val="bottom"/>
            <w:tcBorders>
              <w:bottom w:val="single" w:sz="8" w:color="ACACAC"/>
              <w:right w:val="single" w:sz="8" w:color="ACACAC"/>
            </w:tcBorders>
          </w:tcPr>
          <w:p>
            <w:pPr>
              <w:spacing w:after="0"/>
              <w:rPr>
                <w:sz w:val="2"/>
                <w:szCs w:val="2"/>
                <w:color w:val="auto"/>
              </w:rPr>
            </w:pPr>
          </w:p>
        </w:tc>
        <w:tc>
          <w:tcPr>
            <w:tcW w:w="760" w:type="dxa"/>
            <w:vAlign w:val="bottom"/>
            <w:tcBorders>
              <w:bottom w:val="single" w:sz="8" w:color="ACACAC"/>
              <w:right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720" w:type="dxa"/>
            <w:vAlign w:val="bottom"/>
            <w:tcBorders>
              <w:left w:val="single" w:sz="8" w:color="ACACAC"/>
              <w:bottom w:val="single" w:sz="8" w:color="DDDDDD"/>
              <w:right w:val="single" w:sz="8" w:color="ACACAC"/>
            </w:tcBorders>
            <w:shd w:val="clear" w:color="auto" w:fill="DDDDDD"/>
          </w:tcPr>
          <w:p>
            <w:pPr>
              <w:ind w:left="40"/>
              <w:spacing w:after="0"/>
              <w:rPr>
                <w:sz w:val="20"/>
                <w:szCs w:val="20"/>
                <w:color w:val="auto"/>
              </w:rPr>
            </w:pPr>
            <w:r>
              <w:rPr>
                <w:rFonts w:ascii="Arial" w:cs="Arial" w:eastAsia="Arial" w:hAnsi="Arial"/>
                <w:sz w:val="14"/>
                <w:szCs w:val="14"/>
                <w:color w:val="auto"/>
              </w:rPr>
              <w:t>Technology / Scientific</w:t>
            </w:r>
          </w:p>
        </w:tc>
        <w:tc>
          <w:tcPr>
            <w:tcW w:w="780" w:type="dxa"/>
            <w:vAlign w:val="bottom"/>
            <w:tcBorders>
              <w:bottom w:val="single" w:sz="8" w:color="DDDDDD"/>
              <w:right w:val="single" w:sz="8" w:color="ACACAC"/>
            </w:tcBorders>
            <w:shd w:val="clear" w:color="auto" w:fill="DDDDDD"/>
          </w:tcPr>
          <w:p>
            <w:pPr>
              <w:jc w:val="center"/>
              <w:spacing w:after="0"/>
              <w:rPr>
                <w:sz w:val="20"/>
                <w:szCs w:val="20"/>
                <w:color w:val="auto"/>
              </w:rPr>
            </w:pPr>
            <w:r>
              <w:rPr>
                <w:rFonts w:ascii="Arial" w:cs="Arial" w:eastAsia="Arial" w:hAnsi="Arial"/>
                <w:sz w:val="18"/>
                <w:szCs w:val="18"/>
                <w:color w:val="525252"/>
                <w:w w:val="99"/>
              </w:rPr>
              <w:t>ò</w:t>
            </w:r>
          </w:p>
        </w:tc>
        <w:tc>
          <w:tcPr>
            <w:tcW w:w="900" w:type="dxa"/>
            <w:vAlign w:val="bottom"/>
            <w:tcBorders>
              <w:bottom w:val="single" w:sz="8" w:color="DDDDDD"/>
              <w:right w:val="single" w:sz="8" w:color="ACACAC"/>
            </w:tcBorders>
            <w:shd w:val="clear" w:color="auto" w:fill="DDDDDD"/>
          </w:tcPr>
          <w:p>
            <w:pPr>
              <w:jc w:val="center"/>
              <w:spacing w:after="0"/>
              <w:rPr>
                <w:sz w:val="20"/>
                <w:szCs w:val="20"/>
                <w:color w:val="auto"/>
              </w:rPr>
            </w:pPr>
            <w:r>
              <w:rPr>
                <w:rFonts w:ascii="Arial" w:cs="Arial" w:eastAsia="Arial" w:hAnsi="Arial"/>
                <w:sz w:val="18"/>
                <w:szCs w:val="18"/>
                <w:color w:val="525252"/>
                <w:w w:val="79"/>
              </w:rPr>
              <w:t>õ</w:t>
            </w:r>
          </w:p>
        </w:tc>
        <w:tc>
          <w:tcPr>
            <w:tcW w:w="780" w:type="dxa"/>
            <w:vAlign w:val="bottom"/>
            <w:tcBorders>
              <w:bottom w:val="single" w:sz="8" w:color="DDDDDD"/>
              <w:right w:val="single" w:sz="8" w:color="ACACAC"/>
            </w:tcBorders>
            <w:shd w:val="clear" w:color="auto" w:fill="DDDDDD"/>
          </w:tcPr>
          <w:p>
            <w:pPr>
              <w:spacing w:after="0"/>
              <w:rPr>
                <w:sz w:val="22"/>
                <w:szCs w:val="22"/>
                <w:color w:val="auto"/>
              </w:rPr>
            </w:pPr>
          </w:p>
        </w:tc>
        <w:tc>
          <w:tcPr>
            <w:tcW w:w="800" w:type="dxa"/>
            <w:vAlign w:val="bottom"/>
            <w:tcBorders>
              <w:bottom w:val="single" w:sz="8" w:color="DDDDDD"/>
              <w:right w:val="single" w:sz="8" w:color="ACACAC"/>
            </w:tcBorders>
            <w:shd w:val="clear" w:color="auto" w:fill="DDDDDD"/>
          </w:tcPr>
          <w:p>
            <w:pPr>
              <w:spacing w:after="0"/>
              <w:rPr>
                <w:sz w:val="22"/>
                <w:szCs w:val="22"/>
                <w:color w:val="auto"/>
              </w:rPr>
            </w:pPr>
          </w:p>
        </w:tc>
        <w:tc>
          <w:tcPr>
            <w:tcW w:w="660" w:type="dxa"/>
            <w:vAlign w:val="bottom"/>
            <w:tcBorders>
              <w:bottom w:val="single" w:sz="8" w:color="DDDDDD"/>
              <w:right w:val="single" w:sz="8" w:color="ACACAC"/>
            </w:tcBorders>
            <w:shd w:val="clear" w:color="auto" w:fill="DDDDDD"/>
          </w:tcPr>
          <w:p>
            <w:pPr>
              <w:spacing w:after="0"/>
              <w:rPr>
                <w:sz w:val="22"/>
                <w:szCs w:val="22"/>
                <w:color w:val="auto"/>
              </w:rPr>
            </w:pPr>
          </w:p>
        </w:tc>
        <w:tc>
          <w:tcPr>
            <w:tcW w:w="660" w:type="dxa"/>
            <w:vAlign w:val="bottom"/>
            <w:tcBorders>
              <w:bottom w:val="single" w:sz="8" w:color="DDDDDD"/>
              <w:right w:val="single" w:sz="8" w:color="ACACAC"/>
            </w:tcBorders>
            <w:shd w:val="clear" w:color="auto" w:fill="DDDDDD"/>
          </w:tcPr>
          <w:p>
            <w:pPr>
              <w:jc w:val="center"/>
              <w:spacing w:after="0"/>
              <w:rPr>
                <w:sz w:val="20"/>
                <w:szCs w:val="20"/>
                <w:color w:val="auto"/>
              </w:rPr>
            </w:pPr>
            <w:r>
              <w:rPr>
                <w:rFonts w:ascii="Arial" w:cs="Arial" w:eastAsia="Arial" w:hAnsi="Arial"/>
                <w:sz w:val="18"/>
                <w:szCs w:val="18"/>
                <w:color w:val="525252"/>
                <w:w w:val="79"/>
              </w:rPr>
              <w:t>õ</w:t>
            </w:r>
          </w:p>
        </w:tc>
        <w:tc>
          <w:tcPr>
            <w:tcW w:w="900" w:type="dxa"/>
            <w:vAlign w:val="bottom"/>
            <w:tcBorders>
              <w:bottom w:val="single" w:sz="8" w:color="DDDDDD"/>
              <w:right w:val="single" w:sz="8" w:color="ACACAC"/>
            </w:tcBorders>
            <w:shd w:val="clear" w:color="auto" w:fill="DDDDDD"/>
          </w:tcPr>
          <w:p>
            <w:pPr>
              <w:spacing w:after="0"/>
              <w:rPr>
                <w:sz w:val="22"/>
                <w:szCs w:val="22"/>
                <w:color w:val="auto"/>
              </w:rPr>
            </w:pPr>
          </w:p>
        </w:tc>
        <w:tc>
          <w:tcPr>
            <w:tcW w:w="760" w:type="dxa"/>
            <w:vAlign w:val="bottom"/>
            <w:tcBorders>
              <w:bottom w:val="single" w:sz="8" w:color="DDDDDD"/>
              <w:right w:val="single" w:sz="8" w:color="ACACAC"/>
            </w:tcBorders>
            <w:shd w:val="clear" w:color="auto" w:fill="DDDDDD"/>
          </w:tcPr>
          <w:p>
            <w:pPr>
              <w:jc w:val="center"/>
              <w:spacing w:after="0"/>
              <w:rPr>
                <w:sz w:val="20"/>
                <w:szCs w:val="20"/>
                <w:color w:val="auto"/>
              </w:rPr>
            </w:pPr>
            <w:r>
              <w:rPr>
                <w:rFonts w:ascii="Arial" w:cs="Arial" w:eastAsia="Arial" w:hAnsi="Arial"/>
                <w:sz w:val="18"/>
                <w:szCs w:val="18"/>
                <w:color w:val="525252"/>
                <w:w w:val="99"/>
              </w:rPr>
              <w:t>ò</w:t>
            </w:r>
          </w:p>
        </w:tc>
        <w:tc>
          <w:tcPr>
            <w:tcW w:w="780" w:type="dxa"/>
            <w:vAlign w:val="bottom"/>
            <w:tcBorders>
              <w:bottom w:val="single" w:sz="8" w:color="DDDDDD"/>
              <w:right w:val="single" w:sz="8" w:color="ACACAC"/>
            </w:tcBorders>
            <w:shd w:val="clear" w:color="auto" w:fill="DDDDDD"/>
          </w:tcPr>
          <w:p>
            <w:pPr>
              <w:spacing w:after="0"/>
              <w:rPr>
                <w:sz w:val="22"/>
                <w:szCs w:val="22"/>
                <w:color w:val="auto"/>
              </w:rPr>
            </w:pPr>
          </w:p>
        </w:tc>
        <w:tc>
          <w:tcPr>
            <w:tcW w:w="660" w:type="dxa"/>
            <w:vAlign w:val="bottom"/>
            <w:tcBorders>
              <w:bottom w:val="single" w:sz="8" w:color="DDDDDD"/>
              <w:right w:val="single" w:sz="8" w:color="ACACAC"/>
            </w:tcBorders>
            <w:shd w:val="clear" w:color="auto" w:fill="DDDDDD"/>
          </w:tcPr>
          <w:p>
            <w:pPr>
              <w:spacing w:after="0"/>
              <w:rPr>
                <w:sz w:val="22"/>
                <w:szCs w:val="22"/>
                <w:color w:val="auto"/>
              </w:rPr>
            </w:pPr>
          </w:p>
        </w:tc>
        <w:tc>
          <w:tcPr>
            <w:tcW w:w="760" w:type="dxa"/>
            <w:vAlign w:val="bottom"/>
            <w:tcBorders>
              <w:bottom w:val="single" w:sz="8" w:color="DDDDDD"/>
              <w:right w:val="single" w:sz="8" w:color="ACACAC"/>
            </w:tcBorders>
            <w:shd w:val="clear" w:color="auto" w:fill="DDDDDD"/>
          </w:tcPr>
          <w:p>
            <w:pPr>
              <w:jc w:val="center"/>
              <w:spacing w:after="0"/>
              <w:rPr>
                <w:sz w:val="20"/>
                <w:szCs w:val="20"/>
                <w:color w:val="auto"/>
              </w:rPr>
            </w:pPr>
            <w:r>
              <w:rPr>
                <w:rFonts w:ascii="Arial" w:cs="Arial" w:eastAsia="Arial" w:hAnsi="Arial"/>
                <w:sz w:val="18"/>
                <w:szCs w:val="18"/>
                <w:color w:val="525252"/>
                <w:w w:val="99"/>
              </w:rPr>
              <w:t>ò</w:t>
            </w:r>
          </w:p>
        </w:tc>
        <w:tc>
          <w:tcPr>
            <w:tcW w:w="0" w:type="dxa"/>
            <w:vAlign w:val="bottom"/>
          </w:tcPr>
          <w:p>
            <w:pPr>
              <w:spacing w:after="0"/>
              <w:rPr>
                <w:sz w:val="1"/>
                <w:szCs w:val="1"/>
                <w:color w:val="auto"/>
              </w:rPr>
            </w:pPr>
          </w:p>
        </w:tc>
      </w:tr>
      <w:tr>
        <w:trPr>
          <w:trHeight w:val="237"/>
        </w:trPr>
        <w:tc>
          <w:tcPr>
            <w:tcW w:w="2720" w:type="dxa"/>
            <w:vAlign w:val="bottom"/>
            <w:tcBorders>
              <w:top w:val="single" w:sz="8" w:color="ACACAC"/>
              <w:left w:val="single" w:sz="8" w:color="ACACAC"/>
              <w:right w:val="single" w:sz="8" w:color="ACACAC"/>
            </w:tcBorders>
          </w:tcPr>
          <w:p>
            <w:pPr>
              <w:ind w:left="40"/>
              <w:spacing w:after="0"/>
              <w:rPr>
                <w:sz w:val="20"/>
                <w:szCs w:val="20"/>
                <w:color w:val="auto"/>
              </w:rPr>
            </w:pPr>
            <w:r>
              <w:rPr>
                <w:rFonts w:ascii="Arial" w:cs="Arial" w:eastAsia="Arial" w:hAnsi="Arial"/>
                <w:sz w:val="14"/>
                <w:szCs w:val="14"/>
                <w:color w:val="auto"/>
              </w:rPr>
              <w:t>Risk / Crisis Management</w:t>
            </w:r>
          </w:p>
        </w:tc>
        <w:tc>
          <w:tcPr>
            <w:tcW w:w="780" w:type="dxa"/>
            <w:vAlign w:val="bottom"/>
            <w:tcBorders>
              <w:top w:val="single" w:sz="8" w:color="ACACAC"/>
              <w:right w:val="single" w:sz="8" w:color="ACACAC"/>
            </w:tcBorders>
          </w:tcPr>
          <w:p>
            <w:pPr>
              <w:jc w:val="center"/>
              <w:spacing w:after="0"/>
              <w:rPr>
                <w:sz w:val="20"/>
                <w:szCs w:val="20"/>
                <w:color w:val="auto"/>
              </w:rPr>
            </w:pPr>
            <w:r>
              <w:rPr>
                <w:rFonts w:ascii="Arial" w:cs="Arial" w:eastAsia="Arial" w:hAnsi="Arial"/>
                <w:sz w:val="18"/>
                <w:szCs w:val="18"/>
                <w:color w:val="525252"/>
                <w:w w:val="99"/>
              </w:rPr>
              <w:t>ò</w:t>
            </w:r>
          </w:p>
        </w:tc>
        <w:tc>
          <w:tcPr>
            <w:tcW w:w="900" w:type="dxa"/>
            <w:vAlign w:val="bottom"/>
            <w:tcBorders>
              <w:top w:val="single" w:sz="8" w:color="ACACAC"/>
              <w:right w:val="single" w:sz="8" w:color="ACACAC"/>
            </w:tcBorders>
          </w:tcPr>
          <w:p>
            <w:pPr>
              <w:jc w:val="center"/>
              <w:spacing w:after="0"/>
              <w:rPr>
                <w:sz w:val="20"/>
                <w:szCs w:val="20"/>
                <w:color w:val="auto"/>
              </w:rPr>
            </w:pPr>
            <w:r>
              <w:rPr>
                <w:rFonts w:ascii="Arial" w:cs="Arial" w:eastAsia="Arial" w:hAnsi="Arial"/>
                <w:sz w:val="18"/>
                <w:szCs w:val="18"/>
                <w:color w:val="525252"/>
                <w:w w:val="79"/>
              </w:rPr>
              <w:t>ò</w:t>
            </w:r>
          </w:p>
        </w:tc>
        <w:tc>
          <w:tcPr>
            <w:tcW w:w="780" w:type="dxa"/>
            <w:vAlign w:val="bottom"/>
            <w:tcBorders>
              <w:top w:val="single" w:sz="8" w:color="ACACAC"/>
              <w:right w:val="single" w:sz="8" w:color="ACACAC"/>
            </w:tcBorders>
          </w:tcPr>
          <w:p>
            <w:pPr>
              <w:jc w:val="center"/>
              <w:spacing w:after="0"/>
              <w:rPr>
                <w:sz w:val="20"/>
                <w:szCs w:val="20"/>
                <w:color w:val="auto"/>
              </w:rPr>
            </w:pPr>
            <w:r>
              <w:rPr>
                <w:rFonts w:ascii="Arial" w:cs="Arial" w:eastAsia="Arial" w:hAnsi="Arial"/>
                <w:sz w:val="18"/>
                <w:szCs w:val="18"/>
                <w:color w:val="525252"/>
                <w:w w:val="79"/>
              </w:rPr>
              <w:t>õ</w:t>
            </w:r>
          </w:p>
        </w:tc>
        <w:tc>
          <w:tcPr>
            <w:tcW w:w="800" w:type="dxa"/>
            <w:vAlign w:val="bottom"/>
            <w:tcBorders>
              <w:top w:val="single" w:sz="8" w:color="ACACAC"/>
              <w:right w:val="single" w:sz="8" w:color="ACACAC"/>
            </w:tcBorders>
          </w:tcPr>
          <w:p>
            <w:pPr>
              <w:jc w:val="center"/>
              <w:spacing w:after="0"/>
              <w:rPr>
                <w:sz w:val="20"/>
                <w:szCs w:val="20"/>
                <w:color w:val="auto"/>
              </w:rPr>
            </w:pPr>
            <w:r>
              <w:rPr>
                <w:rFonts w:ascii="Arial" w:cs="Arial" w:eastAsia="Arial" w:hAnsi="Arial"/>
                <w:sz w:val="18"/>
                <w:szCs w:val="18"/>
                <w:color w:val="525252"/>
                <w:w w:val="99"/>
              </w:rPr>
              <w:t>ò</w:t>
            </w:r>
          </w:p>
        </w:tc>
        <w:tc>
          <w:tcPr>
            <w:tcW w:w="660" w:type="dxa"/>
            <w:vAlign w:val="bottom"/>
            <w:tcBorders>
              <w:top w:val="single" w:sz="8" w:color="ACACAC"/>
              <w:right w:val="single" w:sz="8" w:color="ACACAC"/>
            </w:tcBorders>
          </w:tcPr>
          <w:p>
            <w:pPr>
              <w:jc w:val="center"/>
              <w:spacing w:after="0"/>
              <w:rPr>
                <w:sz w:val="20"/>
                <w:szCs w:val="20"/>
                <w:color w:val="auto"/>
              </w:rPr>
            </w:pPr>
            <w:r>
              <w:rPr>
                <w:rFonts w:ascii="Arial" w:cs="Arial" w:eastAsia="Arial" w:hAnsi="Arial"/>
                <w:sz w:val="18"/>
                <w:szCs w:val="18"/>
                <w:color w:val="525252"/>
                <w:w w:val="99"/>
              </w:rPr>
              <w:t>õ</w:t>
            </w:r>
          </w:p>
        </w:tc>
        <w:tc>
          <w:tcPr>
            <w:tcW w:w="660" w:type="dxa"/>
            <w:vAlign w:val="bottom"/>
            <w:tcBorders>
              <w:top w:val="single" w:sz="8" w:color="ACACAC"/>
              <w:right w:val="single" w:sz="8" w:color="ACACAC"/>
            </w:tcBorders>
          </w:tcPr>
          <w:p>
            <w:pPr>
              <w:jc w:val="center"/>
              <w:spacing w:after="0"/>
              <w:rPr>
                <w:sz w:val="20"/>
                <w:szCs w:val="20"/>
                <w:color w:val="auto"/>
              </w:rPr>
            </w:pPr>
            <w:r>
              <w:rPr>
                <w:rFonts w:ascii="Arial" w:cs="Arial" w:eastAsia="Arial" w:hAnsi="Arial"/>
                <w:sz w:val="18"/>
                <w:szCs w:val="18"/>
                <w:color w:val="525252"/>
                <w:w w:val="79"/>
              </w:rPr>
              <w:t>õ</w:t>
            </w:r>
          </w:p>
        </w:tc>
        <w:tc>
          <w:tcPr>
            <w:tcW w:w="900" w:type="dxa"/>
            <w:vAlign w:val="bottom"/>
            <w:tcBorders>
              <w:top w:val="single" w:sz="8" w:color="ACACAC"/>
              <w:right w:val="single" w:sz="8" w:color="ACACAC"/>
            </w:tcBorders>
          </w:tcPr>
          <w:p>
            <w:pPr>
              <w:spacing w:after="0"/>
              <w:rPr>
                <w:sz w:val="20"/>
                <w:szCs w:val="20"/>
                <w:color w:val="auto"/>
              </w:rPr>
            </w:pPr>
          </w:p>
        </w:tc>
        <w:tc>
          <w:tcPr>
            <w:tcW w:w="760" w:type="dxa"/>
            <w:vAlign w:val="bottom"/>
            <w:tcBorders>
              <w:top w:val="single" w:sz="8" w:color="ACACAC"/>
              <w:right w:val="single" w:sz="8" w:color="ACACAC"/>
            </w:tcBorders>
          </w:tcPr>
          <w:p>
            <w:pPr>
              <w:jc w:val="center"/>
              <w:spacing w:after="0"/>
              <w:rPr>
                <w:sz w:val="20"/>
                <w:szCs w:val="20"/>
                <w:color w:val="auto"/>
              </w:rPr>
            </w:pPr>
            <w:r>
              <w:rPr>
                <w:rFonts w:ascii="Arial" w:cs="Arial" w:eastAsia="Arial" w:hAnsi="Arial"/>
                <w:sz w:val="18"/>
                <w:szCs w:val="18"/>
                <w:color w:val="525252"/>
                <w:w w:val="99"/>
              </w:rPr>
              <w:t>ò</w:t>
            </w:r>
          </w:p>
        </w:tc>
        <w:tc>
          <w:tcPr>
            <w:tcW w:w="780" w:type="dxa"/>
            <w:vAlign w:val="bottom"/>
            <w:tcBorders>
              <w:top w:val="single" w:sz="8" w:color="ACACAC"/>
              <w:right w:val="single" w:sz="8" w:color="ACACAC"/>
            </w:tcBorders>
          </w:tcPr>
          <w:p>
            <w:pPr>
              <w:jc w:val="center"/>
              <w:spacing w:after="0"/>
              <w:rPr>
                <w:sz w:val="20"/>
                <w:szCs w:val="20"/>
                <w:color w:val="auto"/>
              </w:rPr>
            </w:pPr>
            <w:r>
              <w:rPr>
                <w:rFonts w:ascii="Arial" w:cs="Arial" w:eastAsia="Arial" w:hAnsi="Arial"/>
                <w:sz w:val="18"/>
                <w:szCs w:val="18"/>
                <w:color w:val="525252"/>
                <w:w w:val="79"/>
              </w:rPr>
              <w:t>õ</w:t>
            </w:r>
          </w:p>
        </w:tc>
        <w:tc>
          <w:tcPr>
            <w:tcW w:w="660" w:type="dxa"/>
            <w:vAlign w:val="bottom"/>
            <w:tcBorders>
              <w:top w:val="single" w:sz="8" w:color="ACACAC"/>
              <w:right w:val="single" w:sz="8" w:color="ACACAC"/>
            </w:tcBorders>
          </w:tcPr>
          <w:p>
            <w:pPr>
              <w:jc w:val="center"/>
              <w:spacing w:after="0"/>
              <w:rPr>
                <w:sz w:val="20"/>
                <w:szCs w:val="20"/>
                <w:color w:val="auto"/>
              </w:rPr>
            </w:pPr>
            <w:r>
              <w:rPr>
                <w:rFonts w:ascii="Arial" w:cs="Arial" w:eastAsia="Arial" w:hAnsi="Arial"/>
                <w:sz w:val="18"/>
                <w:szCs w:val="18"/>
                <w:color w:val="525252"/>
                <w:w w:val="79"/>
              </w:rPr>
              <w:t>ò</w:t>
            </w:r>
          </w:p>
        </w:tc>
        <w:tc>
          <w:tcPr>
            <w:tcW w:w="760" w:type="dxa"/>
            <w:vAlign w:val="bottom"/>
            <w:tcBorders>
              <w:top w:val="single" w:sz="8" w:color="ACACAC"/>
              <w:right w:val="single" w:sz="8" w:color="ACACAC"/>
            </w:tcBorders>
          </w:tcPr>
          <w:p>
            <w:pPr>
              <w:jc w:val="center"/>
              <w:spacing w:after="0"/>
              <w:rPr>
                <w:sz w:val="20"/>
                <w:szCs w:val="20"/>
                <w:color w:val="auto"/>
              </w:rPr>
            </w:pPr>
            <w:r>
              <w:rPr>
                <w:rFonts w:ascii="Arial" w:cs="Arial" w:eastAsia="Arial" w:hAnsi="Arial"/>
                <w:sz w:val="18"/>
                <w:szCs w:val="18"/>
                <w:color w:val="525252"/>
                <w:w w:val="99"/>
              </w:rPr>
              <w:t>ò</w:t>
            </w:r>
          </w:p>
        </w:tc>
        <w:tc>
          <w:tcPr>
            <w:tcW w:w="0" w:type="dxa"/>
            <w:vAlign w:val="bottom"/>
          </w:tcPr>
          <w:p>
            <w:pPr>
              <w:spacing w:after="0"/>
              <w:rPr>
                <w:sz w:val="1"/>
                <w:szCs w:val="1"/>
                <w:color w:val="auto"/>
              </w:rPr>
            </w:pPr>
          </w:p>
        </w:tc>
      </w:tr>
      <w:tr>
        <w:trPr>
          <w:trHeight w:val="27"/>
        </w:trPr>
        <w:tc>
          <w:tcPr>
            <w:tcW w:w="2720" w:type="dxa"/>
            <w:vAlign w:val="bottom"/>
            <w:tcBorders>
              <w:left w:val="single" w:sz="8" w:color="ACACAC"/>
              <w:bottom w:val="single" w:sz="8" w:color="ACACAC"/>
              <w:right w:val="single" w:sz="8" w:color="ACACAC"/>
            </w:tcBorders>
          </w:tcPr>
          <w:p>
            <w:pPr>
              <w:spacing w:after="0"/>
              <w:rPr>
                <w:sz w:val="2"/>
                <w:szCs w:val="2"/>
                <w:color w:val="auto"/>
              </w:rPr>
            </w:pPr>
          </w:p>
        </w:tc>
        <w:tc>
          <w:tcPr>
            <w:tcW w:w="780" w:type="dxa"/>
            <w:vAlign w:val="bottom"/>
            <w:tcBorders>
              <w:bottom w:val="single" w:sz="8" w:color="ACACAC"/>
              <w:right w:val="single" w:sz="8" w:color="ACACAC"/>
            </w:tcBorders>
          </w:tcPr>
          <w:p>
            <w:pPr>
              <w:spacing w:after="0"/>
              <w:rPr>
                <w:sz w:val="2"/>
                <w:szCs w:val="2"/>
                <w:color w:val="auto"/>
              </w:rPr>
            </w:pPr>
          </w:p>
        </w:tc>
        <w:tc>
          <w:tcPr>
            <w:tcW w:w="900" w:type="dxa"/>
            <w:vAlign w:val="bottom"/>
            <w:tcBorders>
              <w:bottom w:val="single" w:sz="8" w:color="ACACAC"/>
              <w:right w:val="single" w:sz="8" w:color="ACACAC"/>
            </w:tcBorders>
          </w:tcPr>
          <w:p>
            <w:pPr>
              <w:spacing w:after="0"/>
              <w:rPr>
                <w:sz w:val="2"/>
                <w:szCs w:val="2"/>
                <w:color w:val="auto"/>
              </w:rPr>
            </w:pPr>
          </w:p>
        </w:tc>
        <w:tc>
          <w:tcPr>
            <w:tcW w:w="780" w:type="dxa"/>
            <w:vAlign w:val="bottom"/>
            <w:tcBorders>
              <w:bottom w:val="single" w:sz="8" w:color="ACACAC"/>
              <w:right w:val="single" w:sz="8" w:color="ACACAC"/>
            </w:tcBorders>
          </w:tcPr>
          <w:p>
            <w:pPr>
              <w:spacing w:after="0"/>
              <w:rPr>
                <w:sz w:val="2"/>
                <w:szCs w:val="2"/>
                <w:color w:val="auto"/>
              </w:rPr>
            </w:pPr>
          </w:p>
        </w:tc>
        <w:tc>
          <w:tcPr>
            <w:tcW w:w="800" w:type="dxa"/>
            <w:vAlign w:val="bottom"/>
            <w:tcBorders>
              <w:bottom w:val="single" w:sz="8" w:color="ACACAC"/>
              <w:right w:val="single" w:sz="8" w:color="ACACAC"/>
            </w:tcBorders>
          </w:tcPr>
          <w:p>
            <w:pPr>
              <w:spacing w:after="0"/>
              <w:rPr>
                <w:sz w:val="2"/>
                <w:szCs w:val="2"/>
                <w:color w:val="auto"/>
              </w:rPr>
            </w:pPr>
          </w:p>
        </w:tc>
        <w:tc>
          <w:tcPr>
            <w:tcW w:w="660" w:type="dxa"/>
            <w:vAlign w:val="bottom"/>
            <w:tcBorders>
              <w:bottom w:val="single" w:sz="8" w:color="ACACAC"/>
              <w:right w:val="single" w:sz="8" w:color="ACACAC"/>
            </w:tcBorders>
          </w:tcPr>
          <w:p>
            <w:pPr>
              <w:spacing w:after="0"/>
              <w:rPr>
                <w:sz w:val="2"/>
                <w:szCs w:val="2"/>
                <w:color w:val="auto"/>
              </w:rPr>
            </w:pPr>
          </w:p>
        </w:tc>
        <w:tc>
          <w:tcPr>
            <w:tcW w:w="660" w:type="dxa"/>
            <w:vAlign w:val="bottom"/>
            <w:tcBorders>
              <w:bottom w:val="single" w:sz="8" w:color="ACACAC"/>
              <w:right w:val="single" w:sz="8" w:color="ACACAC"/>
            </w:tcBorders>
          </w:tcPr>
          <w:p>
            <w:pPr>
              <w:spacing w:after="0"/>
              <w:rPr>
                <w:sz w:val="2"/>
                <w:szCs w:val="2"/>
                <w:color w:val="auto"/>
              </w:rPr>
            </w:pPr>
          </w:p>
        </w:tc>
        <w:tc>
          <w:tcPr>
            <w:tcW w:w="900" w:type="dxa"/>
            <w:vAlign w:val="bottom"/>
            <w:tcBorders>
              <w:bottom w:val="single" w:sz="8" w:color="ACACAC"/>
              <w:right w:val="single" w:sz="8" w:color="ACACAC"/>
            </w:tcBorders>
          </w:tcPr>
          <w:p>
            <w:pPr>
              <w:spacing w:after="0"/>
              <w:rPr>
                <w:sz w:val="2"/>
                <w:szCs w:val="2"/>
                <w:color w:val="auto"/>
              </w:rPr>
            </w:pPr>
          </w:p>
        </w:tc>
        <w:tc>
          <w:tcPr>
            <w:tcW w:w="760" w:type="dxa"/>
            <w:vAlign w:val="bottom"/>
            <w:tcBorders>
              <w:bottom w:val="single" w:sz="8" w:color="ACACAC"/>
              <w:right w:val="single" w:sz="8" w:color="ACACAC"/>
            </w:tcBorders>
          </w:tcPr>
          <w:p>
            <w:pPr>
              <w:spacing w:after="0"/>
              <w:rPr>
                <w:sz w:val="2"/>
                <w:szCs w:val="2"/>
                <w:color w:val="auto"/>
              </w:rPr>
            </w:pPr>
          </w:p>
        </w:tc>
        <w:tc>
          <w:tcPr>
            <w:tcW w:w="780" w:type="dxa"/>
            <w:vAlign w:val="bottom"/>
            <w:tcBorders>
              <w:bottom w:val="single" w:sz="8" w:color="ACACAC"/>
              <w:right w:val="single" w:sz="8" w:color="ACACAC"/>
            </w:tcBorders>
          </w:tcPr>
          <w:p>
            <w:pPr>
              <w:spacing w:after="0"/>
              <w:rPr>
                <w:sz w:val="2"/>
                <w:szCs w:val="2"/>
                <w:color w:val="auto"/>
              </w:rPr>
            </w:pPr>
          </w:p>
        </w:tc>
        <w:tc>
          <w:tcPr>
            <w:tcW w:w="660" w:type="dxa"/>
            <w:vAlign w:val="bottom"/>
            <w:tcBorders>
              <w:bottom w:val="single" w:sz="8" w:color="ACACAC"/>
              <w:right w:val="single" w:sz="8" w:color="ACACAC"/>
            </w:tcBorders>
          </w:tcPr>
          <w:p>
            <w:pPr>
              <w:spacing w:after="0"/>
              <w:rPr>
                <w:sz w:val="2"/>
                <w:szCs w:val="2"/>
                <w:color w:val="auto"/>
              </w:rPr>
            </w:pPr>
          </w:p>
        </w:tc>
        <w:tc>
          <w:tcPr>
            <w:tcW w:w="760" w:type="dxa"/>
            <w:vAlign w:val="bottom"/>
            <w:tcBorders>
              <w:bottom w:val="single" w:sz="8" w:color="ACACAC"/>
              <w:right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720" w:type="dxa"/>
            <w:vAlign w:val="bottom"/>
            <w:tcBorders>
              <w:left w:val="single" w:sz="8" w:color="ACACAC"/>
              <w:bottom w:val="single" w:sz="8" w:color="DDDDDD"/>
              <w:right w:val="single" w:sz="8" w:color="ACACAC"/>
            </w:tcBorders>
            <w:shd w:val="clear" w:color="auto" w:fill="DDDDDD"/>
          </w:tcPr>
          <w:p>
            <w:pPr>
              <w:ind w:left="40"/>
              <w:spacing w:after="0"/>
              <w:rPr>
                <w:sz w:val="20"/>
                <w:szCs w:val="20"/>
                <w:color w:val="auto"/>
              </w:rPr>
            </w:pPr>
            <w:r>
              <w:rPr>
                <w:rFonts w:ascii="Arial" w:cs="Arial" w:eastAsia="Arial" w:hAnsi="Arial"/>
                <w:sz w:val="14"/>
                <w:szCs w:val="14"/>
                <w:color w:val="auto"/>
              </w:rPr>
              <w:t>Safety and Environmental</w:t>
            </w:r>
          </w:p>
        </w:tc>
        <w:tc>
          <w:tcPr>
            <w:tcW w:w="780" w:type="dxa"/>
            <w:vAlign w:val="bottom"/>
            <w:tcBorders>
              <w:bottom w:val="single" w:sz="8" w:color="DDDDDD"/>
              <w:right w:val="single" w:sz="8" w:color="ACACAC"/>
            </w:tcBorders>
            <w:shd w:val="clear" w:color="auto" w:fill="DDDDDD"/>
          </w:tcPr>
          <w:p>
            <w:pPr>
              <w:jc w:val="center"/>
              <w:spacing w:after="0"/>
              <w:rPr>
                <w:sz w:val="20"/>
                <w:szCs w:val="20"/>
                <w:color w:val="auto"/>
              </w:rPr>
            </w:pPr>
            <w:r>
              <w:rPr>
                <w:rFonts w:ascii="Arial" w:cs="Arial" w:eastAsia="Arial" w:hAnsi="Arial"/>
                <w:sz w:val="18"/>
                <w:szCs w:val="18"/>
                <w:color w:val="525252"/>
                <w:w w:val="99"/>
              </w:rPr>
              <w:t>ò</w:t>
            </w:r>
          </w:p>
        </w:tc>
        <w:tc>
          <w:tcPr>
            <w:tcW w:w="900" w:type="dxa"/>
            <w:vAlign w:val="bottom"/>
            <w:tcBorders>
              <w:bottom w:val="single" w:sz="8" w:color="DDDDDD"/>
              <w:right w:val="single" w:sz="8" w:color="ACACAC"/>
            </w:tcBorders>
            <w:shd w:val="clear" w:color="auto" w:fill="DDDDDD"/>
          </w:tcPr>
          <w:p>
            <w:pPr>
              <w:spacing w:after="0"/>
              <w:rPr>
                <w:sz w:val="22"/>
                <w:szCs w:val="22"/>
                <w:color w:val="auto"/>
              </w:rPr>
            </w:pPr>
          </w:p>
        </w:tc>
        <w:tc>
          <w:tcPr>
            <w:tcW w:w="780" w:type="dxa"/>
            <w:vAlign w:val="bottom"/>
            <w:tcBorders>
              <w:bottom w:val="single" w:sz="8" w:color="DDDDDD"/>
              <w:right w:val="single" w:sz="8" w:color="ACACAC"/>
            </w:tcBorders>
            <w:shd w:val="clear" w:color="auto" w:fill="DDDDDD"/>
          </w:tcPr>
          <w:p>
            <w:pPr>
              <w:jc w:val="center"/>
              <w:spacing w:after="0"/>
              <w:rPr>
                <w:sz w:val="20"/>
                <w:szCs w:val="20"/>
                <w:color w:val="auto"/>
              </w:rPr>
            </w:pPr>
            <w:r>
              <w:rPr>
                <w:rFonts w:ascii="Arial" w:cs="Arial" w:eastAsia="Arial" w:hAnsi="Arial"/>
                <w:sz w:val="18"/>
                <w:szCs w:val="18"/>
                <w:color w:val="525252"/>
                <w:w w:val="79"/>
              </w:rPr>
              <w:t>ò</w:t>
            </w:r>
          </w:p>
        </w:tc>
        <w:tc>
          <w:tcPr>
            <w:tcW w:w="800" w:type="dxa"/>
            <w:vAlign w:val="bottom"/>
            <w:tcBorders>
              <w:bottom w:val="single" w:sz="8" w:color="DDDDDD"/>
              <w:right w:val="single" w:sz="8" w:color="ACACAC"/>
            </w:tcBorders>
            <w:shd w:val="clear" w:color="auto" w:fill="DDDDDD"/>
          </w:tcPr>
          <w:p>
            <w:pPr>
              <w:jc w:val="center"/>
              <w:spacing w:after="0"/>
              <w:rPr>
                <w:sz w:val="20"/>
                <w:szCs w:val="20"/>
                <w:color w:val="auto"/>
              </w:rPr>
            </w:pPr>
            <w:r>
              <w:rPr>
                <w:rFonts w:ascii="Arial" w:cs="Arial" w:eastAsia="Arial" w:hAnsi="Arial"/>
                <w:sz w:val="18"/>
                <w:szCs w:val="18"/>
                <w:color w:val="525252"/>
                <w:w w:val="99"/>
              </w:rPr>
              <w:t>õ</w:t>
            </w:r>
          </w:p>
        </w:tc>
        <w:tc>
          <w:tcPr>
            <w:tcW w:w="660" w:type="dxa"/>
            <w:vAlign w:val="bottom"/>
            <w:tcBorders>
              <w:bottom w:val="single" w:sz="8" w:color="DDDDDD"/>
              <w:right w:val="single" w:sz="8" w:color="ACACAC"/>
            </w:tcBorders>
            <w:shd w:val="clear" w:color="auto" w:fill="DDDDDD"/>
          </w:tcPr>
          <w:p>
            <w:pPr>
              <w:jc w:val="center"/>
              <w:spacing w:after="0"/>
              <w:rPr>
                <w:sz w:val="20"/>
                <w:szCs w:val="20"/>
                <w:color w:val="auto"/>
              </w:rPr>
            </w:pPr>
            <w:r>
              <w:rPr>
                <w:rFonts w:ascii="Arial" w:cs="Arial" w:eastAsia="Arial" w:hAnsi="Arial"/>
                <w:sz w:val="18"/>
                <w:szCs w:val="18"/>
                <w:color w:val="525252"/>
                <w:w w:val="99"/>
              </w:rPr>
              <w:t>õ</w:t>
            </w:r>
          </w:p>
        </w:tc>
        <w:tc>
          <w:tcPr>
            <w:tcW w:w="660" w:type="dxa"/>
            <w:vAlign w:val="bottom"/>
            <w:tcBorders>
              <w:bottom w:val="single" w:sz="8" w:color="DDDDDD"/>
              <w:right w:val="single" w:sz="8" w:color="ACACAC"/>
            </w:tcBorders>
            <w:shd w:val="clear" w:color="auto" w:fill="DDDDDD"/>
          </w:tcPr>
          <w:p>
            <w:pPr>
              <w:spacing w:after="0"/>
              <w:rPr>
                <w:sz w:val="22"/>
                <w:szCs w:val="22"/>
                <w:color w:val="auto"/>
              </w:rPr>
            </w:pPr>
          </w:p>
        </w:tc>
        <w:tc>
          <w:tcPr>
            <w:tcW w:w="900" w:type="dxa"/>
            <w:vAlign w:val="bottom"/>
            <w:tcBorders>
              <w:bottom w:val="single" w:sz="8" w:color="DDDDDD"/>
              <w:right w:val="single" w:sz="8" w:color="ACACAC"/>
            </w:tcBorders>
            <w:shd w:val="clear" w:color="auto" w:fill="DDDDDD"/>
          </w:tcPr>
          <w:p>
            <w:pPr>
              <w:spacing w:after="0"/>
              <w:rPr>
                <w:sz w:val="22"/>
                <w:szCs w:val="22"/>
                <w:color w:val="auto"/>
              </w:rPr>
            </w:pPr>
          </w:p>
        </w:tc>
        <w:tc>
          <w:tcPr>
            <w:tcW w:w="760" w:type="dxa"/>
            <w:vAlign w:val="bottom"/>
            <w:tcBorders>
              <w:bottom w:val="single" w:sz="8" w:color="DDDDDD"/>
              <w:right w:val="single" w:sz="8" w:color="ACACAC"/>
            </w:tcBorders>
            <w:shd w:val="clear" w:color="auto" w:fill="DDDDDD"/>
          </w:tcPr>
          <w:p>
            <w:pPr>
              <w:jc w:val="center"/>
              <w:spacing w:after="0"/>
              <w:rPr>
                <w:sz w:val="20"/>
                <w:szCs w:val="20"/>
                <w:color w:val="auto"/>
              </w:rPr>
            </w:pPr>
            <w:r>
              <w:rPr>
                <w:rFonts w:ascii="Arial" w:cs="Arial" w:eastAsia="Arial" w:hAnsi="Arial"/>
                <w:sz w:val="18"/>
                <w:szCs w:val="18"/>
                <w:color w:val="525252"/>
                <w:w w:val="99"/>
              </w:rPr>
              <w:t>ò</w:t>
            </w:r>
          </w:p>
        </w:tc>
        <w:tc>
          <w:tcPr>
            <w:tcW w:w="780" w:type="dxa"/>
            <w:vAlign w:val="bottom"/>
            <w:tcBorders>
              <w:bottom w:val="single" w:sz="8" w:color="DDDDDD"/>
              <w:right w:val="single" w:sz="8" w:color="ACACAC"/>
            </w:tcBorders>
            <w:shd w:val="clear" w:color="auto" w:fill="DDDDDD"/>
          </w:tcPr>
          <w:p>
            <w:pPr>
              <w:jc w:val="center"/>
              <w:spacing w:after="0"/>
              <w:rPr>
                <w:sz w:val="20"/>
                <w:szCs w:val="20"/>
                <w:color w:val="auto"/>
              </w:rPr>
            </w:pPr>
            <w:r>
              <w:rPr>
                <w:rFonts w:ascii="Arial" w:cs="Arial" w:eastAsia="Arial" w:hAnsi="Arial"/>
                <w:sz w:val="18"/>
                <w:szCs w:val="18"/>
                <w:color w:val="525252"/>
                <w:w w:val="79"/>
              </w:rPr>
              <w:t>õ</w:t>
            </w:r>
          </w:p>
        </w:tc>
        <w:tc>
          <w:tcPr>
            <w:tcW w:w="660" w:type="dxa"/>
            <w:vAlign w:val="bottom"/>
            <w:tcBorders>
              <w:bottom w:val="single" w:sz="8" w:color="DDDDDD"/>
              <w:right w:val="single" w:sz="8" w:color="ACACAC"/>
            </w:tcBorders>
            <w:shd w:val="clear" w:color="auto" w:fill="DDDDDD"/>
          </w:tcPr>
          <w:p>
            <w:pPr>
              <w:spacing w:after="0"/>
              <w:rPr>
                <w:sz w:val="22"/>
                <w:szCs w:val="22"/>
                <w:color w:val="auto"/>
              </w:rPr>
            </w:pPr>
          </w:p>
        </w:tc>
        <w:tc>
          <w:tcPr>
            <w:tcW w:w="760" w:type="dxa"/>
            <w:vAlign w:val="bottom"/>
            <w:tcBorders>
              <w:bottom w:val="single" w:sz="8" w:color="DDDDDD"/>
              <w:right w:val="single" w:sz="8" w:color="ACACAC"/>
            </w:tcBorders>
            <w:shd w:val="clear" w:color="auto" w:fill="DDDDDD"/>
          </w:tcPr>
          <w:p>
            <w:pPr>
              <w:jc w:val="center"/>
              <w:spacing w:after="0"/>
              <w:rPr>
                <w:sz w:val="20"/>
                <w:szCs w:val="20"/>
                <w:color w:val="auto"/>
              </w:rPr>
            </w:pPr>
            <w:r>
              <w:rPr>
                <w:rFonts w:ascii="Arial" w:cs="Arial" w:eastAsia="Arial" w:hAnsi="Arial"/>
                <w:sz w:val="18"/>
                <w:szCs w:val="18"/>
                <w:color w:val="525252"/>
                <w:w w:val="99"/>
              </w:rPr>
              <w:t>õ</w:t>
            </w:r>
          </w:p>
        </w:tc>
        <w:tc>
          <w:tcPr>
            <w:tcW w:w="0" w:type="dxa"/>
            <w:vAlign w:val="bottom"/>
          </w:tcPr>
          <w:p>
            <w:pPr>
              <w:spacing w:after="0"/>
              <w:rPr>
                <w:sz w:val="1"/>
                <w:szCs w:val="1"/>
                <w:color w:val="auto"/>
              </w:rPr>
            </w:pPr>
          </w:p>
        </w:tc>
      </w:tr>
      <w:tr>
        <w:trPr>
          <w:trHeight w:val="237"/>
        </w:trPr>
        <w:tc>
          <w:tcPr>
            <w:tcW w:w="2720" w:type="dxa"/>
            <w:vAlign w:val="bottom"/>
            <w:tcBorders>
              <w:top w:val="single" w:sz="8" w:color="ACACAC"/>
              <w:left w:val="single" w:sz="8" w:color="ACACAC"/>
              <w:right w:val="single" w:sz="8" w:color="ACACAC"/>
            </w:tcBorders>
          </w:tcPr>
          <w:p>
            <w:pPr>
              <w:ind w:left="40"/>
              <w:spacing w:after="0"/>
              <w:rPr>
                <w:sz w:val="20"/>
                <w:szCs w:val="20"/>
                <w:color w:val="auto"/>
              </w:rPr>
            </w:pPr>
            <w:r>
              <w:rPr>
                <w:rFonts w:ascii="Arial" w:cs="Arial" w:eastAsia="Arial" w:hAnsi="Arial"/>
                <w:sz w:val="14"/>
                <w:szCs w:val="14"/>
                <w:color w:val="auto"/>
              </w:rPr>
              <w:t>Security and Information Technology</w:t>
            </w:r>
          </w:p>
        </w:tc>
        <w:tc>
          <w:tcPr>
            <w:tcW w:w="780" w:type="dxa"/>
            <w:vAlign w:val="bottom"/>
            <w:tcBorders>
              <w:top w:val="single" w:sz="8" w:color="ACACAC"/>
              <w:right w:val="single" w:sz="8" w:color="ACACAC"/>
            </w:tcBorders>
          </w:tcPr>
          <w:p>
            <w:pPr>
              <w:jc w:val="center"/>
              <w:spacing w:after="0"/>
              <w:rPr>
                <w:sz w:val="20"/>
                <w:szCs w:val="20"/>
                <w:color w:val="auto"/>
              </w:rPr>
            </w:pPr>
            <w:r>
              <w:rPr>
                <w:rFonts w:ascii="Arial" w:cs="Arial" w:eastAsia="Arial" w:hAnsi="Arial"/>
                <w:sz w:val="18"/>
                <w:szCs w:val="18"/>
                <w:color w:val="525252"/>
                <w:w w:val="99"/>
              </w:rPr>
              <w:t>ò</w:t>
            </w:r>
          </w:p>
        </w:tc>
        <w:tc>
          <w:tcPr>
            <w:tcW w:w="900" w:type="dxa"/>
            <w:vAlign w:val="bottom"/>
            <w:tcBorders>
              <w:top w:val="single" w:sz="8" w:color="ACACAC"/>
              <w:right w:val="single" w:sz="8" w:color="ACACAC"/>
            </w:tcBorders>
          </w:tcPr>
          <w:p>
            <w:pPr>
              <w:jc w:val="center"/>
              <w:spacing w:after="0"/>
              <w:rPr>
                <w:sz w:val="20"/>
                <w:szCs w:val="20"/>
                <w:color w:val="auto"/>
              </w:rPr>
            </w:pPr>
            <w:r>
              <w:rPr>
                <w:rFonts w:ascii="Arial" w:cs="Arial" w:eastAsia="Arial" w:hAnsi="Arial"/>
                <w:sz w:val="18"/>
                <w:szCs w:val="18"/>
                <w:color w:val="525252"/>
                <w:w w:val="79"/>
              </w:rPr>
              <w:t>ò</w:t>
            </w:r>
          </w:p>
        </w:tc>
        <w:tc>
          <w:tcPr>
            <w:tcW w:w="780" w:type="dxa"/>
            <w:vAlign w:val="bottom"/>
            <w:tcBorders>
              <w:top w:val="single" w:sz="8" w:color="ACACAC"/>
              <w:right w:val="single" w:sz="8" w:color="ACACAC"/>
            </w:tcBorders>
          </w:tcPr>
          <w:p>
            <w:pPr>
              <w:jc w:val="center"/>
              <w:spacing w:after="0"/>
              <w:rPr>
                <w:sz w:val="20"/>
                <w:szCs w:val="20"/>
                <w:color w:val="auto"/>
              </w:rPr>
            </w:pPr>
            <w:r>
              <w:rPr>
                <w:rFonts w:ascii="Arial" w:cs="Arial" w:eastAsia="Arial" w:hAnsi="Arial"/>
                <w:sz w:val="18"/>
                <w:szCs w:val="18"/>
                <w:color w:val="525252"/>
                <w:w w:val="79"/>
              </w:rPr>
              <w:t>ò</w:t>
            </w:r>
          </w:p>
        </w:tc>
        <w:tc>
          <w:tcPr>
            <w:tcW w:w="800" w:type="dxa"/>
            <w:vAlign w:val="bottom"/>
            <w:tcBorders>
              <w:top w:val="single" w:sz="8" w:color="ACACAC"/>
              <w:right w:val="single" w:sz="8" w:color="ACACAC"/>
            </w:tcBorders>
          </w:tcPr>
          <w:p>
            <w:pPr>
              <w:jc w:val="center"/>
              <w:spacing w:after="0"/>
              <w:rPr>
                <w:sz w:val="20"/>
                <w:szCs w:val="20"/>
                <w:color w:val="auto"/>
              </w:rPr>
            </w:pPr>
            <w:r>
              <w:rPr>
                <w:rFonts w:ascii="Arial" w:cs="Arial" w:eastAsia="Arial" w:hAnsi="Arial"/>
                <w:sz w:val="18"/>
                <w:szCs w:val="18"/>
                <w:color w:val="525252"/>
                <w:w w:val="99"/>
              </w:rPr>
              <w:t>õ</w:t>
            </w:r>
          </w:p>
        </w:tc>
        <w:tc>
          <w:tcPr>
            <w:tcW w:w="660" w:type="dxa"/>
            <w:vAlign w:val="bottom"/>
            <w:tcBorders>
              <w:top w:val="single" w:sz="8" w:color="ACACAC"/>
              <w:right w:val="single" w:sz="8" w:color="ACACAC"/>
            </w:tcBorders>
          </w:tcPr>
          <w:p>
            <w:pPr>
              <w:jc w:val="center"/>
              <w:spacing w:after="0"/>
              <w:rPr>
                <w:sz w:val="20"/>
                <w:szCs w:val="20"/>
                <w:color w:val="auto"/>
              </w:rPr>
            </w:pPr>
            <w:r>
              <w:rPr>
                <w:rFonts w:ascii="Arial" w:cs="Arial" w:eastAsia="Arial" w:hAnsi="Arial"/>
                <w:sz w:val="18"/>
                <w:szCs w:val="18"/>
                <w:color w:val="525252"/>
                <w:w w:val="99"/>
              </w:rPr>
              <w:t>ò</w:t>
            </w:r>
          </w:p>
        </w:tc>
        <w:tc>
          <w:tcPr>
            <w:tcW w:w="660" w:type="dxa"/>
            <w:vAlign w:val="bottom"/>
            <w:tcBorders>
              <w:top w:val="single" w:sz="8" w:color="ACACAC"/>
              <w:right w:val="single" w:sz="8" w:color="ACACAC"/>
            </w:tcBorders>
          </w:tcPr>
          <w:p>
            <w:pPr>
              <w:jc w:val="center"/>
              <w:spacing w:after="0"/>
              <w:rPr>
                <w:sz w:val="20"/>
                <w:szCs w:val="20"/>
                <w:color w:val="auto"/>
              </w:rPr>
            </w:pPr>
            <w:r>
              <w:rPr>
                <w:rFonts w:ascii="Arial" w:cs="Arial" w:eastAsia="Arial" w:hAnsi="Arial"/>
                <w:sz w:val="18"/>
                <w:szCs w:val="18"/>
                <w:color w:val="525252"/>
                <w:w w:val="79"/>
              </w:rPr>
              <w:t>õ</w:t>
            </w:r>
          </w:p>
        </w:tc>
        <w:tc>
          <w:tcPr>
            <w:tcW w:w="900" w:type="dxa"/>
            <w:vAlign w:val="bottom"/>
            <w:tcBorders>
              <w:top w:val="single" w:sz="8" w:color="ACACAC"/>
              <w:right w:val="single" w:sz="8" w:color="ACACAC"/>
            </w:tcBorders>
          </w:tcPr>
          <w:p>
            <w:pPr>
              <w:spacing w:after="0"/>
              <w:rPr>
                <w:sz w:val="20"/>
                <w:szCs w:val="20"/>
                <w:color w:val="auto"/>
              </w:rPr>
            </w:pPr>
          </w:p>
        </w:tc>
        <w:tc>
          <w:tcPr>
            <w:tcW w:w="760" w:type="dxa"/>
            <w:vAlign w:val="bottom"/>
            <w:tcBorders>
              <w:top w:val="single" w:sz="8" w:color="ACACAC"/>
              <w:right w:val="single" w:sz="8" w:color="ACACAC"/>
            </w:tcBorders>
          </w:tcPr>
          <w:p>
            <w:pPr>
              <w:jc w:val="center"/>
              <w:spacing w:after="0"/>
              <w:rPr>
                <w:sz w:val="20"/>
                <w:szCs w:val="20"/>
                <w:color w:val="auto"/>
              </w:rPr>
            </w:pPr>
            <w:r>
              <w:rPr>
                <w:rFonts w:ascii="Arial" w:cs="Arial" w:eastAsia="Arial" w:hAnsi="Arial"/>
                <w:sz w:val="18"/>
                <w:szCs w:val="18"/>
                <w:color w:val="525252"/>
                <w:w w:val="99"/>
              </w:rPr>
              <w:t>õ</w:t>
            </w:r>
          </w:p>
        </w:tc>
        <w:tc>
          <w:tcPr>
            <w:tcW w:w="780" w:type="dxa"/>
            <w:vAlign w:val="bottom"/>
            <w:tcBorders>
              <w:top w:val="single" w:sz="8" w:color="ACACAC"/>
              <w:right w:val="single" w:sz="8" w:color="ACACAC"/>
            </w:tcBorders>
          </w:tcPr>
          <w:p>
            <w:pPr>
              <w:jc w:val="center"/>
              <w:spacing w:after="0"/>
              <w:rPr>
                <w:sz w:val="20"/>
                <w:szCs w:val="20"/>
                <w:color w:val="auto"/>
              </w:rPr>
            </w:pPr>
            <w:r>
              <w:rPr>
                <w:rFonts w:ascii="Arial" w:cs="Arial" w:eastAsia="Arial" w:hAnsi="Arial"/>
                <w:sz w:val="18"/>
                <w:szCs w:val="18"/>
                <w:color w:val="525252"/>
                <w:w w:val="79"/>
              </w:rPr>
              <w:t>õ</w:t>
            </w:r>
          </w:p>
        </w:tc>
        <w:tc>
          <w:tcPr>
            <w:tcW w:w="660" w:type="dxa"/>
            <w:vAlign w:val="bottom"/>
            <w:tcBorders>
              <w:top w:val="single" w:sz="8" w:color="ACACAC"/>
              <w:right w:val="single" w:sz="8" w:color="ACACAC"/>
            </w:tcBorders>
          </w:tcPr>
          <w:p>
            <w:pPr>
              <w:jc w:val="center"/>
              <w:spacing w:after="0"/>
              <w:rPr>
                <w:sz w:val="20"/>
                <w:szCs w:val="20"/>
                <w:color w:val="auto"/>
              </w:rPr>
            </w:pPr>
            <w:r>
              <w:rPr>
                <w:rFonts w:ascii="Arial" w:cs="Arial" w:eastAsia="Arial" w:hAnsi="Arial"/>
                <w:sz w:val="18"/>
                <w:szCs w:val="18"/>
                <w:color w:val="525252"/>
                <w:w w:val="79"/>
              </w:rPr>
              <w:t>õ</w:t>
            </w:r>
          </w:p>
        </w:tc>
        <w:tc>
          <w:tcPr>
            <w:tcW w:w="760" w:type="dxa"/>
            <w:vAlign w:val="bottom"/>
            <w:tcBorders>
              <w:top w:val="single" w:sz="8" w:color="ACACAC"/>
              <w:right w:val="single" w:sz="8" w:color="ACACAC"/>
            </w:tcBorders>
          </w:tcPr>
          <w:p>
            <w:pPr>
              <w:jc w:val="center"/>
              <w:spacing w:after="0"/>
              <w:rPr>
                <w:sz w:val="20"/>
                <w:szCs w:val="20"/>
                <w:color w:val="auto"/>
              </w:rPr>
            </w:pPr>
            <w:r>
              <w:rPr>
                <w:rFonts w:ascii="Arial" w:cs="Arial" w:eastAsia="Arial" w:hAnsi="Arial"/>
                <w:sz w:val="18"/>
                <w:szCs w:val="18"/>
                <w:color w:val="525252"/>
                <w:w w:val="99"/>
              </w:rPr>
              <w:t>õ</w:t>
            </w:r>
          </w:p>
        </w:tc>
        <w:tc>
          <w:tcPr>
            <w:tcW w:w="0" w:type="dxa"/>
            <w:vAlign w:val="bottom"/>
          </w:tcPr>
          <w:p>
            <w:pPr>
              <w:spacing w:after="0"/>
              <w:rPr>
                <w:sz w:val="1"/>
                <w:szCs w:val="1"/>
                <w:color w:val="auto"/>
              </w:rPr>
            </w:pPr>
          </w:p>
        </w:tc>
      </w:tr>
      <w:tr>
        <w:trPr>
          <w:trHeight w:val="27"/>
        </w:trPr>
        <w:tc>
          <w:tcPr>
            <w:tcW w:w="2720" w:type="dxa"/>
            <w:vAlign w:val="bottom"/>
            <w:tcBorders>
              <w:left w:val="single" w:sz="8" w:color="ACACAC"/>
              <w:bottom w:val="single" w:sz="8" w:color="ACACAC"/>
              <w:right w:val="single" w:sz="8" w:color="ACACAC"/>
            </w:tcBorders>
          </w:tcPr>
          <w:p>
            <w:pPr>
              <w:spacing w:after="0"/>
              <w:rPr>
                <w:sz w:val="2"/>
                <w:szCs w:val="2"/>
                <w:color w:val="auto"/>
              </w:rPr>
            </w:pPr>
          </w:p>
        </w:tc>
        <w:tc>
          <w:tcPr>
            <w:tcW w:w="780" w:type="dxa"/>
            <w:vAlign w:val="bottom"/>
            <w:tcBorders>
              <w:bottom w:val="single" w:sz="8" w:color="ACACAC"/>
              <w:right w:val="single" w:sz="8" w:color="ACACAC"/>
            </w:tcBorders>
          </w:tcPr>
          <w:p>
            <w:pPr>
              <w:spacing w:after="0"/>
              <w:rPr>
                <w:sz w:val="2"/>
                <w:szCs w:val="2"/>
                <w:color w:val="auto"/>
              </w:rPr>
            </w:pPr>
          </w:p>
        </w:tc>
        <w:tc>
          <w:tcPr>
            <w:tcW w:w="900" w:type="dxa"/>
            <w:vAlign w:val="bottom"/>
            <w:tcBorders>
              <w:bottom w:val="single" w:sz="8" w:color="ACACAC"/>
              <w:right w:val="single" w:sz="8" w:color="ACACAC"/>
            </w:tcBorders>
          </w:tcPr>
          <w:p>
            <w:pPr>
              <w:spacing w:after="0"/>
              <w:rPr>
                <w:sz w:val="2"/>
                <w:szCs w:val="2"/>
                <w:color w:val="auto"/>
              </w:rPr>
            </w:pPr>
          </w:p>
        </w:tc>
        <w:tc>
          <w:tcPr>
            <w:tcW w:w="780" w:type="dxa"/>
            <w:vAlign w:val="bottom"/>
            <w:tcBorders>
              <w:bottom w:val="single" w:sz="8" w:color="ACACAC"/>
              <w:right w:val="single" w:sz="8" w:color="ACACAC"/>
            </w:tcBorders>
          </w:tcPr>
          <w:p>
            <w:pPr>
              <w:spacing w:after="0"/>
              <w:rPr>
                <w:sz w:val="2"/>
                <w:szCs w:val="2"/>
                <w:color w:val="auto"/>
              </w:rPr>
            </w:pPr>
          </w:p>
        </w:tc>
        <w:tc>
          <w:tcPr>
            <w:tcW w:w="800" w:type="dxa"/>
            <w:vAlign w:val="bottom"/>
            <w:tcBorders>
              <w:bottom w:val="single" w:sz="8" w:color="ACACAC"/>
              <w:right w:val="single" w:sz="8" w:color="ACACAC"/>
            </w:tcBorders>
          </w:tcPr>
          <w:p>
            <w:pPr>
              <w:spacing w:after="0"/>
              <w:rPr>
                <w:sz w:val="2"/>
                <w:szCs w:val="2"/>
                <w:color w:val="auto"/>
              </w:rPr>
            </w:pPr>
          </w:p>
        </w:tc>
        <w:tc>
          <w:tcPr>
            <w:tcW w:w="660" w:type="dxa"/>
            <w:vAlign w:val="bottom"/>
            <w:tcBorders>
              <w:bottom w:val="single" w:sz="8" w:color="ACACAC"/>
              <w:right w:val="single" w:sz="8" w:color="ACACAC"/>
            </w:tcBorders>
          </w:tcPr>
          <w:p>
            <w:pPr>
              <w:spacing w:after="0"/>
              <w:rPr>
                <w:sz w:val="2"/>
                <w:szCs w:val="2"/>
                <w:color w:val="auto"/>
              </w:rPr>
            </w:pPr>
          </w:p>
        </w:tc>
        <w:tc>
          <w:tcPr>
            <w:tcW w:w="660" w:type="dxa"/>
            <w:vAlign w:val="bottom"/>
            <w:tcBorders>
              <w:bottom w:val="single" w:sz="8" w:color="ACACAC"/>
              <w:right w:val="single" w:sz="8" w:color="ACACAC"/>
            </w:tcBorders>
          </w:tcPr>
          <w:p>
            <w:pPr>
              <w:spacing w:after="0"/>
              <w:rPr>
                <w:sz w:val="2"/>
                <w:szCs w:val="2"/>
                <w:color w:val="auto"/>
              </w:rPr>
            </w:pPr>
          </w:p>
        </w:tc>
        <w:tc>
          <w:tcPr>
            <w:tcW w:w="900" w:type="dxa"/>
            <w:vAlign w:val="bottom"/>
            <w:tcBorders>
              <w:bottom w:val="single" w:sz="8" w:color="ACACAC"/>
              <w:right w:val="single" w:sz="8" w:color="ACACAC"/>
            </w:tcBorders>
          </w:tcPr>
          <w:p>
            <w:pPr>
              <w:spacing w:after="0"/>
              <w:rPr>
                <w:sz w:val="2"/>
                <w:szCs w:val="2"/>
                <w:color w:val="auto"/>
              </w:rPr>
            </w:pPr>
          </w:p>
        </w:tc>
        <w:tc>
          <w:tcPr>
            <w:tcW w:w="760" w:type="dxa"/>
            <w:vAlign w:val="bottom"/>
            <w:tcBorders>
              <w:bottom w:val="single" w:sz="8" w:color="ACACAC"/>
              <w:right w:val="single" w:sz="8" w:color="ACACAC"/>
            </w:tcBorders>
          </w:tcPr>
          <w:p>
            <w:pPr>
              <w:spacing w:after="0"/>
              <w:rPr>
                <w:sz w:val="2"/>
                <w:szCs w:val="2"/>
                <w:color w:val="auto"/>
              </w:rPr>
            </w:pPr>
          </w:p>
        </w:tc>
        <w:tc>
          <w:tcPr>
            <w:tcW w:w="780" w:type="dxa"/>
            <w:vAlign w:val="bottom"/>
            <w:tcBorders>
              <w:bottom w:val="single" w:sz="8" w:color="ACACAC"/>
              <w:right w:val="single" w:sz="8" w:color="ACACAC"/>
            </w:tcBorders>
          </w:tcPr>
          <w:p>
            <w:pPr>
              <w:spacing w:after="0"/>
              <w:rPr>
                <w:sz w:val="2"/>
                <w:szCs w:val="2"/>
                <w:color w:val="auto"/>
              </w:rPr>
            </w:pPr>
          </w:p>
        </w:tc>
        <w:tc>
          <w:tcPr>
            <w:tcW w:w="660" w:type="dxa"/>
            <w:vAlign w:val="bottom"/>
            <w:tcBorders>
              <w:bottom w:val="single" w:sz="8" w:color="ACACAC"/>
              <w:right w:val="single" w:sz="8" w:color="ACACAC"/>
            </w:tcBorders>
          </w:tcPr>
          <w:p>
            <w:pPr>
              <w:spacing w:after="0"/>
              <w:rPr>
                <w:sz w:val="2"/>
                <w:szCs w:val="2"/>
                <w:color w:val="auto"/>
              </w:rPr>
            </w:pPr>
          </w:p>
        </w:tc>
        <w:tc>
          <w:tcPr>
            <w:tcW w:w="760" w:type="dxa"/>
            <w:vAlign w:val="bottom"/>
            <w:tcBorders>
              <w:bottom w:val="single" w:sz="8" w:color="ACACAC"/>
              <w:right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720" w:type="dxa"/>
            <w:vAlign w:val="bottom"/>
            <w:tcBorders>
              <w:left w:val="single" w:sz="8" w:color="ACACAC"/>
              <w:bottom w:val="single" w:sz="8" w:color="DDDDDD"/>
              <w:right w:val="single" w:sz="8" w:color="ACACAC"/>
            </w:tcBorders>
            <w:shd w:val="clear" w:color="auto" w:fill="DDDDDD"/>
          </w:tcPr>
          <w:p>
            <w:pPr>
              <w:ind w:left="40"/>
              <w:spacing w:after="0"/>
              <w:rPr>
                <w:sz w:val="20"/>
                <w:szCs w:val="20"/>
                <w:color w:val="auto"/>
              </w:rPr>
            </w:pPr>
            <w:r>
              <w:rPr>
                <w:rFonts w:ascii="Arial" w:cs="Arial" w:eastAsia="Arial" w:hAnsi="Arial"/>
                <w:sz w:val="14"/>
                <w:szCs w:val="14"/>
                <w:color w:val="auto"/>
              </w:rPr>
              <w:t>Governance / Business Conduct</w:t>
            </w:r>
          </w:p>
        </w:tc>
        <w:tc>
          <w:tcPr>
            <w:tcW w:w="780" w:type="dxa"/>
            <w:vAlign w:val="bottom"/>
            <w:tcBorders>
              <w:bottom w:val="single" w:sz="8" w:color="DDDDDD"/>
              <w:right w:val="single" w:sz="8" w:color="ACACAC"/>
            </w:tcBorders>
            <w:shd w:val="clear" w:color="auto" w:fill="DDDDDD"/>
          </w:tcPr>
          <w:p>
            <w:pPr>
              <w:jc w:val="center"/>
              <w:spacing w:after="0"/>
              <w:rPr>
                <w:sz w:val="20"/>
                <w:szCs w:val="20"/>
                <w:color w:val="auto"/>
              </w:rPr>
            </w:pPr>
            <w:r>
              <w:rPr>
                <w:rFonts w:ascii="Arial" w:cs="Arial" w:eastAsia="Arial" w:hAnsi="Arial"/>
                <w:sz w:val="18"/>
                <w:szCs w:val="18"/>
                <w:color w:val="525252"/>
                <w:w w:val="99"/>
              </w:rPr>
              <w:t>õ</w:t>
            </w:r>
          </w:p>
        </w:tc>
        <w:tc>
          <w:tcPr>
            <w:tcW w:w="900" w:type="dxa"/>
            <w:vAlign w:val="bottom"/>
            <w:tcBorders>
              <w:bottom w:val="single" w:sz="8" w:color="DDDDDD"/>
              <w:right w:val="single" w:sz="8" w:color="ACACAC"/>
            </w:tcBorders>
            <w:shd w:val="clear" w:color="auto" w:fill="DDDDDD"/>
          </w:tcPr>
          <w:p>
            <w:pPr>
              <w:jc w:val="center"/>
              <w:spacing w:after="0"/>
              <w:rPr>
                <w:sz w:val="20"/>
                <w:szCs w:val="20"/>
                <w:color w:val="auto"/>
              </w:rPr>
            </w:pPr>
            <w:r>
              <w:rPr>
                <w:rFonts w:ascii="Arial" w:cs="Arial" w:eastAsia="Arial" w:hAnsi="Arial"/>
                <w:sz w:val="18"/>
                <w:szCs w:val="18"/>
                <w:color w:val="525252"/>
                <w:w w:val="79"/>
              </w:rPr>
              <w:t>õ</w:t>
            </w:r>
          </w:p>
        </w:tc>
        <w:tc>
          <w:tcPr>
            <w:tcW w:w="780" w:type="dxa"/>
            <w:vAlign w:val="bottom"/>
            <w:tcBorders>
              <w:bottom w:val="single" w:sz="8" w:color="DDDDDD"/>
              <w:right w:val="single" w:sz="8" w:color="ACACAC"/>
            </w:tcBorders>
            <w:shd w:val="clear" w:color="auto" w:fill="DDDDDD"/>
          </w:tcPr>
          <w:p>
            <w:pPr>
              <w:jc w:val="center"/>
              <w:spacing w:after="0"/>
              <w:rPr>
                <w:sz w:val="20"/>
                <w:szCs w:val="20"/>
                <w:color w:val="auto"/>
              </w:rPr>
            </w:pPr>
            <w:r>
              <w:rPr>
                <w:rFonts w:ascii="Arial" w:cs="Arial" w:eastAsia="Arial" w:hAnsi="Arial"/>
                <w:sz w:val="18"/>
                <w:szCs w:val="18"/>
                <w:color w:val="525252"/>
                <w:w w:val="79"/>
              </w:rPr>
              <w:t>ò</w:t>
            </w:r>
          </w:p>
        </w:tc>
        <w:tc>
          <w:tcPr>
            <w:tcW w:w="800" w:type="dxa"/>
            <w:vAlign w:val="bottom"/>
            <w:tcBorders>
              <w:bottom w:val="single" w:sz="8" w:color="DDDDDD"/>
              <w:right w:val="single" w:sz="8" w:color="ACACAC"/>
            </w:tcBorders>
            <w:shd w:val="clear" w:color="auto" w:fill="DDDDDD"/>
          </w:tcPr>
          <w:p>
            <w:pPr>
              <w:jc w:val="center"/>
              <w:spacing w:after="0"/>
              <w:rPr>
                <w:sz w:val="20"/>
                <w:szCs w:val="20"/>
                <w:color w:val="auto"/>
              </w:rPr>
            </w:pPr>
            <w:r>
              <w:rPr>
                <w:rFonts w:ascii="Arial" w:cs="Arial" w:eastAsia="Arial" w:hAnsi="Arial"/>
                <w:sz w:val="18"/>
                <w:szCs w:val="18"/>
                <w:color w:val="525252"/>
                <w:w w:val="99"/>
              </w:rPr>
              <w:t>ò</w:t>
            </w:r>
          </w:p>
        </w:tc>
        <w:tc>
          <w:tcPr>
            <w:tcW w:w="660" w:type="dxa"/>
            <w:vAlign w:val="bottom"/>
            <w:tcBorders>
              <w:bottom w:val="single" w:sz="8" w:color="DDDDDD"/>
              <w:right w:val="single" w:sz="8" w:color="ACACAC"/>
            </w:tcBorders>
            <w:shd w:val="clear" w:color="auto" w:fill="DDDDDD"/>
          </w:tcPr>
          <w:p>
            <w:pPr>
              <w:jc w:val="center"/>
              <w:spacing w:after="0"/>
              <w:rPr>
                <w:sz w:val="20"/>
                <w:szCs w:val="20"/>
                <w:color w:val="auto"/>
              </w:rPr>
            </w:pPr>
            <w:r>
              <w:rPr>
                <w:rFonts w:ascii="Arial" w:cs="Arial" w:eastAsia="Arial" w:hAnsi="Arial"/>
                <w:sz w:val="18"/>
                <w:szCs w:val="18"/>
                <w:color w:val="525252"/>
                <w:w w:val="99"/>
              </w:rPr>
              <w:t>ò</w:t>
            </w:r>
          </w:p>
        </w:tc>
        <w:tc>
          <w:tcPr>
            <w:tcW w:w="660" w:type="dxa"/>
            <w:vAlign w:val="bottom"/>
            <w:tcBorders>
              <w:bottom w:val="single" w:sz="8" w:color="DDDDDD"/>
              <w:right w:val="single" w:sz="8" w:color="ACACAC"/>
            </w:tcBorders>
            <w:shd w:val="clear" w:color="auto" w:fill="DDDDDD"/>
          </w:tcPr>
          <w:p>
            <w:pPr>
              <w:jc w:val="center"/>
              <w:spacing w:after="0"/>
              <w:rPr>
                <w:sz w:val="20"/>
                <w:szCs w:val="20"/>
                <w:color w:val="auto"/>
              </w:rPr>
            </w:pPr>
            <w:r>
              <w:rPr>
                <w:rFonts w:ascii="Arial" w:cs="Arial" w:eastAsia="Arial" w:hAnsi="Arial"/>
                <w:sz w:val="18"/>
                <w:szCs w:val="18"/>
                <w:color w:val="525252"/>
                <w:w w:val="79"/>
              </w:rPr>
              <w:t>ò</w:t>
            </w:r>
          </w:p>
        </w:tc>
        <w:tc>
          <w:tcPr>
            <w:tcW w:w="900" w:type="dxa"/>
            <w:vAlign w:val="bottom"/>
            <w:tcBorders>
              <w:bottom w:val="single" w:sz="8" w:color="DDDDDD"/>
              <w:right w:val="single" w:sz="8" w:color="ACACAC"/>
            </w:tcBorders>
            <w:shd w:val="clear" w:color="auto" w:fill="DDDDDD"/>
          </w:tcPr>
          <w:p>
            <w:pPr>
              <w:jc w:val="center"/>
              <w:spacing w:after="0"/>
              <w:rPr>
                <w:sz w:val="20"/>
                <w:szCs w:val="20"/>
                <w:color w:val="auto"/>
              </w:rPr>
            </w:pPr>
            <w:r>
              <w:rPr>
                <w:rFonts w:ascii="Arial" w:cs="Arial" w:eastAsia="Arial" w:hAnsi="Arial"/>
                <w:sz w:val="18"/>
                <w:szCs w:val="18"/>
                <w:color w:val="525252"/>
                <w:w w:val="79"/>
              </w:rPr>
              <w:t>ò</w:t>
            </w:r>
          </w:p>
        </w:tc>
        <w:tc>
          <w:tcPr>
            <w:tcW w:w="760" w:type="dxa"/>
            <w:vAlign w:val="bottom"/>
            <w:tcBorders>
              <w:bottom w:val="single" w:sz="8" w:color="DDDDDD"/>
              <w:right w:val="single" w:sz="8" w:color="ACACAC"/>
            </w:tcBorders>
            <w:shd w:val="clear" w:color="auto" w:fill="DDDDDD"/>
          </w:tcPr>
          <w:p>
            <w:pPr>
              <w:jc w:val="center"/>
              <w:spacing w:after="0"/>
              <w:rPr>
                <w:sz w:val="20"/>
                <w:szCs w:val="20"/>
                <w:color w:val="auto"/>
              </w:rPr>
            </w:pPr>
            <w:r>
              <w:rPr>
                <w:rFonts w:ascii="Arial" w:cs="Arial" w:eastAsia="Arial" w:hAnsi="Arial"/>
                <w:sz w:val="18"/>
                <w:szCs w:val="18"/>
                <w:color w:val="525252"/>
                <w:w w:val="99"/>
              </w:rPr>
              <w:t>ò</w:t>
            </w:r>
          </w:p>
        </w:tc>
        <w:tc>
          <w:tcPr>
            <w:tcW w:w="780" w:type="dxa"/>
            <w:vAlign w:val="bottom"/>
            <w:tcBorders>
              <w:bottom w:val="single" w:sz="8" w:color="DDDDDD"/>
              <w:right w:val="single" w:sz="8" w:color="ACACAC"/>
            </w:tcBorders>
            <w:shd w:val="clear" w:color="auto" w:fill="DDDDDD"/>
          </w:tcPr>
          <w:p>
            <w:pPr>
              <w:jc w:val="center"/>
              <w:spacing w:after="0"/>
              <w:rPr>
                <w:sz w:val="20"/>
                <w:szCs w:val="20"/>
                <w:color w:val="auto"/>
              </w:rPr>
            </w:pPr>
            <w:r>
              <w:rPr>
                <w:rFonts w:ascii="Arial" w:cs="Arial" w:eastAsia="Arial" w:hAnsi="Arial"/>
                <w:sz w:val="18"/>
                <w:szCs w:val="18"/>
                <w:color w:val="525252"/>
                <w:w w:val="79"/>
              </w:rPr>
              <w:t>ò</w:t>
            </w:r>
          </w:p>
        </w:tc>
        <w:tc>
          <w:tcPr>
            <w:tcW w:w="660" w:type="dxa"/>
            <w:vAlign w:val="bottom"/>
            <w:tcBorders>
              <w:bottom w:val="single" w:sz="8" w:color="DDDDDD"/>
              <w:right w:val="single" w:sz="8" w:color="ACACAC"/>
            </w:tcBorders>
            <w:shd w:val="clear" w:color="auto" w:fill="DDDDDD"/>
          </w:tcPr>
          <w:p>
            <w:pPr>
              <w:jc w:val="center"/>
              <w:spacing w:after="0"/>
              <w:rPr>
                <w:sz w:val="20"/>
                <w:szCs w:val="20"/>
                <w:color w:val="auto"/>
              </w:rPr>
            </w:pPr>
            <w:r>
              <w:rPr>
                <w:rFonts w:ascii="Arial" w:cs="Arial" w:eastAsia="Arial" w:hAnsi="Arial"/>
                <w:sz w:val="18"/>
                <w:szCs w:val="18"/>
                <w:color w:val="525252"/>
                <w:w w:val="79"/>
              </w:rPr>
              <w:t>õ</w:t>
            </w:r>
          </w:p>
        </w:tc>
        <w:tc>
          <w:tcPr>
            <w:tcW w:w="760" w:type="dxa"/>
            <w:vAlign w:val="bottom"/>
            <w:tcBorders>
              <w:bottom w:val="single" w:sz="8" w:color="DDDDDD"/>
              <w:right w:val="single" w:sz="8" w:color="ACACAC"/>
            </w:tcBorders>
            <w:shd w:val="clear" w:color="auto" w:fill="DDDDDD"/>
          </w:tcPr>
          <w:p>
            <w:pPr>
              <w:jc w:val="center"/>
              <w:spacing w:after="0"/>
              <w:rPr>
                <w:sz w:val="20"/>
                <w:szCs w:val="20"/>
                <w:color w:val="auto"/>
              </w:rPr>
            </w:pPr>
            <w:r>
              <w:rPr>
                <w:rFonts w:ascii="Arial" w:cs="Arial" w:eastAsia="Arial" w:hAnsi="Arial"/>
                <w:sz w:val="18"/>
                <w:szCs w:val="18"/>
                <w:color w:val="525252"/>
                <w:w w:val="99"/>
              </w:rPr>
              <w:t>õ</w:t>
            </w:r>
          </w:p>
        </w:tc>
        <w:tc>
          <w:tcPr>
            <w:tcW w:w="0" w:type="dxa"/>
            <w:vAlign w:val="bottom"/>
          </w:tcPr>
          <w:p>
            <w:pPr>
              <w:spacing w:after="0"/>
              <w:rPr>
                <w:sz w:val="1"/>
                <w:szCs w:val="1"/>
                <w:color w:val="auto"/>
              </w:rPr>
            </w:pPr>
          </w:p>
        </w:tc>
      </w:tr>
      <w:tr>
        <w:trPr>
          <w:trHeight w:val="237"/>
        </w:trPr>
        <w:tc>
          <w:tcPr>
            <w:tcW w:w="2720" w:type="dxa"/>
            <w:vAlign w:val="bottom"/>
            <w:tcBorders>
              <w:top w:val="single" w:sz="8" w:color="ACACAC"/>
              <w:left w:val="single" w:sz="8" w:color="ACACAC"/>
              <w:right w:val="single" w:sz="8" w:color="ACACAC"/>
            </w:tcBorders>
          </w:tcPr>
          <w:p>
            <w:pPr>
              <w:ind w:left="40"/>
              <w:spacing w:after="0"/>
              <w:rPr>
                <w:sz w:val="20"/>
                <w:szCs w:val="20"/>
                <w:color w:val="auto"/>
              </w:rPr>
            </w:pPr>
            <w:r>
              <w:rPr>
                <w:rFonts w:ascii="Arial" w:cs="Arial" w:eastAsia="Arial" w:hAnsi="Arial"/>
                <w:sz w:val="14"/>
                <w:szCs w:val="14"/>
                <w:color w:val="auto"/>
              </w:rPr>
              <w:t>International</w:t>
            </w:r>
          </w:p>
        </w:tc>
        <w:tc>
          <w:tcPr>
            <w:tcW w:w="780" w:type="dxa"/>
            <w:vAlign w:val="bottom"/>
            <w:tcBorders>
              <w:top w:val="single" w:sz="8" w:color="ACACAC"/>
              <w:right w:val="single" w:sz="8" w:color="ACACAC"/>
            </w:tcBorders>
          </w:tcPr>
          <w:p>
            <w:pPr>
              <w:jc w:val="center"/>
              <w:spacing w:after="0"/>
              <w:rPr>
                <w:sz w:val="20"/>
                <w:szCs w:val="20"/>
                <w:color w:val="auto"/>
              </w:rPr>
            </w:pPr>
            <w:r>
              <w:rPr>
                <w:rFonts w:ascii="Arial" w:cs="Arial" w:eastAsia="Arial" w:hAnsi="Arial"/>
                <w:sz w:val="18"/>
                <w:szCs w:val="18"/>
                <w:color w:val="525252"/>
                <w:w w:val="99"/>
              </w:rPr>
              <w:t>ò</w:t>
            </w:r>
          </w:p>
        </w:tc>
        <w:tc>
          <w:tcPr>
            <w:tcW w:w="900" w:type="dxa"/>
            <w:vAlign w:val="bottom"/>
            <w:tcBorders>
              <w:top w:val="single" w:sz="8" w:color="ACACAC"/>
              <w:right w:val="single" w:sz="8" w:color="ACACAC"/>
            </w:tcBorders>
          </w:tcPr>
          <w:p>
            <w:pPr>
              <w:jc w:val="center"/>
              <w:spacing w:after="0"/>
              <w:rPr>
                <w:sz w:val="20"/>
                <w:szCs w:val="20"/>
                <w:color w:val="auto"/>
              </w:rPr>
            </w:pPr>
            <w:r>
              <w:rPr>
                <w:rFonts w:ascii="Arial" w:cs="Arial" w:eastAsia="Arial" w:hAnsi="Arial"/>
                <w:sz w:val="18"/>
                <w:szCs w:val="18"/>
                <w:color w:val="525252"/>
                <w:w w:val="79"/>
              </w:rPr>
              <w:t>ò</w:t>
            </w:r>
          </w:p>
        </w:tc>
        <w:tc>
          <w:tcPr>
            <w:tcW w:w="780" w:type="dxa"/>
            <w:vAlign w:val="bottom"/>
            <w:tcBorders>
              <w:top w:val="single" w:sz="8" w:color="ACACAC"/>
              <w:right w:val="single" w:sz="8" w:color="ACACAC"/>
            </w:tcBorders>
          </w:tcPr>
          <w:p>
            <w:pPr>
              <w:jc w:val="center"/>
              <w:spacing w:after="0"/>
              <w:rPr>
                <w:sz w:val="20"/>
                <w:szCs w:val="20"/>
                <w:color w:val="auto"/>
              </w:rPr>
            </w:pPr>
            <w:r>
              <w:rPr>
                <w:rFonts w:ascii="Arial" w:cs="Arial" w:eastAsia="Arial" w:hAnsi="Arial"/>
                <w:sz w:val="18"/>
                <w:szCs w:val="18"/>
                <w:color w:val="525252"/>
                <w:w w:val="79"/>
              </w:rPr>
              <w:t>õ</w:t>
            </w:r>
          </w:p>
        </w:tc>
        <w:tc>
          <w:tcPr>
            <w:tcW w:w="800" w:type="dxa"/>
            <w:vAlign w:val="bottom"/>
            <w:tcBorders>
              <w:top w:val="single" w:sz="8" w:color="ACACAC"/>
              <w:right w:val="single" w:sz="8" w:color="ACACAC"/>
            </w:tcBorders>
          </w:tcPr>
          <w:p>
            <w:pPr>
              <w:jc w:val="center"/>
              <w:spacing w:after="0"/>
              <w:rPr>
                <w:sz w:val="20"/>
                <w:szCs w:val="20"/>
                <w:color w:val="auto"/>
              </w:rPr>
            </w:pPr>
            <w:r>
              <w:rPr>
                <w:rFonts w:ascii="Arial" w:cs="Arial" w:eastAsia="Arial" w:hAnsi="Arial"/>
                <w:sz w:val="18"/>
                <w:szCs w:val="18"/>
                <w:color w:val="525252"/>
                <w:w w:val="99"/>
              </w:rPr>
              <w:t>ò</w:t>
            </w:r>
          </w:p>
        </w:tc>
        <w:tc>
          <w:tcPr>
            <w:tcW w:w="660" w:type="dxa"/>
            <w:vAlign w:val="bottom"/>
            <w:tcBorders>
              <w:top w:val="single" w:sz="8" w:color="ACACAC"/>
              <w:right w:val="single" w:sz="8" w:color="ACACAC"/>
            </w:tcBorders>
          </w:tcPr>
          <w:p>
            <w:pPr>
              <w:jc w:val="center"/>
              <w:spacing w:after="0"/>
              <w:rPr>
                <w:sz w:val="20"/>
                <w:szCs w:val="20"/>
                <w:color w:val="auto"/>
              </w:rPr>
            </w:pPr>
            <w:r>
              <w:rPr>
                <w:rFonts w:ascii="Arial" w:cs="Arial" w:eastAsia="Arial" w:hAnsi="Arial"/>
                <w:sz w:val="18"/>
                <w:szCs w:val="18"/>
                <w:color w:val="525252"/>
                <w:w w:val="99"/>
              </w:rPr>
              <w:t>ò</w:t>
            </w:r>
          </w:p>
        </w:tc>
        <w:tc>
          <w:tcPr>
            <w:tcW w:w="660" w:type="dxa"/>
            <w:vAlign w:val="bottom"/>
            <w:tcBorders>
              <w:top w:val="single" w:sz="8" w:color="ACACAC"/>
              <w:right w:val="single" w:sz="8" w:color="ACACAC"/>
            </w:tcBorders>
          </w:tcPr>
          <w:p>
            <w:pPr>
              <w:jc w:val="center"/>
              <w:spacing w:after="0"/>
              <w:rPr>
                <w:sz w:val="20"/>
                <w:szCs w:val="20"/>
                <w:color w:val="auto"/>
              </w:rPr>
            </w:pPr>
            <w:r>
              <w:rPr>
                <w:rFonts w:ascii="Arial" w:cs="Arial" w:eastAsia="Arial" w:hAnsi="Arial"/>
                <w:sz w:val="18"/>
                <w:szCs w:val="18"/>
                <w:color w:val="525252"/>
                <w:w w:val="79"/>
              </w:rPr>
              <w:t>ò</w:t>
            </w:r>
          </w:p>
        </w:tc>
        <w:tc>
          <w:tcPr>
            <w:tcW w:w="900" w:type="dxa"/>
            <w:vAlign w:val="bottom"/>
            <w:tcBorders>
              <w:top w:val="single" w:sz="8" w:color="ACACAC"/>
              <w:right w:val="single" w:sz="8" w:color="ACACAC"/>
            </w:tcBorders>
          </w:tcPr>
          <w:p>
            <w:pPr>
              <w:jc w:val="center"/>
              <w:spacing w:after="0"/>
              <w:rPr>
                <w:sz w:val="20"/>
                <w:szCs w:val="20"/>
                <w:color w:val="auto"/>
              </w:rPr>
            </w:pPr>
            <w:r>
              <w:rPr>
                <w:rFonts w:ascii="Arial" w:cs="Arial" w:eastAsia="Arial" w:hAnsi="Arial"/>
                <w:sz w:val="18"/>
                <w:szCs w:val="18"/>
                <w:color w:val="525252"/>
                <w:w w:val="79"/>
              </w:rPr>
              <w:t>õ</w:t>
            </w:r>
          </w:p>
        </w:tc>
        <w:tc>
          <w:tcPr>
            <w:tcW w:w="760" w:type="dxa"/>
            <w:vAlign w:val="bottom"/>
            <w:tcBorders>
              <w:top w:val="single" w:sz="8" w:color="ACACAC"/>
              <w:right w:val="single" w:sz="8" w:color="ACACAC"/>
            </w:tcBorders>
          </w:tcPr>
          <w:p>
            <w:pPr>
              <w:spacing w:after="0"/>
              <w:rPr>
                <w:sz w:val="20"/>
                <w:szCs w:val="20"/>
                <w:color w:val="auto"/>
              </w:rPr>
            </w:pPr>
          </w:p>
        </w:tc>
        <w:tc>
          <w:tcPr>
            <w:tcW w:w="780" w:type="dxa"/>
            <w:vAlign w:val="bottom"/>
            <w:tcBorders>
              <w:top w:val="single" w:sz="8" w:color="ACACAC"/>
              <w:right w:val="single" w:sz="8" w:color="ACACAC"/>
            </w:tcBorders>
          </w:tcPr>
          <w:p>
            <w:pPr>
              <w:jc w:val="center"/>
              <w:spacing w:after="0"/>
              <w:rPr>
                <w:sz w:val="20"/>
                <w:szCs w:val="20"/>
                <w:color w:val="auto"/>
              </w:rPr>
            </w:pPr>
            <w:r>
              <w:rPr>
                <w:rFonts w:ascii="Arial" w:cs="Arial" w:eastAsia="Arial" w:hAnsi="Arial"/>
                <w:sz w:val="18"/>
                <w:szCs w:val="18"/>
                <w:color w:val="525252"/>
                <w:w w:val="79"/>
              </w:rPr>
              <w:t>õ</w:t>
            </w:r>
          </w:p>
        </w:tc>
        <w:tc>
          <w:tcPr>
            <w:tcW w:w="660" w:type="dxa"/>
            <w:vAlign w:val="bottom"/>
            <w:tcBorders>
              <w:top w:val="single" w:sz="8" w:color="ACACAC"/>
              <w:right w:val="single" w:sz="8" w:color="ACACAC"/>
            </w:tcBorders>
          </w:tcPr>
          <w:p>
            <w:pPr>
              <w:jc w:val="center"/>
              <w:spacing w:after="0"/>
              <w:rPr>
                <w:sz w:val="20"/>
                <w:szCs w:val="20"/>
                <w:color w:val="auto"/>
              </w:rPr>
            </w:pPr>
            <w:r>
              <w:rPr>
                <w:rFonts w:ascii="Arial" w:cs="Arial" w:eastAsia="Arial" w:hAnsi="Arial"/>
                <w:sz w:val="18"/>
                <w:szCs w:val="18"/>
                <w:color w:val="525252"/>
                <w:w w:val="79"/>
              </w:rPr>
              <w:t>õ</w:t>
            </w:r>
          </w:p>
        </w:tc>
        <w:tc>
          <w:tcPr>
            <w:tcW w:w="760" w:type="dxa"/>
            <w:vAlign w:val="bottom"/>
            <w:tcBorders>
              <w:top w:val="single" w:sz="8" w:color="ACACAC"/>
              <w:right w:val="single" w:sz="8" w:color="ACACAC"/>
            </w:tcBorders>
          </w:tcPr>
          <w:p>
            <w:pPr>
              <w:jc w:val="center"/>
              <w:spacing w:after="0"/>
              <w:rPr>
                <w:sz w:val="20"/>
                <w:szCs w:val="20"/>
                <w:color w:val="auto"/>
              </w:rPr>
            </w:pPr>
            <w:r>
              <w:rPr>
                <w:rFonts w:ascii="Arial" w:cs="Arial" w:eastAsia="Arial" w:hAnsi="Arial"/>
                <w:sz w:val="18"/>
                <w:szCs w:val="18"/>
                <w:color w:val="525252"/>
                <w:w w:val="99"/>
              </w:rPr>
              <w:t>ò</w:t>
            </w:r>
          </w:p>
        </w:tc>
        <w:tc>
          <w:tcPr>
            <w:tcW w:w="0" w:type="dxa"/>
            <w:vAlign w:val="bottom"/>
          </w:tcPr>
          <w:p>
            <w:pPr>
              <w:spacing w:after="0"/>
              <w:rPr>
                <w:sz w:val="1"/>
                <w:szCs w:val="1"/>
                <w:color w:val="auto"/>
              </w:rPr>
            </w:pPr>
          </w:p>
        </w:tc>
      </w:tr>
      <w:tr>
        <w:trPr>
          <w:trHeight w:val="27"/>
        </w:trPr>
        <w:tc>
          <w:tcPr>
            <w:tcW w:w="2720" w:type="dxa"/>
            <w:vAlign w:val="bottom"/>
            <w:tcBorders>
              <w:left w:val="single" w:sz="8" w:color="ACACAC"/>
              <w:bottom w:val="single" w:sz="8" w:color="ACACAC"/>
              <w:right w:val="single" w:sz="8" w:color="ACACAC"/>
            </w:tcBorders>
          </w:tcPr>
          <w:p>
            <w:pPr>
              <w:spacing w:after="0"/>
              <w:rPr>
                <w:sz w:val="2"/>
                <w:szCs w:val="2"/>
                <w:color w:val="auto"/>
              </w:rPr>
            </w:pPr>
          </w:p>
        </w:tc>
        <w:tc>
          <w:tcPr>
            <w:tcW w:w="780" w:type="dxa"/>
            <w:vAlign w:val="bottom"/>
            <w:tcBorders>
              <w:bottom w:val="single" w:sz="8" w:color="ACACAC"/>
              <w:right w:val="single" w:sz="8" w:color="ACACAC"/>
            </w:tcBorders>
          </w:tcPr>
          <w:p>
            <w:pPr>
              <w:spacing w:after="0"/>
              <w:rPr>
                <w:sz w:val="2"/>
                <w:szCs w:val="2"/>
                <w:color w:val="auto"/>
              </w:rPr>
            </w:pPr>
          </w:p>
        </w:tc>
        <w:tc>
          <w:tcPr>
            <w:tcW w:w="900" w:type="dxa"/>
            <w:vAlign w:val="bottom"/>
            <w:tcBorders>
              <w:bottom w:val="single" w:sz="8" w:color="ACACAC"/>
              <w:right w:val="single" w:sz="8" w:color="ACACAC"/>
            </w:tcBorders>
          </w:tcPr>
          <w:p>
            <w:pPr>
              <w:spacing w:after="0"/>
              <w:rPr>
                <w:sz w:val="2"/>
                <w:szCs w:val="2"/>
                <w:color w:val="auto"/>
              </w:rPr>
            </w:pPr>
          </w:p>
        </w:tc>
        <w:tc>
          <w:tcPr>
            <w:tcW w:w="780" w:type="dxa"/>
            <w:vAlign w:val="bottom"/>
            <w:tcBorders>
              <w:bottom w:val="single" w:sz="8" w:color="ACACAC"/>
              <w:right w:val="single" w:sz="8" w:color="ACACAC"/>
            </w:tcBorders>
          </w:tcPr>
          <w:p>
            <w:pPr>
              <w:spacing w:after="0"/>
              <w:rPr>
                <w:sz w:val="2"/>
                <w:szCs w:val="2"/>
                <w:color w:val="auto"/>
              </w:rPr>
            </w:pPr>
          </w:p>
        </w:tc>
        <w:tc>
          <w:tcPr>
            <w:tcW w:w="800" w:type="dxa"/>
            <w:vAlign w:val="bottom"/>
            <w:tcBorders>
              <w:bottom w:val="single" w:sz="8" w:color="ACACAC"/>
              <w:right w:val="single" w:sz="8" w:color="ACACAC"/>
            </w:tcBorders>
          </w:tcPr>
          <w:p>
            <w:pPr>
              <w:spacing w:after="0"/>
              <w:rPr>
                <w:sz w:val="2"/>
                <w:szCs w:val="2"/>
                <w:color w:val="auto"/>
              </w:rPr>
            </w:pPr>
          </w:p>
        </w:tc>
        <w:tc>
          <w:tcPr>
            <w:tcW w:w="660" w:type="dxa"/>
            <w:vAlign w:val="bottom"/>
            <w:tcBorders>
              <w:bottom w:val="single" w:sz="8" w:color="ACACAC"/>
              <w:right w:val="single" w:sz="8" w:color="ACACAC"/>
            </w:tcBorders>
          </w:tcPr>
          <w:p>
            <w:pPr>
              <w:spacing w:after="0"/>
              <w:rPr>
                <w:sz w:val="2"/>
                <w:szCs w:val="2"/>
                <w:color w:val="auto"/>
              </w:rPr>
            </w:pPr>
          </w:p>
        </w:tc>
        <w:tc>
          <w:tcPr>
            <w:tcW w:w="660" w:type="dxa"/>
            <w:vAlign w:val="bottom"/>
            <w:tcBorders>
              <w:bottom w:val="single" w:sz="8" w:color="ACACAC"/>
              <w:right w:val="single" w:sz="8" w:color="ACACAC"/>
            </w:tcBorders>
          </w:tcPr>
          <w:p>
            <w:pPr>
              <w:spacing w:after="0"/>
              <w:rPr>
                <w:sz w:val="2"/>
                <w:szCs w:val="2"/>
                <w:color w:val="auto"/>
              </w:rPr>
            </w:pPr>
          </w:p>
        </w:tc>
        <w:tc>
          <w:tcPr>
            <w:tcW w:w="900" w:type="dxa"/>
            <w:vAlign w:val="bottom"/>
            <w:tcBorders>
              <w:bottom w:val="single" w:sz="8" w:color="ACACAC"/>
              <w:right w:val="single" w:sz="8" w:color="ACACAC"/>
            </w:tcBorders>
          </w:tcPr>
          <w:p>
            <w:pPr>
              <w:spacing w:after="0"/>
              <w:rPr>
                <w:sz w:val="2"/>
                <w:szCs w:val="2"/>
                <w:color w:val="auto"/>
              </w:rPr>
            </w:pPr>
          </w:p>
        </w:tc>
        <w:tc>
          <w:tcPr>
            <w:tcW w:w="760" w:type="dxa"/>
            <w:vAlign w:val="bottom"/>
            <w:tcBorders>
              <w:bottom w:val="single" w:sz="8" w:color="ACACAC"/>
              <w:right w:val="single" w:sz="8" w:color="ACACAC"/>
            </w:tcBorders>
          </w:tcPr>
          <w:p>
            <w:pPr>
              <w:spacing w:after="0"/>
              <w:rPr>
                <w:sz w:val="2"/>
                <w:szCs w:val="2"/>
                <w:color w:val="auto"/>
              </w:rPr>
            </w:pPr>
          </w:p>
        </w:tc>
        <w:tc>
          <w:tcPr>
            <w:tcW w:w="780" w:type="dxa"/>
            <w:vAlign w:val="bottom"/>
            <w:tcBorders>
              <w:bottom w:val="single" w:sz="8" w:color="ACACAC"/>
              <w:right w:val="single" w:sz="8" w:color="ACACAC"/>
            </w:tcBorders>
          </w:tcPr>
          <w:p>
            <w:pPr>
              <w:spacing w:after="0"/>
              <w:rPr>
                <w:sz w:val="2"/>
                <w:szCs w:val="2"/>
                <w:color w:val="auto"/>
              </w:rPr>
            </w:pPr>
          </w:p>
        </w:tc>
        <w:tc>
          <w:tcPr>
            <w:tcW w:w="660" w:type="dxa"/>
            <w:vAlign w:val="bottom"/>
            <w:tcBorders>
              <w:bottom w:val="single" w:sz="8" w:color="ACACAC"/>
              <w:right w:val="single" w:sz="8" w:color="ACACAC"/>
            </w:tcBorders>
          </w:tcPr>
          <w:p>
            <w:pPr>
              <w:spacing w:after="0"/>
              <w:rPr>
                <w:sz w:val="2"/>
                <w:szCs w:val="2"/>
                <w:color w:val="auto"/>
              </w:rPr>
            </w:pPr>
          </w:p>
        </w:tc>
        <w:tc>
          <w:tcPr>
            <w:tcW w:w="760" w:type="dxa"/>
            <w:vAlign w:val="bottom"/>
            <w:tcBorders>
              <w:bottom w:val="single" w:sz="8" w:color="ACACAC"/>
              <w:right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720" w:type="dxa"/>
            <w:vAlign w:val="bottom"/>
            <w:tcBorders>
              <w:left w:val="single" w:sz="8" w:color="ACACAC"/>
              <w:bottom w:val="single" w:sz="8" w:color="ACACAC"/>
              <w:right w:val="single" w:sz="8" w:color="ACACAC"/>
            </w:tcBorders>
            <w:shd w:val="clear" w:color="auto" w:fill="DDDDDD"/>
          </w:tcPr>
          <w:p>
            <w:pPr>
              <w:ind w:left="40"/>
              <w:spacing w:after="0"/>
              <w:rPr>
                <w:sz w:val="20"/>
                <w:szCs w:val="20"/>
                <w:color w:val="auto"/>
              </w:rPr>
            </w:pPr>
            <w:r>
              <w:rPr>
                <w:rFonts w:ascii="Arial" w:cs="Arial" w:eastAsia="Arial" w:hAnsi="Arial"/>
                <w:sz w:val="14"/>
                <w:szCs w:val="14"/>
                <w:color w:val="auto"/>
              </w:rPr>
              <w:t>Other Current Public Company Boards</w:t>
            </w:r>
          </w:p>
        </w:tc>
        <w:tc>
          <w:tcPr>
            <w:tcW w:w="780" w:type="dxa"/>
            <w:vAlign w:val="bottom"/>
            <w:tcBorders>
              <w:bottom w:val="single" w:sz="8" w:color="ACACAC"/>
              <w:right w:val="single" w:sz="8" w:color="ACACAC"/>
            </w:tcBorders>
            <w:shd w:val="clear" w:color="auto" w:fill="E2E2E2"/>
          </w:tcPr>
          <w:p>
            <w:pPr>
              <w:jc w:val="center"/>
              <w:spacing w:after="0"/>
              <w:rPr>
                <w:sz w:val="20"/>
                <w:szCs w:val="20"/>
                <w:color w:val="auto"/>
              </w:rPr>
            </w:pPr>
            <w:r>
              <w:rPr>
                <w:rFonts w:ascii="Arial" w:cs="Arial" w:eastAsia="Arial" w:hAnsi="Arial"/>
                <w:sz w:val="14"/>
                <w:szCs w:val="14"/>
                <w:color w:val="auto"/>
              </w:rPr>
              <w:t>0</w:t>
            </w:r>
          </w:p>
        </w:tc>
        <w:tc>
          <w:tcPr>
            <w:tcW w:w="900" w:type="dxa"/>
            <w:vAlign w:val="bottom"/>
            <w:tcBorders>
              <w:bottom w:val="single" w:sz="8" w:color="ACACAC"/>
              <w:right w:val="single" w:sz="8" w:color="ACACAC"/>
            </w:tcBorders>
            <w:shd w:val="clear" w:color="auto" w:fill="E2E2E2"/>
          </w:tcPr>
          <w:p>
            <w:pPr>
              <w:jc w:val="center"/>
              <w:spacing w:after="0"/>
              <w:rPr>
                <w:sz w:val="20"/>
                <w:szCs w:val="20"/>
                <w:color w:val="auto"/>
              </w:rPr>
            </w:pPr>
            <w:r>
              <w:rPr>
                <w:rFonts w:ascii="Arial" w:cs="Arial" w:eastAsia="Arial" w:hAnsi="Arial"/>
                <w:sz w:val="14"/>
                <w:szCs w:val="14"/>
                <w:color w:val="auto"/>
              </w:rPr>
              <w:t>1</w:t>
            </w:r>
          </w:p>
        </w:tc>
        <w:tc>
          <w:tcPr>
            <w:tcW w:w="780" w:type="dxa"/>
            <w:vAlign w:val="bottom"/>
            <w:tcBorders>
              <w:bottom w:val="single" w:sz="8" w:color="ACACAC"/>
              <w:right w:val="single" w:sz="8" w:color="ACACAC"/>
            </w:tcBorders>
            <w:shd w:val="clear" w:color="auto" w:fill="E2E2E2"/>
          </w:tcPr>
          <w:p>
            <w:pPr>
              <w:jc w:val="center"/>
              <w:spacing w:after="0"/>
              <w:rPr>
                <w:sz w:val="20"/>
                <w:szCs w:val="20"/>
                <w:color w:val="auto"/>
              </w:rPr>
            </w:pPr>
            <w:r>
              <w:rPr>
                <w:rFonts w:ascii="Arial" w:cs="Arial" w:eastAsia="Arial" w:hAnsi="Arial"/>
                <w:sz w:val="14"/>
                <w:szCs w:val="14"/>
                <w:color w:val="auto"/>
              </w:rPr>
              <w:t>1</w:t>
            </w:r>
          </w:p>
        </w:tc>
        <w:tc>
          <w:tcPr>
            <w:tcW w:w="800" w:type="dxa"/>
            <w:vAlign w:val="bottom"/>
            <w:tcBorders>
              <w:bottom w:val="single" w:sz="8" w:color="ACACAC"/>
              <w:right w:val="single" w:sz="8" w:color="ACACAC"/>
            </w:tcBorders>
            <w:shd w:val="clear" w:color="auto" w:fill="E2E2E2"/>
          </w:tcPr>
          <w:p>
            <w:pPr>
              <w:jc w:val="center"/>
              <w:spacing w:after="0"/>
              <w:rPr>
                <w:sz w:val="20"/>
                <w:szCs w:val="20"/>
                <w:color w:val="auto"/>
              </w:rPr>
            </w:pPr>
            <w:r>
              <w:rPr>
                <w:rFonts w:ascii="Arial" w:cs="Arial" w:eastAsia="Arial" w:hAnsi="Arial"/>
                <w:sz w:val="14"/>
                <w:szCs w:val="14"/>
                <w:color w:val="auto"/>
              </w:rPr>
              <w:t>0</w:t>
            </w:r>
          </w:p>
        </w:tc>
        <w:tc>
          <w:tcPr>
            <w:tcW w:w="660" w:type="dxa"/>
            <w:vAlign w:val="bottom"/>
            <w:tcBorders>
              <w:bottom w:val="single" w:sz="8" w:color="ACACAC"/>
              <w:right w:val="single" w:sz="8" w:color="ACACAC"/>
            </w:tcBorders>
            <w:shd w:val="clear" w:color="auto" w:fill="E2E2E2"/>
          </w:tcPr>
          <w:p>
            <w:pPr>
              <w:jc w:val="center"/>
              <w:spacing w:after="0"/>
              <w:rPr>
                <w:sz w:val="20"/>
                <w:szCs w:val="20"/>
                <w:color w:val="auto"/>
              </w:rPr>
            </w:pPr>
            <w:r>
              <w:rPr>
                <w:rFonts w:ascii="Arial" w:cs="Arial" w:eastAsia="Arial" w:hAnsi="Arial"/>
                <w:sz w:val="14"/>
                <w:szCs w:val="14"/>
                <w:color w:val="auto"/>
              </w:rPr>
              <w:t>0</w:t>
            </w:r>
          </w:p>
        </w:tc>
        <w:tc>
          <w:tcPr>
            <w:tcW w:w="660" w:type="dxa"/>
            <w:vAlign w:val="bottom"/>
            <w:tcBorders>
              <w:bottom w:val="single" w:sz="8" w:color="ACACAC"/>
              <w:right w:val="single" w:sz="8" w:color="ACACAC"/>
            </w:tcBorders>
            <w:shd w:val="clear" w:color="auto" w:fill="E2E2E2"/>
          </w:tcPr>
          <w:p>
            <w:pPr>
              <w:jc w:val="center"/>
              <w:spacing w:after="0"/>
              <w:rPr>
                <w:sz w:val="20"/>
                <w:szCs w:val="20"/>
                <w:color w:val="auto"/>
              </w:rPr>
            </w:pPr>
            <w:r>
              <w:rPr>
                <w:rFonts w:ascii="Arial" w:cs="Arial" w:eastAsia="Arial" w:hAnsi="Arial"/>
                <w:sz w:val="14"/>
                <w:szCs w:val="14"/>
                <w:color w:val="auto"/>
              </w:rPr>
              <w:t>0</w:t>
            </w:r>
          </w:p>
        </w:tc>
        <w:tc>
          <w:tcPr>
            <w:tcW w:w="900" w:type="dxa"/>
            <w:vAlign w:val="bottom"/>
            <w:tcBorders>
              <w:bottom w:val="single" w:sz="8" w:color="ACACAC"/>
              <w:right w:val="single" w:sz="8" w:color="ACACAC"/>
            </w:tcBorders>
            <w:shd w:val="clear" w:color="auto" w:fill="E2E2E2"/>
          </w:tcPr>
          <w:p>
            <w:pPr>
              <w:jc w:val="center"/>
              <w:spacing w:after="0"/>
              <w:rPr>
                <w:sz w:val="20"/>
                <w:szCs w:val="20"/>
                <w:color w:val="auto"/>
              </w:rPr>
            </w:pPr>
            <w:r>
              <w:rPr>
                <w:rFonts w:ascii="Arial" w:cs="Arial" w:eastAsia="Arial" w:hAnsi="Arial"/>
                <w:sz w:val="14"/>
                <w:szCs w:val="14"/>
                <w:color w:val="auto"/>
              </w:rPr>
              <w:t>0</w:t>
            </w:r>
          </w:p>
        </w:tc>
        <w:tc>
          <w:tcPr>
            <w:tcW w:w="760" w:type="dxa"/>
            <w:vAlign w:val="bottom"/>
            <w:tcBorders>
              <w:bottom w:val="single" w:sz="8" w:color="ACACAC"/>
              <w:right w:val="single" w:sz="8" w:color="ACACAC"/>
            </w:tcBorders>
            <w:shd w:val="clear" w:color="auto" w:fill="E2E2E2"/>
          </w:tcPr>
          <w:p>
            <w:pPr>
              <w:jc w:val="center"/>
              <w:spacing w:after="0"/>
              <w:rPr>
                <w:sz w:val="20"/>
                <w:szCs w:val="20"/>
                <w:color w:val="auto"/>
              </w:rPr>
            </w:pPr>
            <w:r>
              <w:rPr>
                <w:rFonts w:ascii="Arial" w:cs="Arial" w:eastAsia="Arial" w:hAnsi="Arial"/>
                <w:sz w:val="14"/>
                <w:szCs w:val="14"/>
                <w:color w:val="auto"/>
              </w:rPr>
              <w:t>1</w:t>
            </w:r>
          </w:p>
        </w:tc>
        <w:tc>
          <w:tcPr>
            <w:tcW w:w="780" w:type="dxa"/>
            <w:vAlign w:val="bottom"/>
            <w:tcBorders>
              <w:bottom w:val="single" w:sz="8" w:color="ACACAC"/>
              <w:right w:val="single" w:sz="8" w:color="ACACAC"/>
            </w:tcBorders>
            <w:shd w:val="clear" w:color="auto" w:fill="E2E2E2"/>
          </w:tcPr>
          <w:p>
            <w:pPr>
              <w:jc w:val="center"/>
              <w:spacing w:after="0"/>
              <w:rPr>
                <w:sz w:val="20"/>
                <w:szCs w:val="20"/>
                <w:color w:val="auto"/>
              </w:rPr>
            </w:pPr>
            <w:r>
              <w:rPr>
                <w:rFonts w:ascii="Arial" w:cs="Arial" w:eastAsia="Arial" w:hAnsi="Arial"/>
                <w:sz w:val="14"/>
                <w:szCs w:val="14"/>
                <w:color w:val="auto"/>
              </w:rPr>
              <w:t>0</w:t>
            </w:r>
          </w:p>
        </w:tc>
        <w:tc>
          <w:tcPr>
            <w:tcW w:w="660" w:type="dxa"/>
            <w:vAlign w:val="bottom"/>
            <w:tcBorders>
              <w:bottom w:val="single" w:sz="8" w:color="ACACAC"/>
              <w:right w:val="single" w:sz="8" w:color="ACACAC"/>
            </w:tcBorders>
            <w:shd w:val="clear" w:color="auto" w:fill="E2E2E2"/>
          </w:tcPr>
          <w:p>
            <w:pPr>
              <w:jc w:val="center"/>
              <w:spacing w:after="0"/>
              <w:rPr>
                <w:sz w:val="20"/>
                <w:szCs w:val="20"/>
                <w:color w:val="auto"/>
              </w:rPr>
            </w:pPr>
            <w:r>
              <w:rPr>
                <w:rFonts w:ascii="Arial" w:cs="Arial" w:eastAsia="Arial" w:hAnsi="Arial"/>
                <w:sz w:val="14"/>
                <w:szCs w:val="14"/>
                <w:color w:val="auto"/>
              </w:rPr>
              <w:t>0</w:t>
            </w:r>
          </w:p>
        </w:tc>
        <w:tc>
          <w:tcPr>
            <w:tcW w:w="760" w:type="dxa"/>
            <w:vAlign w:val="bottom"/>
            <w:tcBorders>
              <w:bottom w:val="single" w:sz="8" w:color="ACACAC"/>
              <w:right w:val="single" w:sz="8" w:color="828282"/>
            </w:tcBorders>
            <w:shd w:val="clear" w:color="auto" w:fill="E2E2E2"/>
          </w:tcPr>
          <w:p>
            <w:pPr>
              <w:jc w:val="center"/>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43"/>
        </w:trPr>
        <w:tc>
          <w:tcPr>
            <w:tcW w:w="2720" w:type="dxa"/>
            <w:vAlign w:val="bottom"/>
            <w:tcBorders>
              <w:left w:val="single" w:sz="8" w:color="ACACAC"/>
            </w:tcBorders>
          </w:tcPr>
          <w:p>
            <w:pPr>
              <w:ind w:left="40"/>
              <w:spacing w:after="0"/>
              <w:rPr>
                <w:sz w:val="20"/>
                <w:szCs w:val="20"/>
                <w:color w:val="auto"/>
              </w:rPr>
            </w:pPr>
            <w:r>
              <w:rPr>
                <w:rFonts w:ascii="Arial" w:cs="Arial" w:eastAsia="Arial" w:hAnsi="Arial"/>
                <w:sz w:val="18"/>
                <w:szCs w:val="18"/>
                <w:color w:val="525252"/>
              </w:rPr>
              <w:t>ò</w:t>
            </w:r>
            <w:r>
              <w:rPr>
                <w:rFonts w:ascii="Arial" w:cs="Arial" w:eastAsia="Arial" w:hAnsi="Arial"/>
                <w:sz w:val="14"/>
                <w:szCs w:val="14"/>
                <w:color w:val="000000"/>
              </w:rPr>
              <w:t>= Competency;</w:t>
            </w:r>
            <w:r>
              <w:rPr>
                <w:rFonts w:ascii="Arial" w:cs="Arial" w:eastAsia="Arial" w:hAnsi="Arial"/>
                <w:sz w:val="18"/>
                <w:szCs w:val="18"/>
                <w:color w:val="525252"/>
              </w:rPr>
              <w:t xml:space="preserve"> õ</w:t>
            </w:r>
            <w:r>
              <w:rPr>
                <w:rFonts w:ascii="Arial" w:cs="Arial" w:eastAsia="Arial" w:hAnsi="Arial"/>
                <w:sz w:val="14"/>
                <w:szCs w:val="14"/>
                <w:color w:val="000000"/>
              </w:rPr>
              <w:t>= Experience</w:t>
            </w:r>
          </w:p>
        </w:tc>
        <w:tc>
          <w:tcPr>
            <w:tcW w:w="7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tcBorders>
              <w:right w:val="single" w:sz="8" w:color="828282"/>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20" w:type="dxa"/>
            <w:vAlign w:val="bottom"/>
            <w:tcBorders>
              <w:left w:val="single" w:sz="8" w:color="ACACAC"/>
              <w:bottom w:val="single" w:sz="8" w:color="ACACAC"/>
            </w:tcBorders>
          </w:tcPr>
          <w:p>
            <w:pPr>
              <w:spacing w:after="0"/>
              <w:rPr>
                <w:sz w:val="2"/>
                <w:szCs w:val="2"/>
                <w:color w:val="auto"/>
              </w:rPr>
            </w:pPr>
          </w:p>
        </w:tc>
        <w:tc>
          <w:tcPr>
            <w:tcW w:w="78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780" w:type="dxa"/>
            <w:vAlign w:val="bottom"/>
            <w:tcBorders>
              <w:bottom w:val="single" w:sz="8" w:color="ACACAC"/>
            </w:tcBorders>
          </w:tcPr>
          <w:p>
            <w:pPr>
              <w:spacing w:after="0"/>
              <w:rPr>
                <w:sz w:val="2"/>
                <w:szCs w:val="2"/>
                <w:color w:val="auto"/>
              </w:rPr>
            </w:pPr>
          </w:p>
        </w:tc>
        <w:tc>
          <w:tcPr>
            <w:tcW w:w="800" w:type="dxa"/>
            <w:vAlign w:val="bottom"/>
            <w:tcBorders>
              <w:bottom w:val="single" w:sz="8" w:color="ACACAC"/>
            </w:tcBorders>
          </w:tcPr>
          <w:p>
            <w:pPr>
              <w:spacing w:after="0"/>
              <w:rPr>
                <w:sz w:val="2"/>
                <w:szCs w:val="2"/>
                <w:color w:val="auto"/>
              </w:rPr>
            </w:pPr>
          </w:p>
        </w:tc>
        <w:tc>
          <w:tcPr>
            <w:tcW w:w="660" w:type="dxa"/>
            <w:vAlign w:val="bottom"/>
            <w:tcBorders>
              <w:bottom w:val="single" w:sz="8" w:color="ACACAC"/>
            </w:tcBorders>
          </w:tcPr>
          <w:p>
            <w:pPr>
              <w:spacing w:after="0"/>
              <w:rPr>
                <w:sz w:val="2"/>
                <w:szCs w:val="2"/>
                <w:color w:val="auto"/>
              </w:rPr>
            </w:pPr>
          </w:p>
        </w:tc>
        <w:tc>
          <w:tcPr>
            <w:tcW w:w="6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760" w:type="dxa"/>
            <w:vAlign w:val="bottom"/>
            <w:tcBorders>
              <w:bottom w:val="single" w:sz="8" w:color="ACACAC"/>
            </w:tcBorders>
          </w:tcPr>
          <w:p>
            <w:pPr>
              <w:spacing w:after="0"/>
              <w:rPr>
                <w:sz w:val="2"/>
                <w:szCs w:val="2"/>
                <w:color w:val="auto"/>
              </w:rPr>
            </w:pPr>
          </w:p>
        </w:tc>
        <w:tc>
          <w:tcPr>
            <w:tcW w:w="780" w:type="dxa"/>
            <w:vAlign w:val="bottom"/>
            <w:tcBorders>
              <w:bottom w:val="single" w:sz="8" w:color="ACACAC"/>
            </w:tcBorders>
          </w:tcPr>
          <w:p>
            <w:pPr>
              <w:spacing w:after="0"/>
              <w:rPr>
                <w:sz w:val="2"/>
                <w:szCs w:val="2"/>
                <w:color w:val="auto"/>
              </w:rPr>
            </w:pPr>
          </w:p>
        </w:tc>
        <w:tc>
          <w:tcPr>
            <w:tcW w:w="660" w:type="dxa"/>
            <w:vAlign w:val="bottom"/>
            <w:tcBorders>
              <w:bottom w:val="single" w:sz="8" w:color="ACACAC"/>
            </w:tcBorders>
          </w:tcPr>
          <w:p>
            <w:pPr>
              <w:spacing w:after="0"/>
              <w:rPr>
                <w:sz w:val="2"/>
                <w:szCs w:val="2"/>
                <w:color w:val="auto"/>
              </w:rPr>
            </w:pPr>
          </w:p>
        </w:tc>
        <w:tc>
          <w:tcPr>
            <w:tcW w:w="760" w:type="dxa"/>
            <w:vAlign w:val="bottom"/>
            <w:tcBorders>
              <w:bottom w:val="single" w:sz="8" w:color="ACACAC"/>
              <w:right w:val="single" w:sz="8" w:color="828282"/>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2C2C2C"/>
        </w:rPr>
        <w:t xml:space="preserve">4 </w:t>
      </w:r>
      <w:r>
        <w:rPr>
          <w:sz w:val="1"/>
          <w:szCs w:val="1"/>
          <w:color w:val="auto"/>
        </w:rPr>
        <w:drawing>
          <wp:inline distT="0" distB="0" distL="0" distR="0">
            <wp:extent cx="445770" cy="18034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45770" cy="180340"/>
                    </a:xfrm>
                    <a:prstGeom prst="rect">
                      <a:avLst/>
                    </a:prstGeom>
                    <a:noFill/>
                    <a:ln>
                      <a:noFill/>
                    </a:ln>
                  </pic:spPr>
                </pic:pic>
              </a:graphicData>
            </a:graphic>
          </wp:inline>
        </w:drawing>
      </w:r>
      <w:r>
        <w:rPr>
          <w:rFonts w:ascii="Arial" w:cs="Arial" w:eastAsia="Arial" w:hAnsi="Arial"/>
          <w:sz w:val="18"/>
          <w:szCs w:val="18"/>
          <w:color w:val="auto"/>
        </w:rPr>
        <w:t xml:space="preserve"> 2018 PROXY STATEMENT</w:t>
      </w:r>
    </w:p>
    <w:p>
      <w:pPr>
        <w:sectPr>
          <w:pgSz w:w="11900" w:h="16838" w:orient="portrait"/>
          <w:cols w:equalWidth="0" w:num="1">
            <w:col w:w="11420"/>
          </w:cols>
          <w:pgMar w:left="240" w:top="125" w:right="239" w:bottom="1440" w:gutter="0" w:footer="0" w:header="0"/>
        </w:sectPr>
      </w:pPr>
    </w:p>
    <w:bookmarkStart w:id="13" w:name="page14"/>
    <w:bookmarkEnd w:id="13"/>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960"/>
        <w:spacing w:after="0"/>
        <w:rPr>
          <w:sz w:val="20"/>
          <w:szCs w:val="20"/>
          <w:color w:val="auto"/>
        </w:rPr>
      </w:pPr>
      <w:r>
        <w:rPr>
          <w:rFonts w:ascii="Arial" w:cs="Arial" w:eastAsia="Arial" w:hAnsi="Arial"/>
          <w:sz w:val="14"/>
          <w:szCs w:val="14"/>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Set forth below and on the following pages is certain information (ages are as of the Annual Meeting) with respect to each nominee for election as a director and each director of our Company who will continue to serve as a director after this year’s Annual Meeting, including the specific experience, qualifications and skills considered by the Governance Committee and/or the Board in assessing the appropriateness of the person to serve as a director.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NOMINEES</w:t>
      </w:r>
    </w:p>
    <w:p>
      <w:pPr>
        <w:spacing w:after="0" w:line="235" w:lineRule="exact"/>
        <w:rPr>
          <w:sz w:val="20"/>
          <w:szCs w:val="20"/>
          <w:color w:val="auto"/>
        </w:rPr>
      </w:pPr>
    </w:p>
    <w:p>
      <w:pPr>
        <w:ind w:left="2920"/>
        <w:spacing w:after="0"/>
        <w:rPr>
          <w:sz w:val="20"/>
          <w:szCs w:val="20"/>
          <w:color w:val="auto"/>
        </w:rPr>
      </w:pPr>
      <w:r>
        <w:rPr>
          <w:rFonts w:ascii="Arial" w:cs="Arial" w:eastAsia="Arial" w:hAnsi="Arial"/>
          <w:sz w:val="14"/>
          <w:szCs w:val="14"/>
          <w:b w:val="1"/>
          <w:bCs w:val="1"/>
          <w:color w:val="auto"/>
        </w:rPr>
        <w:t>QUALIFICATIONS, ATTRIBUTES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-93345</wp:posOffset>
            </wp:positionV>
            <wp:extent cx="1235075" cy="14579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35075" cy="1457960"/>
                    </a:xfrm>
                    <a:prstGeom prst="rect">
                      <a:avLst/>
                    </a:prstGeom>
                    <a:noFill/>
                  </pic:spPr>
                </pic:pic>
              </a:graphicData>
            </a:graphic>
          </wp:anchor>
        </w:drawing>
      </w:r>
    </w:p>
    <w:p>
      <w:pPr>
        <w:ind w:left="2920" w:right="200"/>
        <w:spacing w:after="0" w:line="245" w:lineRule="auto"/>
        <w:rPr>
          <w:sz w:val="20"/>
          <w:szCs w:val="20"/>
          <w:color w:val="auto"/>
        </w:rPr>
      </w:pPr>
      <w:r>
        <w:rPr>
          <w:rFonts w:ascii="Arial" w:cs="Arial" w:eastAsia="Arial" w:hAnsi="Arial"/>
          <w:sz w:val="14"/>
          <w:szCs w:val="14"/>
          <w:color w:val="auto"/>
        </w:rPr>
        <w:t>Ms. Bertsch has held numerous advisory roles in the academic, technological, and major manufacturing industries. With more than 35 years of experience, Ms. Bertsch brings extensive corporate finance, strategic planning, restructuring and international experience to our Board. The depth and breadth of her professional career in the life science, automotive and manufacturing industries, with a keen focus on operational enhancements, cost reduction strategies and revenue generation for Fortune 500 and Fortune 1000 companies, make her a valuable addition to the Board.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JAN A. BERTSCH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-135890</wp:posOffset>
            </wp:positionV>
            <wp:extent cx="1663700" cy="2660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63700" cy="26606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4"/>
          <w:szCs w:val="14"/>
          <w:b w:val="1"/>
          <w:bCs w:val="1"/>
          <w:color w:val="auto"/>
        </w:rPr>
        <w:t>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92075</wp:posOffset>
            </wp:positionV>
            <wp:extent cx="166370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63700" cy="171450"/>
                    </a:xfrm>
                    <a:prstGeom prst="rect">
                      <a:avLst/>
                    </a:prstGeom>
                    <a:noFill/>
                  </pic:spPr>
                </pic:pic>
              </a:graphicData>
            </a:graphic>
          </wp:anchor>
        </w:drawing>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Director since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100965</wp:posOffset>
            </wp:positionV>
            <wp:extent cx="1663700" cy="3429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63700" cy="342900"/>
                    </a:xfrm>
                    <a:prstGeom prst="rect">
                      <a:avLst/>
                    </a:prstGeom>
                    <a:noFill/>
                  </pic:spPr>
                </pic:pic>
              </a:graphicData>
            </a:graphic>
          </wp:anchor>
        </w:drawing>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Committees:</w:t>
      </w:r>
    </w:p>
    <w:p>
      <w:pPr>
        <w:spacing w:after="0" w:line="15" w:lineRule="exact"/>
        <w:rPr>
          <w:sz w:val="20"/>
          <w:szCs w:val="20"/>
          <w:color w:val="auto"/>
        </w:rPr>
      </w:pPr>
    </w:p>
    <w:p>
      <w:pPr>
        <w:ind w:left="180" w:right="272"/>
        <w:spacing w:after="0" w:line="258" w:lineRule="auto"/>
        <w:rPr>
          <w:sz w:val="20"/>
          <w:szCs w:val="20"/>
          <w:color w:val="auto"/>
        </w:rPr>
      </w:pPr>
      <w:r>
        <w:rPr>
          <w:rFonts w:ascii="Arial" w:cs="Arial" w:eastAsia="Arial" w:hAnsi="Arial"/>
          <w:sz w:val="14"/>
          <w:szCs w:val="14"/>
          <w:color w:val="auto"/>
        </w:rPr>
        <w:t xml:space="preserve">Audit and Finance </w:t>
      </w:r>
      <w:r>
        <w:rPr>
          <w:rFonts w:ascii="Arial" w:cs="Arial" w:eastAsia="Arial" w:hAnsi="Arial"/>
          <w:sz w:val="14"/>
          <w:szCs w:val="14"/>
          <w:i w:val="1"/>
          <w:iCs w:val="1"/>
          <w:color w:val="auto"/>
        </w:rPr>
        <w:t>— Chair</w:t>
      </w:r>
      <w:r>
        <w:rPr>
          <w:rFonts w:ascii="Arial" w:cs="Arial" w:eastAsia="Arial" w:hAnsi="Arial"/>
          <w:sz w:val="14"/>
          <w:szCs w:val="14"/>
          <w:color w:val="auto"/>
        </w:rPr>
        <w:t xml:space="preserve">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Professional Highlights:</w:t>
      </w:r>
    </w:p>
    <w:p>
      <w:pPr>
        <w:spacing w:after="0" w:line="19" w:lineRule="exact"/>
        <w:rPr>
          <w:sz w:val="20"/>
          <w:szCs w:val="20"/>
          <w:color w:val="auto"/>
        </w:rPr>
      </w:pPr>
    </w:p>
    <w:p>
      <w:pPr>
        <w:ind w:left="8" w:hanging="8"/>
        <w:spacing w:after="0" w:line="241" w:lineRule="auto"/>
        <w:tabs>
          <w:tab w:leader="none" w:pos="171" w:val="left"/>
        </w:tabs>
        <w:numPr>
          <w:ilvl w:val="0"/>
          <w:numId w:val="20"/>
        </w:numPr>
        <w:rPr>
          <w:rFonts w:ascii="Arial" w:cs="Arial" w:eastAsia="Arial" w:hAnsi="Arial"/>
          <w:sz w:val="14"/>
          <w:szCs w:val="14"/>
          <w:color w:val="auto"/>
        </w:rPr>
      </w:pPr>
      <w:r>
        <w:rPr>
          <w:rFonts w:ascii="Arial" w:cs="Arial" w:eastAsia="Arial" w:hAnsi="Arial"/>
          <w:sz w:val="14"/>
          <w:szCs w:val="14"/>
          <w:color w:val="auto"/>
        </w:rPr>
        <w:t>Ms. Bertsch has served as Chief Financial Officer of Owens-Illinois, Inc., a Fortune 500 manufacturer of glass and packaging products, since November 2015.</w:t>
      </w:r>
    </w:p>
    <w:p>
      <w:pPr>
        <w:spacing w:after="0" w:line="1" w:lineRule="exact"/>
        <w:rPr>
          <w:rFonts w:ascii="Arial" w:cs="Arial" w:eastAsia="Arial" w:hAnsi="Arial"/>
          <w:sz w:val="14"/>
          <w:szCs w:val="14"/>
          <w:color w:val="auto"/>
        </w:rPr>
      </w:pPr>
    </w:p>
    <w:p>
      <w:pPr>
        <w:ind w:left="8" w:right="540" w:hanging="8"/>
        <w:spacing w:after="0" w:line="241" w:lineRule="auto"/>
        <w:tabs>
          <w:tab w:leader="none" w:pos="171" w:val="left"/>
        </w:tabs>
        <w:numPr>
          <w:ilvl w:val="0"/>
          <w:numId w:val="20"/>
        </w:numPr>
        <w:rPr>
          <w:rFonts w:ascii="Arial" w:cs="Arial" w:eastAsia="Arial" w:hAnsi="Arial"/>
          <w:sz w:val="14"/>
          <w:szCs w:val="14"/>
          <w:color w:val="auto"/>
        </w:rPr>
      </w:pPr>
      <w:r>
        <w:rPr>
          <w:rFonts w:ascii="Arial" w:cs="Arial" w:eastAsia="Arial" w:hAnsi="Arial"/>
          <w:sz w:val="14"/>
          <w:szCs w:val="14"/>
          <w:color w:val="auto"/>
        </w:rPr>
        <w:t>Previously, Ms. Bertsch served as the Executive Vice President and Chief Financial Officer of Sigma-Aldrich Corporation, a leading life science and high technology company, from March 2012 to October 2015.</w:t>
      </w:r>
    </w:p>
    <w:p>
      <w:pPr>
        <w:spacing w:after="0" w:line="1" w:lineRule="exact"/>
        <w:rPr>
          <w:rFonts w:ascii="Arial" w:cs="Arial" w:eastAsia="Arial" w:hAnsi="Arial"/>
          <w:sz w:val="14"/>
          <w:szCs w:val="14"/>
          <w:color w:val="auto"/>
        </w:rPr>
      </w:pPr>
    </w:p>
    <w:p>
      <w:pPr>
        <w:ind w:left="8" w:right="280" w:hanging="8"/>
        <w:spacing w:after="0" w:line="258" w:lineRule="auto"/>
        <w:tabs>
          <w:tab w:leader="none" w:pos="171" w:val="left"/>
        </w:tabs>
        <w:numPr>
          <w:ilvl w:val="0"/>
          <w:numId w:val="20"/>
        </w:numPr>
        <w:rPr>
          <w:rFonts w:ascii="Arial" w:cs="Arial" w:eastAsia="Arial" w:hAnsi="Arial"/>
          <w:sz w:val="14"/>
          <w:szCs w:val="14"/>
          <w:color w:val="auto"/>
        </w:rPr>
      </w:pPr>
      <w:r>
        <w:rPr>
          <w:rFonts w:ascii="Arial" w:cs="Arial" w:eastAsia="Arial" w:hAnsi="Arial"/>
          <w:sz w:val="14"/>
          <w:szCs w:val="14"/>
          <w:color w:val="auto"/>
        </w:rPr>
        <w:t>Before joining Sigma-Aldrich, Ms. Bertsch served as Vice President, Controller and Principal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80"/>
        <w:spacing w:after="0" w:line="241" w:lineRule="auto"/>
        <w:rPr>
          <w:sz w:val="20"/>
          <w:szCs w:val="20"/>
          <w:color w:val="auto"/>
        </w:rPr>
      </w:pPr>
      <w:r>
        <w:rPr>
          <w:rFonts w:ascii="Arial" w:cs="Arial" w:eastAsia="Arial" w:hAnsi="Arial"/>
          <w:sz w:val="14"/>
          <w:szCs w:val="14"/>
          <w:color w:val="auto"/>
        </w:rPr>
        <w:t>Accounting Officer of Borg Warner, Inc., from August 2011 to February 2012 and as Vice President and Treasurer from December 2009 to July 2011.</w:t>
      </w:r>
    </w:p>
    <w:p>
      <w:pPr>
        <w:spacing w:after="0" w:line="1" w:lineRule="exact"/>
        <w:rPr>
          <w:sz w:val="20"/>
          <w:szCs w:val="20"/>
          <w:color w:val="auto"/>
        </w:rPr>
      </w:pPr>
    </w:p>
    <w:p>
      <w:pPr>
        <w:ind w:left="-160" w:right="100" w:firstLine="162"/>
        <w:spacing w:after="0" w:line="241" w:lineRule="auto"/>
        <w:tabs>
          <w:tab w:leader="none" w:pos="164" w:val="left"/>
        </w:tabs>
        <w:numPr>
          <w:ilvl w:val="0"/>
          <w:numId w:val="21"/>
        </w:numPr>
        <w:rPr>
          <w:rFonts w:ascii="Arial" w:cs="Arial" w:eastAsia="Arial" w:hAnsi="Arial"/>
          <w:sz w:val="14"/>
          <w:szCs w:val="14"/>
          <w:color w:val="auto"/>
        </w:rPr>
      </w:pPr>
      <w:r>
        <w:rPr>
          <w:rFonts w:ascii="Arial" w:cs="Arial" w:eastAsia="Arial" w:hAnsi="Arial"/>
          <w:sz w:val="14"/>
          <w:szCs w:val="14"/>
          <w:color w:val="auto"/>
        </w:rPr>
        <w:t>Prior to that, Ms. Bertsch spent several years as Senior Vice President, Treasurer and Chief Information Officer for Chrysler Group, LLC, and Chrysler LLC, where she worked proactively with a number of constituents to determine a solution to Chrysler’s long-term viability.</w:t>
      </w:r>
    </w:p>
    <w:p>
      <w:pPr>
        <w:spacing w:after="0" w:line="1" w:lineRule="exact"/>
        <w:rPr>
          <w:rFonts w:ascii="Arial" w:cs="Arial" w:eastAsia="Arial" w:hAnsi="Arial"/>
          <w:sz w:val="14"/>
          <w:szCs w:val="14"/>
          <w:color w:val="auto"/>
        </w:rPr>
      </w:pPr>
    </w:p>
    <w:p>
      <w:pPr>
        <w:ind w:left="-160" w:right="500" w:firstLine="162"/>
        <w:spacing w:after="0" w:line="258" w:lineRule="auto"/>
        <w:tabs>
          <w:tab w:leader="none" w:pos="164" w:val="left"/>
        </w:tabs>
        <w:numPr>
          <w:ilvl w:val="0"/>
          <w:numId w:val="21"/>
        </w:numPr>
        <w:rPr>
          <w:rFonts w:ascii="Arial" w:cs="Arial" w:eastAsia="Arial" w:hAnsi="Arial"/>
          <w:sz w:val="14"/>
          <w:szCs w:val="14"/>
          <w:color w:val="auto"/>
        </w:rPr>
      </w:pPr>
      <w:r>
        <w:rPr>
          <w:rFonts w:ascii="Arial" w:cs="Arial" w:eastAsia="Arial" w:hAnsi="Arial"/>
          <w:sz w:val="14"/>
          <w:szCs w:val="14"/>
          <w:color w:val="auto"/>
        </w:rPr>
        <w:t>Ms. Bertsch has served as a member of the Board of Directors of Meritor, Inc. since September 2016.</w:t>
      </w:r>
    </w:p>
    <w:p>
      <w:pPr>
        <w:spacing w:after="0" w:line="335" w:lineRule="exact"/>
        <w:rPr>
          <w:sz w:val="20"/>
          <w:szCs w:val="20"/>
          <w:color w:val="auto"/>
        </w:rPr>
      </w:pPr>
    </w:p>
    <w:p>
      <w:pPr>
        <w:sectPr>
          <w:pgSz w:w="11900" w:h="16838" w:orient="portrait"/>
          <w:cols w:equalWidth="0" w:num="3">
            <w:col w:w="2192" w:space="720"/>
            <w:col w:w="4088" w:space="380"/>
            <w:col w:w="4040"/>
          </w:cols>
          <w:pgMar w:left="240" w:top="125" w:right="239" w:bottom="1440" w:gutter="0" w:footer="0" w:header="0"/>
          <w:type w:val="continuous"/>
        </w:sectPr>
      </w:pPr>
    </w:p>
    <w:p>
      <w:pPr>
        <w:spacing w:after="0" w:line="111" w:lineRule="exact"/>
        <w:rPr>
          <w:sz w:val="20"/>
          <w:szCs w:val="20"/>
          <w:color w:val="auto"/>
        </w:rPr>
      </w:pPr>
    </w:p>
    <w:p>
      <w:pPr>
        <w:ind w:left="2920"/>
        <w:spacing w:after="0"/>
        <w:rPr>
          <w:sz w:val="20"/>
          <w:szCs w:val="20"/>
          <w:color w:val="auto"/>
        </w:rPr>
      </w:pPr>
      <w:r>
        <w:rPr>
          <w:rFonts w:ascii="Arial" w:cs="Arial" w:eastAsia="Arial" w:hAnsi="Arial"/>
          <w:sz w:val="14"/>
          <w:szCs w:val="14"/>
          <w:b w:val="1"/>
          <w:bCs w:val="1"/>
          <w:color w:val="auto"/>
        </w:rPr>
        <w:t>QUALIFICATIONS, ATTRIBUTES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-15875</wp:posOffset>
            </wp:positionV>
            <wp:extent cx="1252220" cy="14833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52220" cy="1483360"/>
                    </a:xfrm>
                    <a:prstGeom prst="rect">
                      <a:avLst/>
                    </a:prstGeom>
                    <a:noFill/>
                  </pic:spPr>
                </pic:pic>
              </a:graphicData>
            </a:graphic>
          </wp:anchor>
        </w:drawing>
      </w:r>
    </w:p>
    <w:p>
      <w:pPr>
        <w:ind w:left="2920" w:right="60"/>
        <w:spacing w:after="0" w:line="258" w:lineRule="auto"/>
        <w:rPr>
          <w:sz w:val="20"/>
          <w:szCs w:val="20"/>
          <w:color w:val="auto"/>
        </w:rPr>
      </w:pPr>
      <w:r>
        <w:rPr>
          <w:rFonts w:ascii="Arial" w:cs="Arial" w:eastAsia="Arial" w:hAnsi="Arial"/>
          <w:sz w:val="14"/>
          <w:szCs w:val="14"/>
          <w:color w:val="auto"/>
        </w:rPr>
        <w:t>Mr. Jaska's leadership background with large technology and government services operations provides our Board with a key external perspective on our operations, customers and other stakeholders relevant to our businesses.</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JAMES M. JASKA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-153035</wp:posOffset>
            </wp:positionV>
            <wp:extent cx="1663700" cy="2832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63700" cy="28321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4"/>
          <w:szCs w:val="14"/>
          <w:b w:val="1"/>
          <w:bCs w:val="1"/>
          <w:color w:val="auto"/>
        </w:rPr>
        <w:t>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100330</wp:posOffset>
            </wp:positionV>
            <wp:extent cx="1663700" cy="1974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63700" cy="197485"/>
                    </a:xfrm>
                    <a:prstGeom prst="rect">
                      <a:avLst/>
                    </a:prstGeom>
                    <a:noFill/>
                  </pic:spPr>
                </pic:pic>
              </a:graphicData>
            </a:graphic>
          </wp:anchor>
        </w:drawing>
      </w:r>
    </w:p>
    <w:p>
      <w:pPr>
        <w:spacing w:after="0" w:line="251"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Director since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118110</wp:posOffset>
            </wp:positionV>
            <wp:extent cx="1663700" cy="4032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63700" cy="403225"/>
                    </a:xfrm>
                    <a:prstGeom prst="rect">
                      <a:avLst/>
                    </a:prstGeom>
                    <a:noFill/>
                  </pic:spPr>
                </pic:pic>
              </a:graphicData>
            </a:graphic>
          </wp:anchor>
        </w:drawing>
      </w:r>
    </w:p>
    <w:p>
      <w:pPr>
        <w:spacing w:after="0" w:line="224"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Committees:</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 xml:space="preserve">Governance </w:t>
      </w:r>
      <w:r>
        <w:rPr>
          <w:rFonts w:ascii="Arial" w:cs="Arial" w:eastAsia="Arial" w:hAnsi="Arial"/>
          <w:sz w:val="14"/>
          <w:szCs w:val="14"/>
          <w:i w:val="1"/>
          <w:iCs w:val="1"/>
          <w:color w:val="auto"/>
        </w:rPr>
        <w:t>— Chair</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Safety and Security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Professional Highlights:</w:t>
      </w:r>
    </w:p>
    <w:p>
      <w:pPr>
        <w:spacing w:after="0" w:line="19" w:lineRule="exact"/>
        <w:rPr>
          <w:sz w:val="20"/>
          <w:szCs w:val="20"/>
          <w:color w:val="auto"/>
        </w:rPr>
      </w:pPr>
    </w:p>
    <w:p>
      <w:pPr>
        <w:ind w:left="8" w:right="100" w:hanging="8"/>
        <w:spacing w:after="0" w:line="241" w:lineRule="auto"/>
        <w:tabs>
          <w:tab w:leader="none" w:pos="171" w:val="left"/>
        </w:tabs>
        <w:numPr>
          <w:ilvl w:val="0"/>
          <w:numId w:val="22"/>
        </w:numPr>
        <w:rPr>
          <w:rFonts w:ascii="Arial" w:cs="Arial" w:eastAsia="Arial" w:hAnsi="Arial"/>
          <w:sz w:val="14"/>
          <w:szCs w:val="14"/>
          <w:color w:val="auto"/>
        </w:rPr>
      </w:pPr>
      <w:r>
        <w:rPr>
          <w:rFonts w:ascii="Arial" w:cs="Arial" w:eastAsia="Arial" w:hAnsi="Arial"/>
          <w:sz w:val="14"/>
          <w:szCs w:val="14"/>
          <w:color w:val="auto"/>
        </w:rPr>
        <w:t>Mr. Jaska currently serves as President of Valiant Integrated Services LLC, a position he has held since January 2016.</w:t>
      </w:r>
    </w:p>
    <w:p>
      <w:pPr>
        <w:ind w:left="8" w:hanging="8"/>
        <w:spacing w:after="0" w:line="241" w:lineRule="auto"/>
        <w:tabs>
          <w:tab w:leader="none" w:pos="171" w:val="left"/>
        </w:tabs>
        <w:numPr>
          <w:ilvl w:val="0"/>
          <w:numId w:val="22"/>
        </w:numPr>
        <w:rPr>
          <w:rFonts w:ascii="Arial" w:cs="Arial" w:eastAsia="Arial" w:hAnsi="Arial"/>
          <w:sz w:val="14"/>
          <w:szCs w:val="14"/>
          <w:color w:val="auto"/>
        </w:rPr>
      </w:pPr>
      <w:r>
        <w:rPr>
          <w:rFonts w:ascii="Arial" w:cs="Arial" w:eastAsia="Arial" w:hAnsi="Arial"/>
          <w:sz w:val="14"/>
          <w:szCs w:val="14"/>
          <w:color w:val="auto"/>
        </w:rPr>
        <w:t>Previously, Mr. Jaska served in a variety of roles of increasing responsibility with AECOM (formerly AECOM Technology Corporation) over a 10-year period, including President, Government (2013-2014), President of Americas &amp; Government (2011-2013), Division Executive Vice President (2009-2011), Group Chief Executive, Government Group (2005-2009) and Consultant (2004-2005).</w:t>
      </w:r>
    </w:p>
    <w:p>
      <w:pPr>
        <w:spacing w:after="0" w:line="2" w:lineRule="exact"/>
        <w:rPr>
          <w:rFonts w:ascii="Arial" w:cs="Arial" w:eastAsia="Arial" w:hAnsi="Arial"/>
          <w:sz w:val="14"/>
          <w:szCs w:val="14"/>
          <w:color w:val="auto"/>
        </w:rPr>
      </w:pPr>
    </w:p>
    <w:p>
      <w:pPr>
        <w:ind w:left="8" w:hanging="8"/>
        <w:spacing w:after="0" w:line="245" w:lineRule="auto"/>
        <w:tabs>
          <w:tab w:leader="none" w:pos="171" w:val="left"/>
        </w:tabs>
        <w:numPr>
          <w:ilvl w:val="0"/>
          <w:numId w:val="22"/>
        </w:numPr>
        <w:rPr>
          <w:rFonts w:ascii="Arial" w:cs="Arial" w:eastAsia="Arial" w:hAnsi="Arial"/>
          <w:sz w:val="14"/>
          <w:szCs w:val="14"/>
          <w:color w:val="auto"/>
        </w:rPr>
      </w:pPr>
      <w:r>
        <w:rPr>
          <w:rFonts w:ascii="Arial" w:cs="Arial" w:eastAsia="Arial" w:hAnsi="Arial"/>
          <w:sz w:val="14"/>
          <w:szCs w:val="14"/>
          <w:color w:val="auto"/>
        </w:rPr>
        <w:t>Mr. Jaska also held several positions with Tetra Tech, Inc., a global provider of professional technical services in engineering, applied sciences, resource management and infrastructure, including President and Director (2003-2004), President, Chief Financial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140"/>
        <w:spacing w:after="0" w:line="241" w:lineRule="auto"/>
        <w:rPr>
          <w:sz w:val="20"/>
          <w:szCs w:val="20"/>
          <w:color w:val="auto"/>
        </w:rPr>
      </w:pPr>
      <w:r>
        <w:rPr>
          <w:rFonts w:ascii="Arial" w:cs="Arial" w:eastAsia="Arial" w:hAnsi="Arial"/>
          <w:sz w:val="14"/>
          <w:szCs w:val="14"/>
          <w:color w:val="auto"/>
        </w:rPr>
        <w:t>and Treasurer (2001-2003), Executive Vice President, Chief Financial Officer and Treasurer (2000-2001) and as Vice President, Chief Financial Officer and Treasurer (1994-2000).</w:t>
      </w:r>
    </w:p>
    <w:p>
      <w:pPr>
        <w:spacing w:after="0" w:line="1" w:lineRule="exact"/>
        <w:rPr>
          <w:sz w:val="20"/>
          <w:szCs w:val="20"/>
          <w:color w:val="auto"/>
        </w:rPr>
      </w:pPr>
    </w:p>
    <w:p>
      <w:pPr>
        <w:ind w:left="-160" w:right="580" w:firstLine="162"/>
        <w:spacing w:after="0" w:line="241" w:lineRule="auto"/>
        <w:tabs>
          <w:tab w:leader="none" w:pos="164" w:val="left"/>
        </w:tabs>
        <w:numPr>
          <w:ilvl w:val="0"/>
          <w:numId w:val="23"/>
        </w:numPr>
        <w:rPr>
          <w:rFonts w:ascii="Arial" w:cs="Arial" w:eastAsia="Arial" w:hAnsi="Arial"/>
          <w:sz w:val="14"/>
          <w:szCs w:val="14"/>
          <w:color w:val="auto"/>
        </w:rPr>
      </w:pPr>
      <w:r>
        <w:rPr>
          <w:rFonts w:ascii="Arial" w:cs="Arial" w:eastAsia="Arial" w:hAnsi="Arial"/>
          <w:sz w:val="14"/>
          <w:szCs w:val="14"/>
          <w:color w:val="auto"/>
        </w:rPr>
        <w:t>Mr. Jaska has also held leadership roles with Alliant Techsystems, Inc., Honeywell, Inc. and Ecolab.</w:t>
      </w:r>
    </w:p>
    <w:p>
      <w:pPr>
        <w:ind w:left="-160" w:right="220" w:firstLine="162"/>
        <w:spacing w:after="0" w:line="258" w:lineRule="auto"/>
        <w:tabs>
          <w:tab w:leader="none" w:pos="164" w:val="left"/>
        </w:tabs>
        <w:numPr>
          <w:ilvl w:val="0"/>
          <w:numId w:val="23"/>
        </w:numPr>
        <w:rPr>
          <w:rFonts w:ascii="Arial" w:cs="Arial" w:eastAsia="Arial" w:hAnsi="Arial"/>
          <w:sz w:val="14"/>
          <w:szCs w:val="14"/>
          <w:color w:val="auto"/>
        </w:rPr>
      </w:pPr>
      <w:r>
        <w:rPr>
          <w:rFonts w:ascii="Arial" w:cs="Arial" w:eastAsia="Arial" w:hAnsi="Arial"/>
          <w:sz w:val="14"/>
          <w:szCs w:val="14"/>
          <w:color w:val="auto"/>
        </w:rPr>
        <w:t>He holds a master's degree and a bachelor's degree from Western Illinois University.</w:t>
      </w:r>
    </w:p>
    <w:p>
      <w:pPr>
        <w:spacing w:after="0" w:line="1431" w:lineRule="exact"/>
        <w:rPr>
          <w:sz w:val="20"/>
          <w:szCs w:val="20"/>
          <w:color w:val="auto"/>
        </w:rPr>
      </w:pPr>
    </w:p>
    <w:p>
      <w:pPr>
        <w:sectPr>
          <w:pgSz w:w="11900" w:h="16838" w:orient="portrait"/>
          <w:cols w:equalWidth="0" w:num="3">
            <w:col w:w="2192" w:space="720"/>
            <w:col w:w="4088" w:space="380"/>
            <w:col w:w="4040"/>
          </w:cols>
          <w:pgMar w:left="240" w:top="125" w:right="239" w:bottom="1440" w:gutter="0" w:footer="0" w:header="0"/>
          <w:type w:val="continuous"/>
        </w:sectPr>
      </w:pPr>
    </w:p>
    <w:p>
      <w:pPr>
        <w:spacing w:after="0" w:line="54" w:lineRule="exact"/>
        <w:rPr>
          <w:sz w:val="20"/>
          <w:szCs w:val="20"/>
          <w:color w:val="auto"/>
        </w:rPr>
      </w:pPr>
    </w:p>
    <w:p>
      <w:pPr>
        <w:ind w:left="8260"/>
        <w:spacing w:after="0"/>
        <w:rPr>
          <w:sz w:val="20"/>
          <w:szCs w:val="20"/>
          <w:color w:val="auto"/>
        </w:rPr>
      </w:pPr>
      <w:r>
        <w:rPr>
          <w:sz w:val="1"/>
          <w:szCs w:val="1"/>
          <w:color w:val="auto"/>
        </w:rPr>
        <w:drawing>
          <wp:inline distT="0" distB="0" distL="0" distR="0">
            <wp:extent cx="488950" cy="20574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88950" cy="205740"/>
                    </a:xfrm>
                    <a:prstGeom prst="rect">
                      <a:avLst/>
                    </a:prstGeom>
                    <a:noFill/>
                    <a:ln>
                      <a:noFill/>
                    </a:ln>
                  </pic:spPr>
                </pic:pic>
              </a:graphicData>
            </a:graphic>
          </wp:inline>
        </w:drawing>
      </w:r>
      <w:r>
        <w:rPr>
          <w:rFonts w:ascii="Arial" w:cs="Arial" w:eastAsia="Arial" w:hAnsi="Arial"/>
          <w:sz w:val="17"/>
          <w:szCs w:val="17"/>
          <w:color w:val="auto"/>
        </w:rPr>
        <w:t xml:space="preserve"> 2018 PROXY STATEMENT </w:t>
      </w:r>
      <w:r>
        <w:rPr>
          <w:rFonts w:ascii="Arial" w:cs="Arial" w:eastAsia="Arial" w:hAnsi="Arial"/>
          <w:sz w:val="17"/>
          <w:szCs w:val="17"/>
          <w:b w:val="1"/>
          <w:bCs w:val="1"/>
          <w:color w:val="2C2C2C"/>
        </w:rPr>
        <w:t>5</w:t>
      </w:r>
    </w:p>
    <w:p>
      <w:pPr>
        <w:sectPr>
          <w:pgSz w:w="11900" w:h="16838" w:orient="portrait"/>
          <w:cols w:equalWidth="0" w:num="1">
            <w:col w:w="11420"/>
          </w:cols>
          <w:pgMar w:left="240" w:top="125" w:right="239" w:bottom="1440" w:gutter="0" w:footer="0" w:header="0"/>
          <w:type w:val="continuous"/>
        </w:sectPr>
      </w:pPr>
    </w:p>
    <w:bookmarkStart w:id="14" w:name="page15"/>
    <w:bookmarkEnd w:id="14"/>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7540"/>
        <w:spacing w:after="0"/>
        <w:rPr>
          <w:sz w:val="20"/>
          <w:szCs w:val="20"/>
          <w:color w:val="auto"/>
        </w:rPr>
      </w:pPr>
      <w:r>
        <w:rPr>
          <w:rFonts w:ascii="Arial" w:cs="Arial" w:eastAsia="Arial" w:hAnsi="Arial"/>
          <w:sz w:val="14"/>
          <w:szCs w:val="14"/>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2920"/>
        <w:spacing w:after="0"/>
        <w:rPr>
          <w:sz w:val="20"/>
          <w:szCs w:val="20"/>
          <w:color w:val="auto"/>
        </w:rPr>
      </w:pPr>
      <w:r>
        <w:rPr>
          <w:rFonts w:ascii="Arial" w:cs="Arial" w:eastAsia="Arial" w:hAnsi="Arial"/>
          <w:sz w:val="14"/>
          <w:szCs w:val="14"/>
          <w:b w:val="1"/>
          <w:bCs w:val="1"/>
          <w:color w:val="auto"/>
        </w:rPr>
        <w:t>QUALIFICATIONS, ATTRIBUTES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635</wp:posOffset>
            </wp:positionV>
            <wp:extent cx="1252220" cy="14833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52220" cy="1483360"/>
                    </a:xfrm>
                    <a:prstGeom prst="rect">
                      <a:avLst/>
                    </a:prstGeom>
                    <a:noFill/>
                  </pic:spPr>
                </pic:pic>
              </a:graphicData>
            </a:graphic>
          </wp:anchor>
        </w:drawing>
      </w:r>
    </w:p>
    <w:p>
      <w:pPr>
        <w:ind w:left="2920" w:right="20"/>
        <w:spacing w:after="0" w:line="250" w:lineRule="auto"/>
        <w:rPr>
          <w:sz w:val="20"/>
          <w:szCs w:val="20"/>
          <w:color w:val="auto"/>
        </w:rPr>
      </w:pPr>
      <w:r>
        <w:rPr>
          <w:rFonts w:ascii="Arial" w:cs="Arial" w:eastAsia="Arial" w:hAnsi="Arial"/>
          <w:sz w:val="14"/>
          <w:szCs w:val="14"/>
          <w:color w:val="auto"/>
        </w:rPr>
        <w:t>Mr. Krieg has significant experience overseeing major research, development and procurement programs for the U.S. Department of Defense. His background provides our Board of Directors with valuable insight into acquisition priorities and considerations of the U.S. Government, our single largest customer.</w:t>
      </w:r>
    </w:p>
    <w:p>
      <w:pPr>
        <w:sectPr>
          <w:pgSz w:w="11900" w:h="16838" w:orient="portrait"/>
          <w:cols w:equalWidth="0" w:num="1">
            <w:col w:w="11340"/>
          </w:cols>
          <w:pgMar w:left="240" w:top="12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KENNETH J. KRIEG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-170180</wp:posOffset>
            </wp:positionV>
            <wp:extent cx="1663700" cy="3003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63700" cy="30035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4"/>
          <w:szCs w:val="14"/>
          <w:b w:val="1"/>
          <w:bCs w:val="1"/>
          <w:color w:val="auto"/>
        </w:rPr>
        <w:t>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109220</wp:posOffset>
            </wp:positionV>
            <wp:extent cx="1663700" cy="205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63700" cy="205740"/>
                    </a:xfrm>
                    <a:prstGeom prst="rect">
                      <a:avLst/>
                    </a:prstGeom>
                    <a:noFill/>
                  </pic:spPr>
                </pic:pic>
              </a:graphicData>
            </a:graphic>
          </wp:anchor>
        </w:drawing>
      </w:r>
    </w:p>
    <w:p>
      <w:pPr>
        <w:spacing w:after="0" w:line="278"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Director since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118110</wp:posOffset>
            </wp:positionV>
            <wp:extent cx="1663700" cy="4286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63700" cy="428625"/>
                    </a:xfrm>
                    <a:prstGeom prst="rect">
                      <a:avLst/>
                    </a:prstGeom>
                    <a:noFill/>
                  </pic:spPr>
                </pic:pic>
              </a:graphicData>
            </a:graphic>
          </wp:anchor>
        </w:drawing>
      </w:r>
    </w:p>
    <w:p>
      <w:pPr>
        <w:spacing w:after="0" w:line="251"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Committees:</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Compensation</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auto"/>
        </w:rPr>
        <w:t>Professional Highlights:</w:t>
      </w:r>
    </w:p>
    <w:p>
      <w:pPr>
        <w:spacing w:after="0" w:line="19" w:lineRule="exact"/>
        <w:rPr>
          <w:sz w:val="20"/>
          <w:szCs w:val="20"/>
          <w:color w:val="auto"/>
        </w:rPr>
      </w:pPr>
    </w:p>
    <w:p>
      <w:pPr>
        <w:ind w:left="-154" w:right="220" w:firstLine="154"/>
        <w:spacing w:after="0" w:line="241" w:lineRule="auto"/>
        <w:tabs>
          <w:tab w:leader="none" w:pos="170" w:val="left"/>
        </w:tabs>
        <w:numPr>
          <w:ilvl w:val="0"/>
          <w:numId w:val="24"/>
        </w:numPr>
        <w:rPr>
          <w:rFonts w:ascii="Arial" w:cs="Arial" w:eastAsia="Arial" w:hAnsi="Arial"/>
          <w:sz w:val="14"/>
          <w:szCs w:val="14"/>
          <w:color w:val="auto"/>
        </w:rPr>
      </w:pPr>
      <w:r>
        <w:rPr>
          <w:rFonts w:ascii="Arial" w:cs="Arial" w:eastAsia="Arial" w:hAnsi="Arial"/>
          <w:sz w:val="14"/>
          <w:szCs w:val="14"/>
          <w:color w:val="auto"/>
        </w:rPr>
        <w:t>Mr. Krieg has served as the founder and Principal of Samford Global Strategies, a consulting practice focused on helping clients lead and manage through periods of strategic change, since 2007.</w:t>
      </w:r>
    </w:p>
    <w:p>
      <w:pPr>
        <w:spacing w:after="0" w:line="1" w:lineRule="exact"/>
        <w:rPr>
          <w:rFonts w:ascii="Arial" w:cs="Arial" w:eastAsia="Arial" w:hAnsi="Arial"/>
          <w:sz w:val="14"/>
          <w:szCs w:val="14"/>
          <w:color w:val="auto"/>
        </w:rPr>
      </w:pPr>
    </w:p>
    <w:p>
      <w:pPr>
        <w:ind w:left="-154" w:firstLine="154"/>
        <w:spacing w:after="0" w:line="243" w:lineRule="auto"/>
        <w:tabs>
          <w:tab w:leader="none" w:pos="17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Previously, Mr. Krieg served as the Under Secretary of Defense for Acquisition, Technology and Logistics from June 2005 to July 2007, in which role he was responsible for advising the Secretary of Defense on all matters relating to the Department of Defense acquisition system, research and development, advanced technology, developmental test and evaluation, production, logistics, installation management, military construction, procurement, environmental security, nuclear, chemical and biological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-1958975</wp:posOffset>
            </wp:positionH>
            <wp:positionV relativeFrom="paragraph">
              <wp:posOffset>321945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523240</wp:posOffset>
            </wp:positionV>
            <wp:extent cx="7246620" cy="2146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2" w:firstLine="162"/>
        <w:spacing w:after="0" w:line="241" w:lineRule="auto"/>
        <w:tabs>
          <w:tab w:leader="none" w:pos="162" w:val="left"/>
        </w:tabs>
        <w:numPr>
          <w:ilvl w:val="0"/>
          <w:numId w:val="25"/>
        </w:numPr>
        <w:rPr>
          <w:rFonts w:ascii="Arial" w:cs="Arial" w:eastAsia="Arial" w:hAnsi="Arial"/>
          <w:sz w:val="14"/>
          <w:szCs w:val="14"/>
          <w:color w:val="auto"/>
        </w:rPr>
      </w:pPr>
      <w:r>
        <w:rPr>
          <w:rFonts w:ascii="Arial" w:cs="Arial" w:eastAsia="Arial" w:hAnsi="Arial"/>
          <w:sz w:val="14"/>
          <w:szCs w:val="14"/>
          <w:color w:val="auto"/>
        </w:rPr>
        <w:t>Mr. Krieg has also served in a variety of U.S. Department of Defense roles, including as Special Assistant to the Secretary and Director for Program Analysis &amp; Evaluation and Executive Secretary of the Senior Executive Council, and served as Vice President and General Manager of International Paper Realty Inc.</w:t>
      </w:r>
    </w:p>
    <w:p>
      <w:pPr>
        <w:spacing w:after="0" w:line="164" w:lineRule="exact"/>
        <w:rPr>
          <w:rFonts w:ascii="Arial" w:cs="Arial" w:eastAsia="Arial" w:hAnsi="Arial"/>
          <w:sz w:val="14"/>
          <w:szCs w:val="14"/>
          <w:color w:val="auto"/>
        </w:rPr>
      </w:pPr>
    </w:p>
    <w:p>
      <w:pPr>
        <w:ind w:left="-162" w:right="20" w:firstLine="162"/>
        <w:spacing w:after="0" w:line="241" w:lineRule="auto"/>
        <w:tabs>
          <w:tab w:leader="none" w:pos="162" w:val="left"/>
        </w:tabs>
        <w:numPr>
          <w:ilvl w:val="0"/>
          <w:numId w:val="25"/>
        </w:numPr>
        <w:rPr>
          <w:rFonts w:ascii="Arial" w:cs="Arial" w:eastAsia="Arial" w:hAnsi="Arial"/>
          <w:sz w:val="14"/>
          <w:szCs w:val="14"/>
          <w:color w:val="auto"/>
        </w:rPr>
      </w:pPr>
      <w:r>
        <w:rPr>
          <w:rFonts w:ascii="Arial" w:cs="Arial" w:eastAsia="Arial" w:hAnsi="Arial"/>
          <w:sz w:val="14"/>
          <w:szCs w:val="14"/>
          <w:color w:val="auto"/>
        </w:rPr>
        <w:t>Mr. Krieg also worked in a number of defense and foreign policy assignments in Washington, DC, including positions at the White House, on the National Security Council Staff, and in the Office of the Secretary of Defense.</w:t>
      </w:r>
    </w:p>
    <w:p>
      <w:pPr>
        <w:spacing w:after="0" w:line="1" w:lineRule="exact"/>
        <w:rPr>
          <w:rFonts w:ascii="Arial" w:cs="Arial" w:eastAsia="Arial" w:hAnsi="Arial"/>
          <w:sz w:val="14"/>
          <w:szCs w:val="14"/>
          <w:color w:val="auto"/>
        </w:rPr>
      </w:pPr>
    </w:p>
    <w:p>
      <w:pPr>
        <w:ind w:left="-162" w:right="60" w:firstLine="162"/>
        <w:spacing w:after="0" w:line="247" w:lineRule="auto"/>
        <w:tabs>
          <w:tab w:leader="none" w:pos="162" w:val="left"/>
        </w:tabs>
        <w:numPr>
          <w:ilvl w:val="0"/>
          <w:numId w:val="25"/>
        </w:numPr>
        <w:rPr>
          <w:rFonts w:ascii="Arial" w:cs="Arial" w:eastAsia="Arial" w:hAnsi="Arial"/>
          <w:sz w:val="14"/>
          <w:szCs w:val="14"/>
          <w:color w:val="auto"/>
        </w:rPr>
      </w:pPr>
      <w:r>
        <w:rPr>
          <w:rFonts w:ascii="Arial" w:cs="Arial" w:eastAsia="Arial" w:hAnsi="Arial"/>
          <w:sz w:val="14"/>
          <w:szCs w:val="14"/>
          <w:color w:val="auto"/>
        </w:rPr>
        <w:t>He served on the Board of Directors of Tempus Applied Solutions Holdings, Inc. from April 2014 to December 2016, and on the Board of Directors of API Technologies, Inc. from August 2011 to April 2016.</w:t>
      </w:r>
    </w:p>
    <w:p>
      <w:pPr>
        <w:spacing w:after="0" w:line="224" w:lineRule="exact"/>
        <w:rPr>
          <w:sz w:val="20"/>
          <w:szCs w:val="20"/>
          <w:color w:val="auto"/>
        </w:rPr>
      </w:pPr>
    </w:p>
    <w:p>
      <w:pPr>
        <w:sectPr>
          <w:pgSz w:w="11900" w:h="16838" w:orient="portrait"/>
          <w:cols w:equalWidth="0" w:num="3">
            <w:col w:w="2354" w:space="720"/>
            <w:col w:w="3906" w:space="402"/>
            <w:col w:w="3958"/>
          </w:cols>
          <w:pgMar w:left="240" w:top="125" w:right="319" w:bottom="1440" w:gutter="0" w:footer="0" w:header="0"/>
          <w:type w:val="continuous"/>
        </w:sectPr>
      </w:pPr>
    </w:p>
    <w:p>
      <w:pPr>
        <w:spacing w:after="0" w:line="200" w:lineRule="exact"/>
        <w:rPr>
          <w:sz w:val="20"/>
          <w:szCs w:val="20"/>
          <w:color w:val="auto"/>
        </w:rPr>
      </w:pPr>
    </w:p>
    <w:p>
      <w:pPr>
        <w:spacing w:after="0" w:line="34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Our Board recommends that stockholders vote “FOR” the nominees named above.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2C2C2C"/>
        </w:rPr>
        <w:t xml:space="preserve">6 </w:t>
      </w:r>
      <w:r>
        <w:rPr>
          <w:sz w:val="1"/>
          <w:szCs w:val="1"/>
          <w:color w:val="auto"/>
        </w:rPr>
        <w:drawing>
          <wp:inline distT="0" distB="0" distL="0" distR="0">
            <wp:extent cx="445770" cy="18034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45770" cy="180340"/>
                    </a:xfrm>
                    <a:prstGeom prst="rect">
                      <a:avLst/>
                    </a:prstGeom>
                    <a:noFill/>
                    <a:ln>
                      <a:noFill/>
                    </a:ln>
                  </pic:spPr>
                </pic:pic>
              </a:graphicData>
            </a:graphic>
          </wp:inline>
        </w:drawing>
      </w:r>
      <w:r>
        <w:rPr>
          <w:rFonts w:ascii="Arial" w:cs="Arial" w:eastAsia="Arial" w:hAnsi="Arial"/>
          <w:sz w:val="18"/>
          <w:szCs w:val="18"/>
          <w:color w:val="auto"/>
        </w:rPr>
        <w:t xml:space="preserve"> 2018 PROXY STATEMENT</w:t>
      </w:r>
    </w:p>
    <w:p>
      <w:pPr>
        <w:sectPr>
          <w:pgSz w:w="11900" w:h="16838" w:orient="portrait"/>
          <w:cols w:equalWidth="0" w:num="1">
            <w:col w:w="11340"/>
          </w:cols>
          <w:pgMar w:left="240" w:top="125" w:right="319" w:bottom="1440" w:gutter="0" w:footer="0" w:header="0"/>
          <w:type w:val="continuous"/>
        </w:sectPr>
      </w:pPr>
    </w:p>
    <w:bookmarkStart w:id="15" w:name="page16"/>
    <w:bookmarkEnd w:id="15"/>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960"/>
        <w:spacing w:after="0"/>
        <w:rPr>
          <w:sz w:val="20"/>
          <w:szCs w:val="20"/>
          <w:color w:val="auto"/>
        </w:rPr>
      </w:pPr>
      <w:r>
        <w:rPr>
          <w:rFonts w:ascii="Arial" w:cs="Arial" w:eastAsia="Arial" w:hAnsi="Arial"/>
          <w:sz w:val="14"/>
          <w:szCs w:val="14"/>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DIRECTORS</w:t>
      </w:r>
    </w:p>
    <w:p>
      <w:pPr>
        <w:spacing w:after="0" w:line="181" w:lineRule="exact"/>
        <w:rPr>
          <w:sz w:val="20"/>
          <w:szCs w:val="20"/>
          <w:color w:val="auto"/>
        </w:rPr>
      </w:pPr>
    </w:p>
    <w:p>
      <w:pPr>
        <w:ind w:left="2920"/>
        <w:spacing w:after="0"/>
        <w:rPr>
          <w:sz w:val="20"/>
          <w:szCs w:val="20"/>
          <w:color w:val="auto"/>
        </w:rPr>
      </w:pPr>
      <w:r>
        <w:rPr>
          <w:rFonts w:ascii="Arial" w:cs="Arial" w:eastAsia="Arial" w:hAnsi="Arial"/>
          <w:sz w:val="14"/>
          <w:szCs w:val="14"/>
          <w:b w:val="1"/>
          <w:bCs w:val="1"/>
          <w:color w:val="auto"/>
        </w:rPr>
        <w:t>QUALIFICATIONS, ATTRIBUTES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-93345</wp:posOffset>
            </wp:positionV>
            <wp:extent cx="1277620" cy="1509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7620" cy="1509395"/>
                    </a:xfrm>
                    <a:prstGeom prst="rect">
                      <a:avLst/>
                    </a:prstGeom>
                    <a:noFill/>
                  </pic:spPr>
                </pic:pic>
              </a:graphicData>
            </a:graphic>
          </wp:anchor>
        </w:drawing>
      </w:r>
    </w:p>
    <w:p>
      <w:pPr>
        <w:ind w:left="2920" w:right="60"/>
        <w:spacing w:after="0" w:line="250" w:lineRule="auto"/>
        <w:rPr>
          <w:sz w:val="20"/>
          <w:szCs w:val="20"/>
          <w:color w:val="auto"/>
        </w:rPr>
      </w:pPr>
      <w:r>
        <w:rPr>
          <w:rFonts w:ascii="Arial" w:cs="Arial" w:eastAsia="Arial" w:hAnsi="Arial"/>
          <w:sz w:val="14"/>
          <w:szCs w:val="14"/>
          <w:color w:val="auto"/>
        </w:rPr>
        <w:t>Mr. Geveden has extensive leadership and technical experience overseeing commercial manufacturing operations for publicly traded companies and high-consequence technology programs for the U.S. government. This experience, combined with his strategic vision, make him a valuable contributor to our Board of Directors.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REX D. GEVEDEN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-170180</wp:posOffset>
            </wp:positionV>
            <wp:extent cx="1663700" cy="3003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63700" cy="30035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4"/>
          <w:szCs w:val="14"/>
          <w:b w:val="1"/>
          <w:bCs w:val="1"/>
          <w:color w:val="auto"/>
        </w:rPr>
        <w:t>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100330</wp:posOffset>
            </wp:positionV>
            <wp:extent cx="1663700" cy="1974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63700" cy="197485"/>
                    </a:xfrm>
                    <a:prstGeom prst="rect">
                      <a:avLst/>
                    </a:prstGeom>
                    <a:noFill/>
                  </pic:spPr>
                </pic:pic>
              </a:graphicData>
            </a:graphic>
          </wp:anchor>
        </w:drawing>
      </w:r>
    </w:p>
    <w:p>
      <w:pPr>
        <w:spacing w:after="0" w:line="251"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Director since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109220</wp:posOffset>
            </wp:positionV>
            <wp:extent cx="1663700" cy="3943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63700" cy="394335"/>
                    </a:xfrm>
                    <a:prstGeom prst="rect">
                      <a:avLst/>
                    </a:prstGeom>
                    <a:noFill/>
                  </pic:spPr>
                </pic:pic>
              </a:graphicData>
            </a:graphic>
          </wp:anchor>
        </w:drawing>
      </w:r>
    </w:p>
    <w:p>
      <w:pPr>
        <w:spacing w:after="0" w:line="26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President, Chief</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Executive Officer</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and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Professional Highlights:</w:t>
      </w:r>
    </w:p>
    <w:p>
      <w:pPr>
        <w:spacing w:after="0" w:line="19" w:lineRule="exact"/>
        <w:rPr>
          <w:sz w:val="20"/>
          <w:szCs w:val="20"/>
          <w:color w:val="auto"/>
        </w:rPr>
      </w:pPr>
    </w:p>
    <w:p>
      <w:pPr>
        <w:ind w:left="8" w:right="20" w:hanging="8"/>
        <w:spacing w:after="0" w:line="241" w:lineRule="auto"/>
        <w:tabs>
          <w:tab w:leader="none" w:pos="171" w:val="left"/>
        </w:tabs>
        <w:numPr>
          <w:ilvl w:val="0"/>
          <w:numId w:val="26"/>
        </w:numPr>
        <w:rPr>
          <w:rFonts w:ascii="Arial" w:cs="Arial" w:eastAsia="Arial" w:hAnsi="Arial"/>
          <w:sz w:val="14"/>
          <w:szCs w:val="14"/>
          <w:color w:val="auto"/>
        </w:rPr>
      </w:pPr>
      <w:r>
        <w:rPr>
          <w:rFonts w:ascii="Arial" w:cs="Arial" w:eastAsia="Arial" w:hAnsi="Arial"/>
          <w:sz w:val="14"/>
          <w:szCs w:val="14"/>
          <w:color w:val="auto"/>
        </w:rPr>
        <w:t>Mr. Geveden currently serves as President and Chief Executive Officer since January 1, 2017, and also served as our Chief Operating Officer from October 2015 until December 2016.</w:t>
      </w:r>
    </w:p>
    <w:p>
      <w:pPr>
        <w:spacing w:after="0" w:line="1" w:lineRule="exact"/>
        <w:rPr>
          <w:rFonts w:ascii="Arial" w:cs="Arial" w:eastAsia="Arial" w:hAnsi="Arial"/>
          <w:sz w:val="14"/>
          <w:szCs w:val="14"/>
          <w:color w:val="auto"/>
        </w:rPr>
      </w:pPr>
    </w:p>
    <w:p>
      <w:pPr>
        <w:ind w:left="8" w:hanging="8"/>
        <w:spacing w:after="0" w:line="243" w:lineRule="auto"/>
        <w:tabs>
          <w:tab w:leader="none" w:pos="171" w:val="left"/>
        </w:tabs>
        <w:numPr>
          <w:ilvl w:val="0"/>
          <w:numId w:val="26"/>
        </w:numPr>
        <w:rPr>
          <w:rFonts w:ascii="Arial" w:cs="Arial" w:eastAsia="Arial" w:hAnsi="Arial"/>
          <w:sz w:val="14"/>
          <w:szCs w:val="14"/>
          <w:color w:val="auto"/>
        </w:rPr>
      </w:pPr>
      <w:r>
        <w:rPr>
          <w:rFonts w:ascii="Arial" w:cs="Arial" w:eastAsia="Arial" w:hAnsi="Arial"/>
          <w:sz w:val="14"/>
          <w:szCs w:val="14"/>
          <w:color w:val="auto"/>
        </w:rPr>
        <w:t>Previously, Mr. Geveden was Executive Vice President at Teledyne Technologies Incorporated ("Teledyne"), a provider of electronic subsystems and instrumentation for aerospace, defense and other uses. There he led two of Teledyne's four operating segments since 2013, and concurrently served as President of Teledyne DALSA, Inc., a Teledyne subsidiary, since 2014. Mr. Geveden also served as President and Chief Executive Officer of Teledyne Scientific and Imaging, LLC (2011 to 2013) and President of both Teledyne Brown Engineering, Inc. and Teledyne's Engineered Systems Segment (2007 to 2011).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62" w:right="100" w:firstLine="162"/>
        <w:spacing w:after="0" w:line="241" w:lineRule="auto"/>
        <w:tabs>
          <w:tab w:leader="none" w:pos="162" w:val="left"/>
        </w:tabs>
        <w:numPr>
          <w:ilvl w:val="0"/>
          <w:numId w:val="27"/>
        </w:numPr>
        <w:rPr>
          <w:rFonts w:ascii="Arial" w:cs="Arial" w:eastAsia="Arial" w:hAnsi="Arial"/>
          <w:sz w:val="14"/>
          <w:szCs w:val="14"/>
          <w:color w:val="auto"/>
        </w:rPr>
      </w:pPr>
      <w:r>
        <w:rPr>
          <w:rFonts w:ascii="Arial" w:cs="Arial" w:eastAsia="Arial" w:hAnsi="Arial"/>
          <w:sz w:val="14"/>
          <w:szCs w:val="14"/>
          <w:color w:val="auto"/>
        </w:rPr>
        <w:t>Mr. Geveden is a former Associate Administrator of the National Aeronautics and Space Administration ("NASA"), where he was responsible for all technical operations within the agency's $16 billion portfolio and served in various other positions with NASA in a career spanning 17 years.</w:t>
      </w:r>
    </w:p>
    <w:p>
      <w:pPr>
        <w:spacing w:after="0" w:line="1" w:lineRule="exact"/>
        <w:rPr>
          <w:rFonts w:ascii="Arial" w:cs="Arial" w:eastAsia="Arial" w:hAnsi="Arial"/>
          <w:sz w:val="14"/>
          <w:szCs w:val="14"/>
          <w:color w:val="auto"/>
        </w:rPr>
      </w:pPr>
    </w:p>
    <w:p>
      <w:pPr>
        <w:ind w:left="-162" w:right="140" w:firstLine="162"/>
        <w:spacing w:after="0" w:line="258" w:lineRule="auto"/>
        <w:tabs>
          <w:tab w:leader="none" w:pos="162" w:val="left"/>
        </w:tabs>
        <w:numPr>
          <w:ilvl w:val="0"/>
          <w:numId w:val="27"/>
        </w:numPr>
        <w:rPr>
          <w:rFonts w:ascii="Arial" w:cs="Arial" w:eastAsia="Arial" w:hAnsi="Arial"/>
          <w:sz w:val="14"/>
          <w:szCs w:val="14"/>
          <w:color w:val="auto"/>
        </w:rPr>
      </w:pPr>
      <w:r>
        <w:rPr>
          <w:rFonts w:ascii="Arial" w:cs="Arial" w:eastAsia="Arial" w:hAnsi="Arial"/>
          <w:sz w:val="14"/>
          <w:szCs w:val="14"/>
          <w:color w:val="auto"/>
        </w:rPr>
        <w:t>Mr. Geveden has been nominated to serve on the board of directors of TTM Technologies, Inc.</w:t>
      </w:r>
    </w:p>
    <w:p>
      <w:pPr>
        <w:spacing w:after="0" w:line="1175" w:lineRule="exact"/>
        <w:rPr>
          <w:sz w:val="20"/>
          <w:szCs w:val="20"/>
          <w:color w:val="auto"/>
        </w:rPr>
      </w:pPr>
    </w:p>
    <w:p>
      <w:pPr>
        <w:sectPr>
          <w:pgSz w:w="11900" w:h="16838" w:orient="portrait"/>
          <w:cols w:equalWidth="0" w:num="3">
            <w:col w:w="2192" w:space="720"/>
            <w:col w:w="4128" w:space="342"/>
            <w:col w:w="4038"/>
          </w:cols>
          <w:pgMar w:left="240" w:top="125" w:right="239" w:bottom="1440" w:gutter="0" w:footer="0" w:header="0"/>
          <w:type w:val="continuous"/>
        </w:sectPr>
      </w:pPr>
    </w:p>
    <w:p>
      <w:pPr>
        <w:ind w:left="2920"/>
        <w:spacing w:after="0"/>
        <w:rPr>
          <w:sz w:val="20"/>
          <w:szCs w:val="20"/>
          <w:color w:val="auto"/>
        </w:rPr>
      </w:pPr>
      <w:r>
        <w:rPr>
          <w:rFonts w:ascii="Arial" w:cs="Arial" w:eastAsia="Arial" w:hAnsi="Arial"/>
          <w:sz w:val="14"/>
          <w:szCs w:val="14"/>
          <w:b w:val="1"/>
          <w:bCs w:val="1"/>
          <w:color w:val="auto"/>
        </w:rPr>
        <w:t>QUALIFICATIONS, ATTRIBUTES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-93345</wp:posOffset>
            </wp:positionV>
            <wp:extent cx="1243330" cy="14751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43330" cy="1475105"/>
                    </a:xfrm>
                    <a:prstGeom prst="rect">
                      <a:avLst/>
                    </a:prstGeom>
                    <a:noFill/>
                  </pic:spPr>
                </pic:pic>
              </a:graphicData>
            </a:graphic>
          </wp:anchor>
        </w:drawing>
      </w:r>
    </w:p>
    <w:p>
      <w:pPr>
        <w:ind w:left="2920" w:right="380"/>
        <w:spacing w:after="0" w:line="250" w:lineRule="auto"/>
        <w:rPr>
          <w:sz w:val="20"/>
          <w:szCs w:val="20"/>
          <w:color w:val="auto"/>
        </w:rPr>
      </w:pPr>
      <w:r>
        <w:rPr>
          <w:rFonts w:ascii="Arial" w:cs="Arial" w:eastAsia="Arial" w:hAnsi="Arial"/>
          <w:sz w:val="14"/>
          <w:szCs w:val="14"/>
          <w:color w:val="auto"/>
        </w:rPr>
        <w:t>Mr. Nardelli has over 40 years of global operating and financial experience, including with large publicly traded manufacturing companies. This experience combined with his past service on the board of directors of several other publicly traded companies provides a meaningful perspective to our Board.</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80" w:right="472"/>
        <w:spacing w:after="0" w:line="285" w:lineRule="auto"/>
        <w:rPr>
          <w:sz w:val="20"/>
          <w:szCs w:val="20"/>
          <w:color w:val="auto"/>
        </w:rPr>
      </w:pPr>
      <w:r>
        <w:rPr>
          <w:rFonts w:ascii="Arial" w:cs="Arial" w:eastAsia="Arial" w:hAnsi="Arial"/>
          <w:sz w:val="14"/>
          <w:szCs w:val="14"/>
          <w:b w:val="1"/>
          <w:bCs w:val="1"/>
          <w:color w:val="auto"/>
        </w:rPr>
        <w:t>ROBERT L. NARDELLI 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-276860</wp:posOffset>
            </wp:positionV>
            <wp:extent cx="1663700" cy="2660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63700" cy="26606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66040</wp:posOffset>
            </wp:positionV>
            <wp:extent cx="166370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63700" cy="171450"/>
                    </a:xfrm>
                    <a:prstGeom prst="rect">
                      <a:avLst/>
                    </a:prstGeom>
                    <a:noFill/>
                  </pic:spPr>
                </pic:pic>
              </a:graphicData>
            </a:graphic>
          </wp:anchor>
        </w:drawing>
      </w:r>
    </w:p>
    <w:p>
      <w:pPr>
        <w:spacing w:after="0" w:line="155"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Director since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100965</wp:posOffset>
            </wp:positionV>
            <wp:extent cx="1663700" cy="3429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63700" cy="342900"/>
                    </a:xfrm>
                    <a:prstGeom prst="rect">
                      <a:avLst/>
                    </a:prstGeom>
                    <a:noFill/>
                  </pic:spPr>
                </pic:pic>
              </a:graphicData>
            </a:graphic>
          </wp:anchor>
        </w:drawing>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Committees:</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Audit and Finance</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Safety and Security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Professional Highlights:</w:t>
      </w:r>
    </w:p>
    <w:p>
      <w:pPr>
        <w:spacing w:after="0" w:line="19" w:lineRule="exact"/>
        <w:rPr>
          <w:sz w:val="20"/>
          <w:szCs w:val="20"/>
          <w:color w:val="auto"/>
        </w:rPr>
      </w:pPr>
    </w:p>
    <w:p>
      <w:pPr>
        <w:ind w:left="8" w:right="100" w:hanging="8"/>
        <w:spacing w:after="0" w:line="241" w:lineRule="auto"/>
        <w:tabs>
          <w:tab w:leader="none" w:pos="171" w:val="left"/>
        </w:tabs>
        <w:numPr>
          <w:ilvl w:val="0"/>
          <w:numId w:val="28"/>
        </w:numPr>
        <w:rPr>
          <w:rFonts w:ascii="Arial" w:cs="Arial" w:eastAsia="Arial" w:hAnsi="Arial"/>
          <w:sz w:val="14"/>
          <w:szCs w:val="14"/>
          <w:color w:val="auto"/>
        </w:rPr>
      </w:pPr>
      <w:r>
        <w:rPr>
          <w:rFonts w:ascii="Arial" w:cs="Arial" w:eastAsia="Arial" w:hAnsi="Arial"/>
          <w:sz w:val="14"/>
          <w:szCs w:val="14"/>
          <w:color w:val="auto"/>
        </w:rPr>
        <w:t>Mr. Nardelli is the Founder and CEO of XLR-8, LLC, an investment and consulting company, which he formed in 2012.</w:t>
      </w:r>
    </w:p>
    <w:p>
      <w:pPr>
        <w:ind w:left="8" w:hanging="8"/>
        <w:spacing w:after="0" w:line="241" w:lineRule="auto"/>
        <w:tabs>
          <w:tab w:leader="none" w:pos="171" w:val="left"/>
        </w:tabs>
        <w:numPr>
          <w:ilvl w:val="0"/>
          <w:numId w:val="28"/>
        </w:numPr>
        <w:rPr>
          <w:rFonts w:ascii="Arial" w:cs="Arial" w:eastAsia="Arial" w:hAnsi="Arial"/>
          <w:sz w:val="14"/>
          <w:szCs w:val="14"/>
          <w:color w:val="auto"/>
        </w:rPr>
      </w:pPr>
      <w:r>
        <w:rPr>
          <w:rFonts w:ascii="Arial" w:cs="Arial" w:eastAsia="Arial" w:hAnsi="Arial"/>
          <w:sz w:val="14"/>
          <w:szCs w:val="14"/>
          <w:color w:val="auto"/>
        </w:rPr>
        <w:t>He has also served as a Senior Advisor at Emigrant Savings Bank since August 2015, and formerly served as Senior Advisor to the founder of Cerberus Capital Management, L.P.</w:t>
      </w:r>
    </w:p>
    <w:p>
      <w:pPr>
        <w:spacing w:after="0" w:line="1" w:lineRule="exact"/>
        <w:rPr>
          <w:rFonts w:ascii="Arial" w:cs="Arial" w:eastAsia="Arial" w:hAnsi="Arial"/>
          <w:sz w:val="14"/>
          <w:szCs w:val="14"/>
          <w:color w:val="auto"/>
        </w:rPr>
      </w:pPr>
    </w:p>
    <w:p>
      <w:pPr>
        <w:ind w:left="8" w:right="40"/>
        <w:spacing w:after="0" w:line="250" w:lineRule="auto"/>
        <w:rPr>
          <w:rFonts w:ascii="Arial" w:cs="Arial" w:eastAsia="Arial" w:hAnsi="Arial"/>
          <w:sz w:val="14"/>
          <w:szCs w:val="14"/>
          <w:color w:val="auto"/>
        </w:rPr>
      </w:pPr>
      <w:r>
        <w:rPr>
          <w:rFonts w:ascii="Arial" w:cs="Arial" w:eastAsia="Arial" w:hAnsi="Arial"/>
          <w:sz w:val="14"/>
          <w:szCs w:val="14"/>
          <w:color w:val="auto"/>
        </w:rPr>
        <w:t>(“Cerberus”), a private equity firm, and held several senior positions with Cerberus and Cerberus Operations and Advisory Company, LLC from 2007 to August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62" w:right="140" w:firstLine="162"/>
        <w:spacing w:after="0" w:line="241" w:lineRule="auto"/>
        <w:tabs>
          <w:tab w:leader="none" w:pos="162" w:val="left"/>
        </w:tabs>
        <w:numPr>
          <w:ilvl w:val="0"/>
          <w:numId w:val="29"/>
        </w:numPr>
        <w:rPr>
          <w:rFonts w:ascii="Arial" w:cs="Arial" w:eastAsia="Arial" w:hAnsi="Arial"/>
          <w:sz w:val="14"/>
          <w:szCs w:val="14"/>
          <w:color w:val="auto"/>
        </w:rPr>
      </w:pPr>
      <w:r>
        <w:rPr>
          <w:rFonts w:ascii="Arial" w:cs="Arial" w:eastAsia="Arial" w:hAnsi="Arial"/>
          <w:sz w:val="14"/>
          <w:szCs w:val="14"/>
          <w:color w:val="auto"/>
        </w:rPr>
        <w:t>Mr. Nardelli served as Chairman and CEO of Chrysler LLC from 2007 until 2009 and served as Chairman, President and CEO of The Home Depot, Inc. from 2000 to 2007.</w:t>
      </w:r>
    </w:p>
    <w:p>
      <w:pPr>
        <w:spacing w:after="0" w:line="1" w:lineRule="exact"/>
        <w:rPr>
          <w:rFonts w:ascii="Arial" w:cs="Arial" w:eastAsia="Arial" w:hAnsi="Arial"/>
          <w:sz w:val="14"/>
          <w:szCs w:val="14"/>
          <w:color w:val="auto"/>
        </w:rPr>
      </w:pPr>
    </w:p>
    <w:p>
      <w:pPr>
        <w:ind w:left="-162" w:right="520" w:firstLine="162"/>
        <w:spacing w:after="0" w:line="241" w:lineRule="auto"/>
        <w:tabs>
          <w:tab w:leader="none" w:pos="162" w:val="left"/>
        </w:tabs>
        <w:numPr>
          <w:ilvl w:val="0"/>
          <w:numId w:val="29"/>
        </w:numPr>
        <w:rPr>
          <w:rFonts w:ascii="Arial" w:cs="Arial" w:eastAsia="Arial" w:hAnsi="Arial"/>
          <w:sz w:val="14"/>
          <w:szCs w:val="14"/>
          <w:color w:val="auto"/>
        </w:rPr>
      </w:pPr>
      <w:r>
        <w:rPr>
          <w:rFonts w:ascii="Arial" w:cs="Arial" w:eastAsia="Arial" w:hAnsi="Arial"/>
          <w:sz w:val="14"/>
          <w:szCs w:val="14"/>
          <w:color w:val="auto"/>
        </w:rPr>
        <w:t>Previously, Mr. Nardelli held several senior executive positions with General Electric Company.</w:t>
      </w:r>
    </w:p>
    <w:p>
      <w:pPr>
        <w:ind w:left="-162" w:right="220" w:firstLine="162"/>
        <w:spacing w:after="0" w:line="247" w:lineRule="auto"/>
        <w:tabs>
          <w:tab w:leader="none" w:pos="162" w:val="left"/>
        </w:tabs>
        <w:numPr>
          <w:ilvl w:val="0"/>
          <w:numId w:val="29"/>
        </w:numPr>
        <w:rPr>
          <w:rFonts w:ascii="Arial" w:cs="Arial" w:eastAsia="Arial" w:hAnsi="Arial"/>
          <w:sz w:val="14"/>
          <w:szCs w:val="14"/>
          <w:color w:val="auto"/>
        </w:rPr>
      </w:pPr>
      <w:r>
        <w:rPr>
          <w:rFonts w:ascii="Arial" w:cs="Arial" w:eastAsia="Arial" w:hAnsi="Arial"/>
          <w:sz w:val="14"/>
          <w:szCs w:val="14"/>
          <w:color w:val="auto"/>
        </w:rPr>
        <w:t>Mr. Nardelli has served on the boards of directors of The Home Depot (2000-2007), The Coca-Cola Company (2002-2005), Chrysler LLC (2007-2009) and Pep Boys – Manny, Moe and Jack (March 2015 – February 2016).</w:t>
      </w:r>
    </w:p>
    <w:p>
      <w:pPr>
        <w:spacing w:after="0" w:line="561" w:lineRule="exact"/>
        <w:rPr>
          <w:sz w:val="20"/>
          <w:szCs w:val="20"/>
          <w:color w:val="auto"/>
        </w:rPr>
      </w:pPr>
    </w:p>
    <w:p>
      <w:pPr>
        <w:sectPr>
          <w:pgSz w:w="11900" w:h="16838" w:orient="portrait"/>
          <w:cols w:equalWidth="0" w:num="3">
            <w:col w:w="2192" w:space="720"/>
            <w:col w:w="4068" w:space="402"/>
            <w:col w:w="4038"/>
          </w:cols>
          <w:pgMar w:left="240" w:top="125" w:right="239" w:bottom="1440" w:gutter="0" w:footer="0" w:header="0"/>
          <w:type w:val="continuous"/>
        </w:sectPr>
      </w:pPr>
    </w:p>
    <w:p>
      <w:pPr>
        <w:ind w:left="2920"/>
        <w:spacing w:after="0"/>
        <w:rPr>
          <w:sz w:val="20"/>
          <w:szCs w:val="20"/>
          <w:color w:val="auto"/>
        </w:rPr>
      </w:pPr>
      <w:r>
        <w:rPr>
          <w:rFonts w:ascii="Arial" w:cs="Arial" w:eastAsia="Arial" w:hAnsi="Arial"/>
          <w:sz w:val="14"/>
          <w:szCs w:val="14"/>
          <w:b w:val="1"/>
          <w:bCs w:val="1"/>
          <w:color w:val="auto"/>
        </w:rPr>
        <w:t>QUALIFICATIONS, ATTRIBUTES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-93345</wp:posOffset>
            </wp:positionV>
            <wp:extent cx="1243330" cy="14751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43330" cy="1475105"/>
                    </a:xfrm>
                    <a:prstGeom prst="rect">
                      <a:avLst/>
                    </a:prstGeom>
                    <a:noFill/>
                  </pic:spPr>
                </pic:pic>
              </a:graphicData>
            </a:graphic>
          </wp:anchor>
        </w:drawing>
      </w:r>
    </w:p>
    <w:p>
      <w:pPr>
        <w:ind w:left="2920" w:right="80"/>
        <w:spacing w:after="0" w:line="250" w:lineRule="auto"/>
        <w:rPr>
          <w:sz w:val="20"/>
          <w:szCs w:val="20"/>
          <w:color w:val="auto"/>
        </w:rPr>
      </w:pPr>
      <w:r>
        <w:rPr>
          <w:rFonts w:ascii="Arial" w:cs="Arial" w:eastAsia="Arial" w:hAnsi="Arial"/>
          <w:sz w:val="14"/>
          <w:szCs w:val="14"/>
          <w:color w:val="auto"/>
        </w:rPr>
        <w:t>Ms. Niland has over 30 years of financial and operations experience with ship building and manufacturing operations for the U.S. Navy. Her tenure in senior financial leadership roles with one of our publicly traded peer companies provides our Board with valuable perspectives on our industry.</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80" w:right="512"/>
        <w:spacing w:after="0" w:line="285" w:lineRule="auto"/>
        <w:rPr>
          <w:sz w:val="20"/>
          <w:szCs w:val="20"/>
          <w:color w:val="auto"/>
        </w:rPr>
      </w:pPr>
      <w:r>
        <w:rPr>
          <w:rFonts w:ascii="Arial" w:cs="Arial" w:eastAsia="Arial" w:hAnsi="Arial"/>
          <w:sz w:val="14"/>
          <w:szCs w:val="14"/>
          <w:b w:val="1"/>
          <w:bCs w:val="1"/>
          <w:color w:val="auto"/>
        </w:rPr>
        <w:t>BARBARA A. NILAND 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-276860</wp:posOffset>
            </wp:positionV>
            <wp:extent cx="1663700" cy="2660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63700" cy="26606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66040</wp:posOffset>
            </wp:positionV>
            <wp:extent cx="166370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663700" cy="171450"/>
                    </a:xfrm>
                    <a:prstGeom prst="rect">
                      <a:avLst/>
                    </a:prstGeom>
                    <a:noFill/>
                  </pic:spPr>
                </pic:pic>
              </a:graphicData>
            </a:graphic>
          </wp:anchor>
        </w:drawing>
      </w:r>
    </w:p>
    <w:p>
      <w:pPr>
        <w:spacing w:after="0" w:line="155"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Director since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100965</wp:posOffset>
            </wp:positionV>
            <wp:extent cx="1663700" cy="3429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63700" cy="342900"/>
                    </a:xfrm>
                    <a:prstGeom prst="rect">
                      <a:avLst/>
                    </a:prstGeom>
                    <a:noFill/>
                  </pic:spPr>
                </pic:pic>
              </a:graphicData>
            </a:graphic>
          </wp:anchor>
        </w:drawing>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Committees:</w:t>
      </w:r>
    </w:p>
    <w:p>
      <w:pPr>
        <w:spacing w:after="0" w:line="15" w:lineRule="exact"/>
        <w:rPr>
          <w:sz w:val="20"/>
          <w:szCs w:val="20"/>
          <w:color w:val="auto"/>
        </w:rPr>
      </w:pPr>
    </w:p>
    <w:p>
      <w:pPr>
        <w:ind w:left="180" w:right="512"/>
        <w:spacing w:after="0" w:line="258" w:lineRule="auto"/>
        <w:rPr>
          <w:sz w:val="20"/>
          <w:szCs w:val="20"/>
          <w:color w:val="auto"/>
        </w:rPr>
      </w:pPr>
      <w:r>
        <w:rPr>
          <w:rFonts w:ascii="Arial" w:cs="Arial" w:eastAsia="Arial" w:hAnsi="Arial"/>
          <w:sz w:val="14"/>
          <w:szCs w:val="14"/>
          <w:color w:val="auto"/>
        </w:rPr>
        <w:t xml:space="preserve">Audit and Finance Compensation </w:t>
      </w:r>
      <w:r>
        <w:rPr>
          <w:rFonts w:ascii="Arial" w:cs="Arial" w:eastAsia="Arial" w:hAnsi="Arial"/>
          <w:sz w:val="14"/>
          <w:szCs w:val="14"/>
          <w:i w:val="1"/>
          <w:iCs w:val="1"/>
          <w:color w:val="auto"/>
        </w:rPr>
        <w:t>—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Professional Highlights:</w:t>
      </w:r>
    </w:p>
    <w:p>
      <w:pPr>
        <w:spacing w:after="0" w:line="19" w:lineRule="exact"/>
        <w:rPr>
          <w:sz w:val="20"/>
          <w:szCs w:val="20"/>
          <w:color w:val="auto"/>
        </w:rPr>
      </w:pPr>
    </w:p>
    <w:p>
      <w:pPr>
        <w:ind w:left="8" w:right="20" w:hanging="8"/>
        <w:spacing w:after="0" w:line="241" w:lineRule="auto"/>
        <w:tabs>
          <w:tab w:leader="none" w:pos="171" w:val="left"/>
        </w:tabs>
        <w:numPr>
          <w:ilvl w:val="0"/>
          <w:numId w:val="30"/>
        </w:numPr>
        <w:rPr>
          <w:rFonts w:ascii="Arial" w:cs="Arial" w:eastAsia="Arial" w:hAnsi="Arial"/>
          <w:sz w:val="14"/>
          <w:szCs w:val="14"/>
          <w:color w:val="auto"/>
        </w:rPr>
      </w:pPr>
      <w:r>
        <w:rPr>
          <w:rFonts w:ascii="Arial" w:cs="Arial" w:eastAsia="Arial" w:hAnsi="Arial"/>
          <w:sz w:val="14"/>
          <w:szCs w:val="14"/>
          <w:color w:val="auto"/>
        </w:rPr>
        <w:t>Ms. Niland most recently served as Corporate Vice President and Chief Financial Officer of Huntington Ingalls Industries, Inc. (March 2011 to March 2016), a Fortune 500 shipbuilding company for the U.S. Navy and Coast Guard that was spun off from Northrop Grumman Corporation in 2011.</w:t>
      </w:r>
    </w:p>
    <w:p>
      <w:pPr>
        <w:spacing w:after="0" w:line="1" w:lineRule="exact"/>
        <w:rPr>
          <w:rFonts w:ascii="Arial" w:cs="Arial" w:eastAsia="Arial" w:hAnsi="Arial"/>
          <w:sz w:val="14"/>
          <w:szCs w:val="14"/>
          <w:color w:val="auto"/>
        </w:rPr>
      </w:pPr>
    </w:p>
    <w:p>
      <w:pPr>
        <w:ind w:left="8" w:hanging="8"/>
        <w:spacing w:after="0" w:line="245" w:lineRule="auto"/>
        <w:tabs>
          <w:tab w:leader="none" w:pos="171" w:val="left"/>
        </w:tabs>
        <w:numPr>
          <w:ilvl w:val="0"/>
          <w:numId w:val="30"/>
        </w:numPr>
        <w:rPr>
          <w:rFonts w:ascii="Arial" w:cs="Arial" w:eastAsia="Arial" w:hAnsi="Arial"/>
          <w:sz w:val="14"/>
          <w:szCs w:val="14"/>
          <w:color w:val="auto"/>
        </w:rPr>
      </w:pPr>
      <w:r>
        <w:rPr>
          <w:rFonts w:ascii="Arial" w:cs="Arial" w:eastAsia="Arial" w:hAnsi="Arial"/>
          <w:sz w:val="14"/>
          <w:szCs w:val="14"/>
          <w:color w:val="auto"/>
        </w:rPr>
        <w:t>Previously at Northrop Grumman, Ms. Niland served in a variety of roles of increasing responsibility over a career spanning over 30 years, including as President and Chief Financial officer, Shipbuilding; Division Vice President and Chief Financial Officer and Division Vice President - Finance.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62" w:right="220" w:firstLine="162"/>
        <w:spacing w:after="0" w:line="250" w:lineRule="auto"/>
        <w:tabs>
          <w:tab w:leader="none" w:pos="162" w:val="left"/>
        </w:tabs>
        <w:numPr>
          <w:ilvl w:val="0"/>
          <w:numId w:val="31"/>
        </w:numPr>
        <w:rPr>
          <w:rFonts w:ascii="Arial" w:cs="Arial" w:eastAsia="Arial" w:hAnsi="Arial"/>
          <w:sz w:val="14"/>
          <w:szCs w:val="14"/>
          <w:color w:val="auto"/>
        </w:rPr>
      </w:pPr>
      <w:r>
        <w:rPr>
          <w:rFonts w:ascii="Arial" w:cs="Arial" w:eastAsia="Arial" w:hAnsi="Arial"/>
          <w:sz w:val="14"/>
          <w:szCs w:val="14"/>
          <w:color w:val="auto"/>
        </w:rPr>
        <w:t>Ms. Niland holds a master's degree from the University of Maryland University College and a bachelor's degree from Towson University.</w:t>
      </w:r>
    </w:p>
    <w:p>
      <w:pPr>
        <w:spacing w:after="0" w:line="1582" w:lineRule="exact"/>
        <w:rPr>
          <w:sz w:val="20"/>
          <w:szCs w:val="20"/>
          <w:color w:val="auto"/>
        </w:rPr>
      </w:pPr>
    </w:p>
    <w:p>
      <w:pPr>
        <w:sectPr>
          <w:pgSz w:w="11900" w:h="16838" w:orient="portrait"/>
          <w:cols w:equalWidth="0" w:num="3">
            <w:col w:w="2192" w:space="720"/>
            <w:col w:w="4068" w:space="402"/>
            <w:col w:w="4038"/>
          </w:cols>
          <w:pgMar w:left="240" w:top="125" w:right="239" w:bottom="1440" w:gutter="0" w:footer="0" w:header="0"/>
          <w:type w:val="continuous"/>
        </w:sectPr>
      </w:pPr>
    </w:p>
    <w:p>
      <w:pPr>
        <w:spacing w:after="0" w:line="43" w:lineRule="exact"/>
        <w:rPr>
          <w:sz w:val="20"/>
          <w:szCs w:val="20"/>
          <w:color w:val="auto"/>
        </w:rPr>
      </w:pPr>
    </w:p>
    <w:p>
      <w:pPr>
        <w:ind w:left="8260"/>
        <w:spacing w:after="0"/>
        <w:rPr>
          <w:sz w:val="20"/>
          <w:szCs w:val="20"/>
          <w:color w:val="auto"/>
        </w:rPr>
      </w:pPr>
      <w:r>
        <w:rPr>
          <w:sz w:val="1"/>
          <w:szCs w:val="1"/>
          <w:color w:val="auto"/>
        </w:rPr>
        <w:drawing>
          <wp:inline distT="0" distB="0" distL="0" distR="0">
            <wp:extent cx="488950" cy="20574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88950" cy="205740"/>
                    </a:xfrm>
                    <a:prstGeom prst="rect">
                      <a:avLst/>
                    </a:prstGeom>
                    <a:noFill/>
                    <a:ln>
                      <a:noFill/>
                    </a:ln>
                  </pic:spPr>
                </pic:pic>
              </a:graphicData>
            </a:graphic>
          </wp:inline>
        </w:drawing>
      </w:r>
      <w:r>
        <w:rPr>
          <w:rFonts w:ascii="Arial" w:cs="Arial" w:eastAsia="Arial" w:hAnsi="Arial"/>
          <w:sz w:val="17"/>
          <w:szCs w:val="17"/>
          <w:color w:val="auto"/>
        </w:rPr>
        <w:t xml:space="preserve"> 2018 PROXY STATEMENT </w:t>
      </w:r>
      <w:r>
        <w:rPr>
          <w:rFonts w:ascii="Arial" w:cs="Arial" w:eastAsia="Arial" w:hAnsi="Arial"/>
          <w:sz w:val="17"/>
          <w:szCs w:val="17"/>
          <w:b w:val="1"/>
          <w:bCs w:val="1"/>
          <w:color w:val="2C2C2C"/>
        </w:rPr>
        <w:t>7</w:t>
      </w:r>
    </w:p>
    <w:p>
      <w:pPr>
        <w:sectPr>
          <w:pgSz w:w="11900" w:h="16838" w:orient="portrait"/>
          <w:cols w:equalWidth="0" w:num="1">
            <w:col w:w="11420"/>
          </w:cols>
          <w:pgMar w:left="240" w:top="125" w:right="239" w:bottom="1440" w:gutter="0" w:footer="0" w:header="0"/>
          <w:type w:val="continuous"/>
        </w:sectPr>
      </w:pPr>
    </w:p>
    <w:bookmarkStart w:id="16" w:name="page17"/>
    <w:bookmarkEnd w:id="16"/>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7540"/>
        <w:spacing w:after="0"/>
        <w:rPr>
          <w:sz w:val="20"/>
          <w:szCs w:val="20"/>
          <w:color w:val="auto"/>
        </w:rPr>
      </w:pPr>
      <w:r>
        <w:rPr>
          <w:rFonts w:ascii="Arial" w:cs="Arial" w:eastAsia="Arial" w:hAnsi="Arial"/>
          <w:sz w:val="14"/>
          <w:szCs w:val="14"/>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2920"/>
        <w:spacing w:after="0"/>
        <w:rPr>
          <w:sz w:val="20"/>
          <w:szCs w:val="20"/>
          <w:color w:val="auto"/>
        </w:rPr>
      </w:pPr>
      <w:r>
        <w:rPr>
          <w:rFonts w:ascii="Arial" w:cs="Arial" w:eastAsia="Arial" w:hAnsi="Arial"/>
          <w:sz w:val="14"/>
          <w:szCs w:val="14"/>
          <w:b w:val="1"/>
          <w:bCs w:val="1"/>
          <w:color w:val="auto"/>
        </w:rPr>
        <w:t>QUALIFICATIONS, ATTRIBUTES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-93345</wp:posOffset>
            </wp:positionV>
            <wp:extent cx="1235075" cy="14579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35075" cy="1457960"/>
                    </a:xfrm>
                    <a:prstGeom prst="rect">
                      <a:avLst/>
                    </a:prstGeom>
                    <a:noFill/>
                  </pic:spPr>
                </pic:pic>
              </a:graphicData>
            </a:graphic>
          </wp:anchor>
        </w:drawing>
      </w:r>
    </w:p>
    <w:p>
      <w:pPr>
        <w:ind w:left="2920" w:right="60"/>
        <w:spacing w:after="0" w:line="247" w:lineRule="auto"/>
        <w:rPr>
          <w:sz w:val="20"/>
          <w:szCs w:val="20"/>
          <w:color w:val="auto"/>
        </w:rPr>
      </w:pPr>
      <w:r>
        <w:rPr>
          <w:rFonts w:ascii="Arial" w:cs="Arial" w:eastAsia="Arial" w:hAnsi="Arial"/>
          <w:sz w:val="14"/>
          <w:szCs w:val="14"/>
          <w:color w:val="auto"/>
        </w:rPr>
        <w:t>Mr. Pryor is an engineer with extensive leadership experience with nuclear manufacturing, public utilities and international operations. Through his former service as Chairman and CEO of Westinghouse Electric Company, as well as on the board of directors of Urenco USA, DTE Energy and Progress Energy, Inc., among other leadership roles, he is able to bring valuable industry perspectives to our Board.</w:t>
      </w:r>
    </w:p>
    <w:p>
      <w:pPr>
        <w:sectPr>
          <w:pgSz w:w="11900" w:h="16838" w:orient="portrait"/>
          <w:cols w:equalWidth="0" w:num="1">
            <w:col w:w="11360"/>
          </w:cols>
          <w:pgMar w:left="240" w:top="125"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CHARLES W. PRYOR,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-135890</wp:posOffset>
            </wp:positionV>
            <wp:extent cx="1663700" cy="2660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63700" cy="26606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4"/>
          <w:szCs w:val="14"/>
          <w:b w:val="1"/>
          <w:bCs w:val="1"/>
          <w:color w:val="auto"/>
        </w:rPr>
        <w:t>Age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92075</wp:posOffset>
            </wp:positionV>
            <wp:extent cx="166370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663700" cy="171450"/>
                    </a:xfrm>
                    <a:prstGeom prst="rect">
                      <a:avLst/>
                    </a:prstGeom>
                    <a:noFill/>
                  </pic:spPr>
                </pic:pic>
              </a:graphicData>
            </a:graphic>
          </wp:anchor>
        </w:drawing>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Director since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100965</wp:posOffset>
            </wp:positionV>
            <wp:extent cx="1663700" cy="2489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63700" cy="248920"/>
                    </a:xfrm>
                    <a:prstGeom prst="rect">
                      <a:avLst/>
                    </a:prstGeom>
                    <a:noFill/>
                  </pic:spPr>
                </pic:pic>
              </a:graphicData>
            </a:graphic>
          </wp:anchor>
        </w:drawing>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Committees:</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Safety and Security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Professional Highlights:</w:t>
      </w:r>
    </w:p>
    <w:p>
      <w:pPr>
        <w:spacing w:after="0" w:line="19" w:lineRule="exact"/>
        <w:rPr>
          <w:sz w:val="20"/>
          <w:szCs w:val="20"/>
          <w:color w:val="auto"/>
        </w:rPr>
      </w:pPr>
    </w:p>
    <w:p>
      <w:pPr>
        <w:ind w:left="8" w:right="20" w:hanging="8"/>
        <w:spacing w:after="0" w:line="241" w:lineRule="auto"/>
        <w:tabs>
          <w:tab w:leader="none" w:pos="171" w:val="left"/>
        </w:tabs>
        <w:numPr>
          <w:ilvl w:val="0"/>
          <w:numId w:val="32"/>
        </w:numPr>
        <w:rPr>
          <w:rFonts w:ascii="Arial" w:cs="Arial" w:eastAsia="Arial" w:hAnsi="Arial"/>
          <w:sz w:val="14"/>
          <w:szCs w:val="14"/>
          <w:color w:val="auto"/>
        </w:rPr>
      </w:pPr>
      <w:r>
        <w:rPr>
          <w:rFonts w:ascii="Arial" w:cs="Arial" w:eastAsia="Arial" w:hAnsi="Arial"/>
          <w:sz w:val="14"/>
          <w:szCs w:val="14"/>
          <w:color w:val="auto"/>
        </w:rPr>
        <w:t>Mr. Pryor is the former Chairman of Urenco USA, a division of Urenco Ltd. based in Stoke, England, where he served on the board of directors from January 2003 until December 2014.</w:t>
      </w:r>
    </w:p>
    <w:p>
      <w:pPr>
        <w:spacing w:after="0" w:line="1" w:lineRule="exact"/>
        <w:rPr>
          <w:rFonts w:ascii="Arial" w:cs="Arial" w:eastAsia="Arial" w:hAnsi="Arial"/>
          <w:sz w:val="14"/>
          <w:szCs w:val="14"/>
          <w:color w:val="auto"/>
        </w:rPr>
      </w:pPr>
    </w:p>
    <w:p>
      <w:pPr>
        <w:ind w:left="8" w:right="340" w:hanging="8"/>
        <w:spacing w:after="0" w:line="241" w:lineRule="auto"/>
        <w:tabs>
          <w:tab w:leader="none" w:pos="171" w:val="left"/>
        </w:tabs>
        <w:numPr>
          <w:ilvl w:val="0"/>
          <w:numId w:val="32"/>
        </w:numPr>
        <w:rPr>
          <w:rFonts w:ascii="Arial" w:cs="Arial" w:eastAsia="Arial" w:hAnsi="Arial"/>
          <w:sz w:val="14"/>
          <w:szCs w:val="14"/>
          <w:color w:val="auto"/>
        </w:rPr>
      </w:pPr>
      <w:r>
        <w:rPr>
          <w:rFonts w:ascii="Arial" w:cs="Arial" w:eastAsia="Arial" w:hAnsi="Arial"/>
          <w:sz w:val="14"/>
          <w:szCs w:val="14"/>
          <w:color w:val="auto"/>
        </w:rPr>
        <w:t>He is a member of the Board of Directors of DTE Energy Company and a former director of Progress Energy, Inc.</w:t>
      </w:r>
    </w:p>
    <w:p>
      <w:pPr>
        <w:ind w:left="8" w:hanging="8"/>
        <w:spacing w:after="0" w:line="247" w:lineRule="auto"/>
        <w:tabs>
          <w:tab w:leader="none" w:pos="171" w:val="left"/>
        </w:tabs>
        <w:numPr>
          <w:ilvl w:val="0"/>
          <w:numId w:val="32"/>
        </w:numPr>
        <w:rPr>
          <w:rFonts w:ascii="Arial" w:cs="Arial" w:eastAsia="Arial" w:hAnsi="Arial"/>
          <w:sz w:val="14"/>
          <w:szCs w:val="14"/>
          <w:color w:val="auto"/>
        </w:rPr>
      </w:pPr>
      <w:r>
        <w:rPr>
          <w:rFonts w:ascii="Arial" w:cs="Arial" w:eastAsia="Arial" w:hAnsi="Arial"/>
          <w:sz w:val="14"/>
          <w:szCs w:val="14"/>
          <w:color w:val="auto"/>
        </w:rPr>
        <w:t>Mr. Pryor is the former Chairman and CEO of Westinghouse Electric Company. While at Westinghouse, he led the company’s growth to over $2 billion in annual revenue with employment of over 10,000 people.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62" w:right="60" w:firstLine="162"/>
        <w:spacing w:after="0" w:line="241" w:lineRule="auto"/>
        <w:tabs>
          <w:tab w:leader="none" w:pos="162" w:val="left"/>
        </w:tabs>
        <w:numPr>
          <w:ilvl w:val="0"/>
          <w:numId w:val="33"/>
        </w:numPr>
        <w:rPr>
          <w:rFonts w:ascii="Arial" w:cs="Arial" w:eastAsia="Arial" w:hAnsi="Arial"/>
          <w:sz w:val="14"/>
          <w:szCs w:val="14"/>
          <w:color w:val="auto"/>
        </w:rPr>
      </w:pPr>
      <w:r>
        <w:rPr>
          <w:rFonts w:ascii="Arial" w:cs="Arial" w:eastAsia="Arial" w:hAnsi="Arial"/>
          <w:sz w:val="14"/>
          <w:szCs w:val="14"/>
          <w:color w:val="auto"/>
        </w:rPr>
        <w:t>Previously, he spent 25 years with BWXT, including serving as a President of the Company’s Nuclear Power Division and CEO of B&amp;W Nuclear Technologies until retiring and starting his own management consulting business.</w:t>
      </w:r>
    </w:p>
    <w:p>
      <w:pPr>
        <w:spacing w:after="0" w:line="1" w:lineRule="exact"/>
        <w:rPr>
          <w:rFonts w:ascii="Arial" w:cs="Arial" w:eastAsia="Arial" w:hAnsi="Arial"/>
          <w:sz w:val="14"/>
          <w:szCs w:val="14"/>
          <w:color w:val="auto"/>
        </w:rPr>
      </w:pPr>
    </w:p>
    <w:p>
      <w:pPr>
        <w:ind w:left="-162" w:right="260" w:firstLine="162"/>
        <w:spacing w:after="0" w:line="244" w:lineRule="auto"/>
        <w:tabs>
          <w:tab w:leader="none" w:pos="162"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 1993, Mr. Pryor was named the State of Virginia’s “Outstanding Industrialist.” Additionally, French President Francois Mitterand presented Mr. Pryor with the very distinguished Chevalier de ‘Ordre Nationale de Merit for developing business relationships between the United States and France.</w:t>
      </w:r>
    </w:p>
    <w:p>
      <w:pPr>
        <w:spacing w:after="0" w:line="161" w:lineRule="exact"/>
        <w:rPr>
          <w:sz w:val="20"/>
          <w:szCs w:val="20"/>
          <w:color w:val="auto"/>
        </w:rPr>
      </w:pPr>
    </w:p>
    <w:p>
      <w:pPr>
        <w:sectPr>
          <w:pgSz w:w="11900" w:h="16838" w:orient="portrait"/>
          <w:cols w:equalWidth="0" w:num="3">
            <w:col w:w="2192" w:space="720"/>
            <w:col w:w="4108" w:space="362"/>
            <w:col w:w="3978"/>
          </w:cols>
          <w:pgMar w:left="240" w:top="125" w:right="299" w:bottom="1440" w:gutter="0" w:footer="0" w:header="0"/>
          <w:type w:val="continuous"/>
        </w:sectPr>
      </w:pPr>
    </w:p>
    <w:p>
      <w:pPr>
        <w:ind w:left="2920"/>
        <w:spacing w:after="0"/>
        <w:rPr>
          <w:sz w:val="20"/>
          <w:szCs w:val="20"/>
          <w:color w:val="auto"/>
        </w:rPr>
      </w:pPr>
      <w:r>
        <w:rPr>
          <w:rFonts w:ascii="Arial" w:cs="Arial" w:eastAsia="Arial" w:hAnsi="Arial"/>
          <w:sz w:val="14"/>
          <w:szCs w:val="14"/>
          <w:b w:val="1"/>
          <w:bCs w:val="1"/>
          <w:color w:val="auto"/>
        </w:rPr>
        <w:t>QUALIFICATIONS, ATTRIBUTES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-93345</wp:posOffset>
            </wp:positionV>
            <wp:extent cx="1226185" cy="14490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26185" cy="1449070"/>
                    </a:xfrm>
                    <a:prstGeom prst="rect">
                      <a:avLst/>
                    </a:prstGeom>
                    <a:noFill/>
                  </pic:spPr>
                </pic:pic>
              </a:graphicData>
            </a:graphic>
          </wp:anchor>
        </w:drawing>
      </w:r>
    </w:p>
    <w:p>
      <w:pPr>
        <w:ind w:left="2920"/>
        <w:spacing w:after="0" w:line="244" w:lineRule="auto"/>
        <w:rPr>
          <w:sz w:val="20"/>
          <w:szCs w:val="20"/>
          <w:color w:val="auto"/>
        </w:rPr>
      </w:pPr>
      <w:r>
        <w:rPr>
          <w:rFonts w:ascii="Arial" w:cs="Arial" w:eastAsia="Arial" w:hAnsi="Arial"/>
          <w:sz w:val="14"/>
          <w:szCs w:val="14"/>
          <w:color w:val="auto"/>
        </w:rPr>
        <w:t>Mr. Goldman has an extensive background in corporate finance and accounting for public companies, as well as governance and operations. While serving as Chief Financial Officer of Conoco, Inc., Mr. Goldman played vital roles in the initial public offering and split-off of Conoco, Inc. from DuPont and the subsequent merger of Conoco and Phillips Petroleum. As a member of our Board, he offers valuable public company board experience and significant knowledge specific to the energy industry. Mr. Goldman’s service on the boards of other public and non-public companies also provides a substantial benefit as he serves on the Board’s Governance Committee and as our Lead Independent Director.</w:t>
      </w:r>
    </w:p>
    <w:p>
      <w:pPr>
        <w:sectPr>
          <w:pgSz w:w="11900" w:h="16838" w:orient="portrait"/>
          <w:cols w:equalWidth="0" w:num="1">
            <w:col w:w="11360"/>
          </w:cols>
          <w:pgMar w:left="240" w:top="125"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80" w:right="620"/>
        <w:spacing w:after="0" w:line="285" w:lineRule="auto"/>
        <w:rPr>
          <w:sz w:val="20"/>
          <w:szCs w:val="20"/>
          <w:color w:val="auto"/>
        </w:rPr>
      </w:pPr>
      <w:r>
        <w:rPr>
          <w:rFonts w:ascii="Arial" w:cs="Arial" w:eastAsia="Arial" w:hAnsi="Arial"/>
          <w:sz w:val="14"/>
          <w:szCs w:val="14"/>
          <w:b w:val="1"/>
          <w:bCs w:val="1"/>
          <w:color w:val="auto"/>
        </w:rPr>
        <w:t>ROBERT W. GOLDMAN* Age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-328295</wp:posOffset>
            </wp:positionV>
            <wp:extent cx="1663700" cy="3175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663700" cy="31750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83185</wp:posOffset>
            </wp:positionV>
            <wp:extent cx="1663700" cy="2057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63700" cy="205740"/>
                    </a:xfrm>
                    <a:prstGeom prst="rect">
                      <a:avLst/>
                    </a:prstGeom>
                    <a:noFill/>
                  </pic:spPr>
                </pic:pic>
              </a:graphicData>
            </a:graphic>
          </wp:anchor>
        </w:drawing>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Director since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118110</wp:posOffset>
            </wp:positionV>
            <wp:extent cx="1663700" cy="4114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63700" cy="411480"/>
                    </a:xfrm>
                    <a:prstGeom prst="rect">
                      <a:avLst/>
                    </a:prstGeom>
                    <a:noFill/>
                  </pic:spPr>
                </pic:pic>
              </a:graphicData>
            </a:graphic>
          </wp:anchor>
        </w:drawing>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Committees:</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Governance</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Lead Independent Director</w:t>
      </w:r>
    </w:p>
    <w:p>
      <w:pPr>
        <w:spacing w:after="0" w:line="96" w:lineRule="exact"/>
        <w:rPr>
          <w:sz w:val="20"/>
          <w:szCs w:val="20"/>
          <w:color w:val="auto"/>
        </w:rPr>
      </w:pPr>
    </w:p>
    <w:p>
      <w:pPr>
        <w:ind w:left="220" w:hanging="158"/>
        <w:spacing w:after="0" w:line="258" w:lineRule="auto"/>
        <w:tabs>
          <w:tab w:leader="none" w:pos="154" w:val="left"/>
        </w:tabs>
        <w:numPr>
          <w:ilvl w:val="0"/>
          <w:numId w:val="34"/>
        </w:numPr>
        <w:rPr>
          <w:rFonts w:ascii="Arial" w:cs="Arial" w:eastAsia="Arial" w:hAnsi="Arial"/>
          <w:sz w:val="14"/>
          <w:szCs w:val="14"/>
          <w:color w:val="auto"/>
        </w:rPr>
      </w:pPr>
      <w:r>
        <w:rPr>
          <w:rFonts w:ascii="Arial" w:cs="Arial" w:eastAsia="Arial" w:hAnsi="Arial"/>
          <w:sz w:val="14"/>
          <w:szCs w:val="14"/>
          <w:color w:val="auto"/>
        </w:rPr>
        <w:t>Mr. Goldman will be retiring from the Board at the Annual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Professional Highlights:</w:t>
      </w:r>
    </w:p>
    <w:p>
      <w:pPr>
        <w:spacing w:after="0" w:line="19" w:lineRule="exact"/>
        <w:rPr>
          <w:sz w:val="20"/>
          <w:szCs w:val="20"/>
          <w:color w:val="auto"/>
        </w:rPr>
      </w:pPr>
    </w:p>
    <w:p>
      <w:pPr>
        <w:ind w:left="8" w:right="20" w:hanging="8"/>
        <w:spacing w:after="0" w:line="241" w:lineRule="auto"/>
        <w:tabs>
          <w:tab w:leader="none" w:pos="171" w:val="left"/>
        </w:tabs>
        <w:numPr>
          <w:ilvl w:val="0"/>
          <w:numId w:val="35"/>
        </w:numPr>
        <w:rPr>
          <w:rFonts w:ascii="Arial" w:cs="Arial" w:eastAsia="Arial" w:hAnsi="Arial"/>
          <w:sz w:val="14"/>
          <w:szCs w:val="14"/>
          <w:color w:val="auto"/>
        </w:rPr>
      </w:pPr>
      <w:r>
        <w:rPr>
          <w:rFonts w:ascii="Arial" w:cs="Arial" w:eastAsia="Arial" w:hAnsi="Arial"/>
          <w:sz w:val="14"/>
          <w:szCs w:val="14"/>
          <w:color w:val="auto"/>
        </w:rPr>
        <w:t>Mr. Goldman is a financial consultant. He is currently a member of the board of directors of FGR Development, a Mexico City private equity company.</w:t>
      </w:r>
    </w:p>
    <w:p>
      <w:pPr>
        <w:spacing w:after="0" w:line="1" w:lineRule="exact"/>
        <w:rPr>
          <w:rFonts w:ascii="Arial" w:cs="Arial" w:eastAsia="Arial" w:hAnsi="Arial"/>
          <w:sz w:val="14"/>
          <w:szCs w:val="14"/>
          <w:color w:val="auto"/>
        </w:rPr>
      </w:pPr>
    </w:p>
    <w:p>
      <w:pPr>
        <w:ind w:left="8" w:hanging="8"/>
        <w:spacing w:after="0" w:line="241" w:lineRule="auto"/>
        <w:tabs>
          <w:tab w:leader="none" w:pos="171" w:val="left"/>
        </w:tabs>
        <w:numPr>
          <w:ilvl w:val="0"/>
          <w:numId w:val="35"/>
        </w:numPr>
        <w:rPr>
          <w:rFonts w:ascii="Arial" w:cs="Arial" w:eastAsia="Arial" w:hAnsi="Arial"/>
          <w:sz w:val="14"/>
          <w:szCs w:val="14"/>
          <w:color w:val="auto"/>
        </w:rPr>
      </w:pPr>
      <w:r>
        <w:rPr>
          <w:rFonts w:ascii="Arial" w:cs="Arial" w:eastAsia="Arial" w:hAnsi="Arial"/>
          <w:sz w:val="14"/>
          <w:szCs w:val="14"/>
          <w:color w:val="auto"/>
        </w:rPr>
        <w:t>Previously, he served as an elected Vice President, Finance of the World Petroleum Council from 2002 to 2008.</w:t>
      </w:r>
    </w:p>
    <w:p>
      <w:pPr>
        <w:ind w:left="8" w:right="80" w:hanging="8"/>
        <w:spacing w:after="0" w:line="241" w:lineRule="auto"/>
        <w:tabs>
          <w:tab w:leader="none" w:pos="171" w:val="left"/>
        </w:tabs>
        <w:numPr>
          <w:ilvl w:val="0"/>
          <w:numId w:val="35"/>
        </w:numPr>
        <w:rPr>
          <w:rFonts w:ascii="Arial" w:cs="Arial" w:eastAsia="Arial" w:hAnsi="Arial"/>
          <w:sz w:val="14"/>
          <w:szCs w:val="14"/>
          <w:color w:val="auto"/>
        </w:rPr>
      </w:pPr>
      <w:r>
        <w:rPr>
          <w:rFonts w:ascii="Arial" w:cs="Arial" w:eastAsia="Arial" w:hAnsi="Arial"/>
          <w:sz w:val="14"/>
          <w:szCs w:val="14"/>
          <w:color w:val="auto"/>
        </w:rPr>
        <w:t>Mr. Goldman chaired the accounting committee of the American Petroleum Institute and was a member of the boards of directors of the following companies: McDermott International (2005 to 2010), El Paso Corporation (2003 to 2012), The Babcock &amp; Wilcox Company (2010 to 2014), Parker Drilling Company (2005 to 2015), Gulf Indonesia Resources Ltd. (2000 to 2002), Tesoro Corporation (2004 to 2017) and Tesoro Logistics LP (2015 to 2017).</w:t>
      </w:r>
    </w:p>
    <w:p>
      <w:pPr>
        <w:spacing w:after="0" w:line="3" w:lineRule="exact"/>
        <w:rPr>
          <w:rFonts w:ascii="Arial" w:cs="Arial" w:eastAsia="Arial" w:hAnsi="Arial"/>
          <w:sz w:val="14"/>
          <w:szCs w:val="14"/>
          <w:color w:val="auto"/>
        </w:rPr>
      </w:pPr>
    </w:p>
    <w:p>
      <w:pPr>
        <w:ind w:left="168" w:right="360" w:hanging="168"/>
        <w:spacing w:after="0" w:line="218" w:lineRule="auto"/>
        <w:tabs>
          <w:tab w:leader="none" w:pos="168" w:val="left"/>
        </w:tabs>
        <w:numPr>
          <w:ilvl w:val="0"/>
          <w:numId w:val="35"/>
        </w:numPr>
        <w:rPr>
          <w:rFonts w:ascii="Arial" w:cs="Arial" w:eastAsia="Arial" w:hAnsi="Arial"/>
          <w:sz w:val="18"/>
          <w:szCs w:val="18"/>
          <w:color w:val="auto"/>
        </w:rPr>
      </w:pPr>
      <w:r>
        <w:rPr>
          <w:rFonts w:ascii="Arial" w:cs="Arial" w:eastAsia="Arial" w:hAnsi="Arial"/>
          <w:sz w:val="14"/>
          <w:szCs w:val="14"/>
          <w:color w:val="auto"/>
        </w:rPr>
        <w:t>Mr. Goldman is a former member of Financial Executives International and former EPIC advisory board member.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62" w:firstLine="162"/>
        <w:spacing w:after="0" w:line="241" w:lineRule="auto"/>
        <w:tabs>
          <w:tab w:leader="none" w:pos="162" w:val="left"/>
        </w:tabs>
        <w:numPr>
          <w:ilvl w:val="0"/>
          <w:numId w:val="36"/>
        </w:numPr>
        <w:rPr>
          <w:rFonts w:ascii="Arial" w:cs="Arial" w:eastAsia="Arial" w:hAnsi="Arial"/>
          <w:sz w:val="14"/>
          <w:szCs w:val="14"/>
          <w:color w:val="auto"/>
        </w:rPr>
      </w:pPr>
      <w:r>
        <w:rPr>
          <w:rFonts w:ascii="Arial" w:cs="Arial" w:eastAsia="Arial" w:hAnsi="Arial"/>
          <w:sz w:val="14"/>
          <w:szCs w:val="14"/>
          <w:color w:val="auto"/>
        </w:rPr>
        <w:t>Mr. Goldman was employed at Conoco Inc., an international, integrated energy company and predecessor to ConocoPhillips, from 1988 until 2002, holding a range of financial and IT roles, including Senior Vice President and Chief Financial Officer, and serving as a member of the executive committee.</w:t>
      </w:r>
    </w:p>
    <w:p>
      <w:pPr>
        <w:spacing w:after="0" w:line="1" w:lineRule="exact"/>
        <w:rPr>
          <w:rFonts w:ascii="Arial" w:cs="Arial" w:eastAsia="Arial" w:hAnsi="Arial"/>
          <w:sz w:val="14"/>
          <w:szCs w:val="14"/>
          <w:color w:val="auto"/>
        </w:rPr>
      </w:pPr>
    </w:p>
    <w:p>
      <w:pPr>
        <w:ind w:left="-162" w:right="340" w:firstLine="162"/>
        <w:spacing w:after="0" w:line="241" w:lineRule="auto"/>
        <w:tabs>
          <w:tab w:leader="none" w:pos="162" w:val="left"/>
        </w:tabs>
        <w:numPr>
          <w:ilvl w:val="0"/>
          <w:numId w:val="36"/>
        </w:numPr>
        <w:rPr>
          <w:rFonts w:ascii="Arial" w:cs="Arial" w:eastAsia="Arial" w:hAnsi="Arial"/>
          <w:sz w:val="14"/>
          <w:szCs w:val="14"/>
          <w:color w:val="auto"/>
        </w:rPr>
      </w:pPr>
      <w:r>
        <w:rPr>
          <w:rFonts w:ascii="Arial" w:cs="Arial" w:eastAsia="Arial" w:hAnsi="Arial"/>
          <w:sz w:val="14"/>
          <w:szCs w:val="14"/>
          <w:color w:val="auto"/>
        </w:rPr>
        <w:t>Prior to joining Conoco, Mr. Goldman was employed at DuPont. Positions there included a range of finance and operational roles across the company’s many domestic and international businesses.</w:t>
      </w:r>
    </w:p>
    <w:p>
      <w:pPr>
        <w:spacing w:after="0" w:line="1" w:lineRule="exact"/>
        <w:rPr>
          <w:rFonts w:ascii="Arial" w:cs="Arial" w:eastAsia="Arial" w:hAnsi="Arial"/>
          <w:sz w:val="14"/>
          <w:szCs w:val="14"/>
          <w:color w:val="auto"/>
        </w:rPr>
      </w:pPr>
    </w:p>
    <w:p>
      <w:pPr>
        <w:ind w:left="-162" w:right="80" w:firstLine="162"/>
        <w:spacing w:after="0" w:line="250" w:lineRule="auto"/>
        <w:tabs>
          <w:tab w:leader="none" w:pos="162" w:val="left"/>
        </w:tabs>
        <w:numPr>
          <w:ilvl w:val="0"/>
          <w:numId w:val="36"/>
        </w:numPr>
        <w:rPr>
          <w:rFonts w:ascii="Arial" w:cs="Arial" w:eastAsia="Arial" w:hAnsi="Arial"/>
          <w:sz w:val="14"/>
          <w:szCs w:val="14"/>
          <w:color w:val="auto"/>
        </w:rPr>
      </w:pPr>
      <w:r>
        <w:rPr>
          <w:rFonts w:ascii="Arial" w:cs="Arial" w:eastAsia="Arial" w:hAnsi="Arial"/>
          <w:sz w:val="14"/>
          <w:szCs w:val="14"/>
          <w:color w:val="auto"/>
        </w:rPr>
        <w:t>Mr. Goldman holds a master’s degree in finance from the University of Chicago’s Booth Graduate School of Business and a bachelor’s degree in economics from Kenyon College.</w:t>
      </w:r>
    </w:p>
    <w:p>
      <w:pPr>
        <w:spacing w:after="0" w:line="694" w:lineRule="exact"/>
        <w:rPr>
          <w:sz w:val="20"/>
          <w:szCs w:val="20"/>
          <w:color w:val="auto"/>
        </w:rPr>
      </w:pPr>
    </w:p>
    <w:p>
      <w:pPr>
        <w:sectPr>
          <w:pgSz w:w="11900" w:h="16838" w:orient="portrait"/>
          <w:cols w:equalWidth="0" w:num="3">
            <w:col w:w="2460" w:space="452"/>
            <w:col w:w="4148" w:space="322"/>
            <w:col w:w="3978"/>
          </w:cols>
          <w:pgMar w:left="240" w:top="125" w:right="299" w:bottom="1440" w:gutter="0" w:footer="0" w:header="0"/>
          <w:type w:val="continuous"/>
        </w:sectPr>
      </w:pPr>
    </w:p>
    <w:p>
      <w:pPr>
        <w:ind w:left="2920"/>
        <w:spacing w:after="0"/>
        <w:rPr>
          <w:sz w:val="20"/>
          <w:szCs w:val="20"/>
          <w:color w:val="auto"/>
        </w:rPr>
      </w:pPr>
      <w:r>
        <w:rPr>
          <w:rFonts w:ascii="Arial" w:cs="Arial" w:eastAsia="Arial" w:hAnsi="Arial"/>
          <w:sz w:val="14"/>
          <w:szCs w:val="14"/>
          <w:b w:val="1"/>
          <w:bCs w:val="1"/>
          <w:color w:val="auto"/>
        </w:rPr>
        <w:t>QUALIFICATIONS, ATTRIBUTES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-93345</wp:posOffset>
            </wp:positionV>
            <wp:extent cx="1252220" cy="14833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52220" cy="1483360"/>
                    </a:xfrm>
                    <a:prstGeom prst="rect">
                      <a:avLst/>
                    </a:prstGeom>
                    <a:noFill/>
                  </pic:spPr>
                </pic:pic>
              </a:graphicData>
            </a:graphic>
          </wp:anchor>
        </w:drawing>
      </w:r>
    </w:p>
    <w:p>
      <w:pPr>
        <w:ind w:left="2920" w:right="60"/>
        <w:spacing w:after="0" w:line="245" w:lineRule="auto"/>
        <w:rPr>
          <w:sz w:val="20"/>
          <w:szCs w:val="20"/>
          <w:color w:val="auto"/>
        </w:rPr>
      </w:pPr>
      <w:r>
        <w:rPr>
          <w:rFonts w:ascii="Arial" w:cs="Arial" w:eastAsia="Arial" w:hAnsi="Arial"/>
          <w:sz w:val="14"/>
          <w:szCs w:val="14"/>
          <w:color w:val="auto"/>
        </w:rPr>
        <w:t>Mr. Fees has critical expertise in government businesses, management of international businesses, development of technology, and nuclear technology. He served as the Chief Executive Officer and director of McDermott, our former parent company, and maintains key relationships important to our business. He has led initiatives to acquire key assets for the company, divest under-performing businesses, and create significant shareholder value in the BWXT operating businesses. All of these attributes make him well qualified to serve as Executive Chairman of the Board of BWXT.</w:t>
      </w:r>
    </w:p>
    <w:p>
      <w:pPr>
        <w:sectPr>
          <w:pgSz w:w="11900" w:h="16838" w:orient="portrait"/>
          <w:cols w:equalWidth="0" w:num="1">
            <w:col w:w="11360"/>
          </w:cols>
          <w:pgMar w:left="240" w:top="125"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JOHN A.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-170180</wp:posOffset>
            </wp:positionV>
            <wp:extent cx="1663700" cy="4032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663700" cy="40322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4"/>
          <w:szCs w:val="14"/>
          <w:b w:val="1"/>
          <w:bCs w:val="1"/>
          <w:color w:val="auto"/>
        </w:rPr>
        <w:t>Age 60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b w:val="1"/>
          <w:bCs w:val="1"/>
          <w:i w:val="1"/>
          <w:iCs w:val="1"/>
          <w:color w:val="auto"/>
        </w:rPr>
        <w:t>Executive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100330</wp:posOffset>
            </wp:positionV>
            <wp:extent cx="1663700" cy="2057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663700" cy="205740"/>
                    </a:xfrm>
                    <a:prstGeom prst="rect">
                      <a:avLst/>
                    </a:prstGeom>
                    <a:noFill/>
                  </pic:spPr>
                </pic:pic>
              </a:graphicData>
            </a:graphic>
          </wp:anchor>
        </w:drawing>
      </w:r>
    </w:p>
    <w:p>
      <w:pPr>
        <w:spacing w:after="0" w:line="264"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Director since 2010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Professional Highlights:</w:t>
      </w:r>
    </w:p>
    <w:p>
      <w:pPr>
        <w:spacing w:after="0" w:line="19" w:lineRule="exact"/>
        <w:rPr>
          <w:sz w:val="20"/>
          <w:szCs w:val="20"/>
          <w:color w:val="auto"/>
        </w:rPr>
      </w:pPr>
    </w:p>
    <w:p>
      <w:pPr>
        <w:ind w:left="8" w:right="40" w:hanging="8"/>
        <w:spacing w:after="0" w:line="241" w:lineRule="auto"/>
        <w:tabs>
          <w:tab w:leader="none" w:pos="171" w:val="left"/>
        </w:tabs>
        <w:numPr>
          <w:ilvl w:val="0"/>
          <w:numId w:val="37"/>
        </w:numPr>
        <w:rPr>
          <w:rFonts w:ascii="Arial" w:cs="Arial" w:eastAsia="Arial" w:hAnsi="Arial"/>
          <w:sz w:val="14"/>
          <w:szCs w:val="14"/>
          <w:color w:val="auto"/>
        </w:rPr>
      </w:pPr>
      <w:r>
        <w:rPr>
          <w:rFonts w:ascii="Arial" w:cs="Arial" w:eastAsia="Arial" w:hAnsi="Arial"/>
          <w:sz w:val="14"/>
          <w:szCs w:val="14"/>
          <w:color w:val="auto"/>
        </w:rPr>
        <w:t>Mr. Fees is the Executive Chairman of our Board of Directors and has served in that capacity since the June 2015 spin-off of our Power Generation business.</w:t>
      </w:r>
    </w:p>
    <w:p>
      <w:pPr>
        <w:spacing w:after="0" w:line="1" w:lineRule="exact"/>
        <w:rPr>
          <w:rFonts w:ascii="Arial" w:cs="Arial" w:eastAsia="Arial" w:hAnsi="Arial"/>
          <w:sz w:val="14"/>
          <w:szCs w:val="14"/>
          <w:color w:val="auto"/>
        </w:rPr>
      </w:pPr>
    </w:p>
    <w:p>
      <w:pPr>
        <w:ind w:left="8" w:right="120" w:hanging="8"/>
        <w:spacing w:after="0" w:line="241" w:lineRule="auto"/>
        <w:tabs>
          <w:tab w:leader="none" w:pos="171" w:val="left"/>
        </w:tabs>
        <w:numPr>
          <w:ilvl w:val="0"/>
          <w:numId w:val="37"/>
        </w:numPr>
        <w:rPr>
          <w:rFonts w:ascii="Arial" w:cs="Arial" w:eastAsia="Arial" w:hAnsi="Arial"/>
          <w:sz w:val="14"/>
          <w:szCs w:val="14"/>
          <w:color w:val="auto"/>
        </w:rPr>
      </w:pPr>
      <w:r>
        <w:rPr>
          <w:rFonts w:ascii="Arial" w:cs="Arial" w:eastAsia="Arial" w:hAnsi="Arial"/>
          <w:sz w:val="14"/>
          <w:szCs w:val="14"/>
          <w:color w:val="auto"/>
        </w:rPr>
        <w:t>Previously, he served as our non-Executive Chairman since July 2010.</w:t>
      </w:r>
    </w:p>
    <w:p>
      <w:pPr>
        <w:ind w:left="8" w:hanging="8"/>
        <w:spacing w:after="0" w:line="247" w:lineRule="auto"/>
        <w:tabs>
          <w:tab w:leader="none" w:pos="171" w:val="left"/>
        </w:tabs>
        <w:numPr>
          <w:ilvl w:val="0"/>
          <w:numId w:val="37"/>
        </w:numPr>
        <w:rPr>
          <w:rFonts w:ascii="Arial" w:cs="Arial" w:eastAsia="Arial" w:hAnsi="Arial"/>
          <w:sz w:val="14"/>
          <w:szCs w:val="14"/>
          <w:color w:val="auto"/>
        </w:rPr>
      </w:pPr>
      <w:r>
        <w:rPr>
          <w:rFonts w:ascii="Arial" w:cs="Arial" w:eastAsia="Arial" w:hAnsi="Arial"/>
          <w:sz w:val="14"/>
          <w:szCs w:val="14"/>
          <w:color w:val="auto"/>
        </w:rPr>
        <w:t>From October 2008 to July 2010, he was Chief Executive Officer and a director of our former parent company, McDermott, where he led the company and McDermott’s board through the separation of the company into two publicly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60" w:right="280"/>
        <w:spacing w:after="0" w:line="241" w:lineRule="auto"/>
        <w:rPr>
          <w:sz w:val="20"/>
          <w:szCs w:val="20"/>
          <w:color w:val="auto"/>
        </w:rPr>
      </w:pPr>
      <w:r>
        <w:rPr>
          <w:rFonts w:ascii="Arial" w:cs="Arial" w:eastAsia="Arial" w:hAnsi="Arial"/>
          <w:sz w:val="14"/>
          <w:szCs w:val="14"/>
          <w:color w:val="auto"/>
        </w:rPr>
        <w:t>traded companies by the spin-off of BWXT to McDermott’s shareholders.</w:t>
      </w:r>
    </w:p>
    <w:p>
      <w:pPr>
        <w:spacing w:after="0" w:line="1" w:lineRule="exact"/>
        <w:rPr>
          <w:sz w:val="20"/>
          <w:szCs w:val="20"/>
          <w:color w:val="auto"/>
        </w:rPr>
      </w:pPr>
    </w:p>
    <w:p>
      <w:pPr>
        <w:ind w:right="100"/>
        <w:spacing w:after="0" w:line="241" w:lineRule="auto"/>
        <w:tabs>
          <w:tab w:leader="none" w:pos="162" w:val="left"/>
        </w:tabs>
        <w:numPr>
          <w:ilvl w:val="0"/>
          <w:numId w:val="38"/>
        </w:numPr>
        <w:rPr>
          <w:rFonts w:ascii="Arial" w:cs="Arial" w:eastAsia="Arial" w:hAnsi="Arial"/>
          <w:sz w:val="14"/>
          <w:szCs w:val="14"/>
          <w:color w:val="auto"/>
        </w:rPr>
      </w:pPr>
      <w:r>
        <w:rPr>
          <w:rFonts w:ascii="Arial" w:cs="Arial" w:eastAsia="Arial" w:hAnsi="Arial"/>
          <w:sz w:val="14"/>
          <w:szCs w:val="14"/>
          <w:color w:val="auto"/>
        </w:rPr>
        <w:t>Prior to becoming McDermott’s Chief Executive Officer in 2008, Mr. Fees led a distinguished career at BWXT for over 31 years. During his time with BWXT, Mr. Fees held numerous management and executive positions within BWXT when it was a McDermott subsidiary.</w:t>
      </w:r>
    </w:p>
    <w:p>
      <w:pPr>
        <w:spacing w:after="0" w:line="1" w:lineRule="exact"/>
        <w:rPr>
          <w:rFonts w:ascii="Arial" w:cs="Arial" w:eastAsia="Arial" w:hAnsi="Arial"/>
          <w:sz w:val="14"/>
          <w:szCs w:val="14"/>
          <w:color w:val="auto"/>
        </w:rPr>
      </w:pPr>
    </w:p>
    <w:p>
      <w:pPr>
        <w:ind w:right="520"/>
        <w:spacing w:after="0" w:line="258" w:lineRule="auto"/>
        <w:tabs>
          <w:tab w:leader="none" w:pos="162" w:val="left"/>
        </w:tabs>
        <w:numPr>
          <w:ilvl w:val="0"/>
          <w:numId w:val="38"/>
        </w:numPr>
        <w:rPr>
          <w:rFonts w:ascii="Arial" w:cs="Arial" w:eastAsia="Arial" w:hAnsi="Arial"/>
          <w:sz w:val="14"/>
          <w:szCs w:val="14"/>
          <w:color w:val="auto"/>
        </w:rPr>
      </w:pPr>
      <w:r>
        <w:rPr>
          <w:rFonts w:ascii="Arial" w:cs="Arial" w:eastAsia="Arial" w:hAnsi="Arial"/>
          <w:sz w:val="14"/>
          <w:szCs w:val="14"/>
          <w:color w:val="auto"/>
        </w:rPr>
        <w:t>Mr. Fees serves on the board of directors of Brookfield Infrastructure Partners.</w:t>
      </w:r>
    </w:p>
    <w:p>
      <w:pPr>
        <w:spacing w:after="0" w:line="300" w:lineRule="exact"/>
        <w:rPr>
          <w:sz w:val="20"/>
          <w:szCs w:val="20"/>
          <w:color w:val="auto"/>
        </w:rPr>
      </w:pPr>
    </w:p>
    <w:p>
      <w:pPr>
        <w:sectPr>
          <w:pgSz w:w="11900" w:h="16838" w:orient="portrait"/>
          <w:cols w:equalWidth="0" w:num="3">
            <w:col w:w="2192" w:space="720"/>
            <w:col w:w="4088" w:space="220"/>
            <w:col w:w="4140"/>
          </w:cols>
          <w:pgMar w:left="240" w:top="125" w:right="299" w:bottom="1440" w:gutter="0" w:footer="0" w:header="0"/>
          <w:type w:val="continuous"/>
        </w:sectPr>
      </w:pP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2C2C2C"/>
        </w:rPr>
        <w:t xml:space="preserve">8 </w:t>
      </w:r>
      <w:r>
        <w:rPr>
          <w:sz w:val="1"/>
          <w:szCs w:val="1"/>
          <w:color w:val="auto"/>
        </w:rPr>
        <w:drawing>
          <wp:inline distT="0" distB="0" distL="0" distR="0">
            <wp:extent cx="445770" cy="18034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45770" cy="180340"/>
                    </a:xfrm>
                    <a:prstGeom prst="rect">
                      <a:avLst/>
                    </a:prstGeom>
                    <a:noFill/>
                    <a:ln>
                      <a:noFill/>
                    </a:ln>
                  </pic:spPr>
                </pic:pic>
              </a:graphicData>
            </a:graphic>
          </wp:inline>
        </w:drawing>
      </w:r>
      <w:r>
        <w:rPr>
          <w:rFonts w:ascii="Arial" w:cs="Arial" w:eastAsia="Arial" w:hAnsi="Arial"/>
          <w:sz w:val="17"/>
          <w:szCs w:val="17"/>
          <w:color w:val="auto"/>
        </w:rPr>
        <w:t xml:space="preserve"> 2018 PROXY STATEMENT</w:t>
      </w:r>
    </w:p>
    <w:p>
      <w:pPr>
        <w:sectPr>
          <w:pgSz w:w="11900" w:h="16838" w:orient="portrait"/>
          <w:cols w:equalWidth="0" w:num="1">
            <w:col w:w="11360"/>
          </w:cols>
          <w:pgMar w:left="240" w:top="125" w:right="299" w:bottom="1440" w:gutter="0" w:footer="0" w:header="0"/>
          <w:type w:val="continuous"/>
        </w:sectPr>
      </w:pPr>
    </w:p>
    <w:bookmarkStart w:id="17" w:name="page18"/>
    <w:bookmarkEnd w:id="17"/>
    <w:p>
      <w:pPr>
        <w:ind w:left="7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780"/>
        <w:spacing w:after="0"/>
        <w:rPr>
          <w:sz w:val="20"/>
          <w:szCs w:val="20"/>
          <w:color w:val="auto"/>
        </w:rPr>
      </w:pPr>
      <w:r>
        <w:rPr>
          <w:rFonts w:ascii="Arial" w:cs="Arial" w:eastAsia="Arial" w:hAnsi="Arial"/>
          <w:sz w:val="14"/>
          <w:szCs w:val="14"/>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2740"/>
        <w:spacing w:after="0"/>
        <w:rPr>
          <w:sz w:val="20"/>
          <w:szCs w:val="20"/>
          <w:color w:val="auto"/>
        </w:rPr>
      </w:pPr>
      <w:r>
        <w:rPr>
          <w:rFonts w:ascii="Arial" w:cs="Arial" w:eastAsia="Arial" w:hAnsi="Arial"/>
          <w:sz w:val="14"/>
          <w:szCs w:val="14"/>
          <w:b w:val="1"/>
          <w:bCs w:val="1"/>
          <w:color w:val="auto"/>
        </w:rPr>
        <w:t>QUALIFICATIONS, ATTRIBUTES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-93345</wp:posOffset>
            </wp:positionV>
            <wp:extent cx="1252220" cy="14833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52220" cy="1483360"/>
                    </a:xfrm>
                    <a:prstGeom prst="rect">
                      <a:avLst/>
                    </a:prstGeom>
                    <a:noFill/>
                  </pic:spPr>
                </pic:pic>
              </a:graphicData>
            </a:graphic>
          </wp:anchor>
        </w:drawing>
      </w:r>
    </w:p>
    <w:p>
      <w:pPr>
        <w:ind w:left="2740" w:right="540"/>
        <w:spacing w:after="0" w:line="258" w:lineRule="auto"/>
        <w:rPr>
          <w:sz w:val="20"/>
          <w:szCs w:val="20"/>
          <w:color w:val="auto"/>
        </w:rPr>
      </w:pPr>
      <w:r>
        <w:rPr>
          <w:rFonts w:ascii="Arial" w:cs="Arial" w:eastAsia="Arial" w:hAnsi="Arial"/>
          <w:sz w:val="14"/>
          <w:szCs w:val="14"/>
          <w:color w:val="auto"/>
        </w:rPr>
        <w:t>Mr. LeMasters’ extensive experience in capital markets, financial analysis and mergers and acquisitions allows him to provide valuable resources and perspectives to our Board.</w:t>
      </w:r>
    </w:p>
    <w:p>
      <w:pPr>
        <w:sectPr>
          <w:pgSz w:w="11900" w:h="16838" w:orient="portrait"/>
          <w:cols w:equalWidth="0" w:num="1">
            <w:col w:w="11240"/>
          </w:cols>
          <w:pgMar w:left="42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72"/>
        <w:spacing w:after="0" w:line="285" w:lineRule="auto"/>
        <w:rPr>
          <w:sz w:val="20"/>
          <w:szCs w:val="20"/>
          <w:color w:val="auto"/>
        </w:rPr>
      </w:pPr>
      <w:r>
        <w:rPr>
          <w:rFonts w:ascii="Arial" w:cs="Arial" w:eastAsia="Arial" w:hAnsi="Arial"/>
          <w:sz w:val="14"/>
          <w:szCs w:val="14"/>
          <w:b w:val="1"/>
          <w:bCs w:val="1"/>
          <w:color w:val="auto"/>
        </w:rPr>
        <w:t>ROBB A. LEMASTERS 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-250825</wp:posOffset>
            </wp:positionV>
            <wp:extent cx="1663700" cy="2400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663700" cy="240030"/>
                    </a:xfrm>
                    <a:prstGeom prst="rect">
                      <a:avLst/>
                    </a:prstGeom>
                    <a:noFill/>
                  </pic:spPr>
                </pic:pic>
              </a:graphicData>
            </a:graphic>
          </wp:anchor>
        </w:drawing>
        <w:drawing>
          <wp:anchor simplePos="0" relativeHeight="251657728" behindDoc="1" locked="0" layoutInCell="0" allowOverlap="1">
            <wp:simplePos x="0" y="0"/>
            <wp:positionH relativeFrom="column">
              <wp:posOffset>-91440</wp:posOffset>
            </wp:positionH>
            <wp:positionV relativeFrom="paragraph">
              <wp:posOffset>66040</wp:posOffset>
            </wp:positionV>
            <wp:extent cx="166370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663700" cy="17145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Director since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100965</wp:posOffset>
            </wp:positionV>
            <wp:extent cx="1663700" cy="3429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663700" cy="34290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Committees: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Audit and Finance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Professional Highlights:</w:t>
      </w:r>
    </w:p>
    <w:p>
      <w:pPr>
        <w:spacing w:after="0" w:line="19" w:lineRule="exact"/>
        <w:rPr>
          <w:sz w:val="20"/>
          <w:szCs w:val="20"/>
          <w:color w:val="auto"/>
        </w:rPr>
      </w:pPr>
    </w:p>
    <w:p>
      <w:pPr>
        <w:ind w:left="8" w:hanging="8"/>
        <w:spacing w:after="0" w:line="241" w:lineRule="auto"/>
        <w:tabs>
          <w:tab w:leader="none" w:pos="171" w:val="left"/>
        </w:tabs>
        <w:numPr>
          <w:ilvl w:val="0"/>
          <w:numId w:val="39"/>
        </w:numPr>
        <w:rPr>
          <w:rFonts w:ascii="Arial" w:cs="Arial" w:eastAsia="Arial" w:hAnsi="Arial"/>
          <w:sz w:val="14"/>
          <w:szCs w:val="14"/>
          <w:color w:val="auto"/>
        </w:rPr>
      </w:pPr>
      <w:r>
        <w:rPr>
          <w:rFonts w:ascii="Arial" w:cs="Arial" w:eastAsia="Arial" w:hAnsi="Arial"/>
          <w:sz w:val="14"/>
          <w:szCs w:val="14"/>
          <w:color w:val="auto"/>
        </w:rPr>
        <w:t>Mr. LeMasters is a Managing Director at Blue Harbour, L.P., a multi-billion dollar investment firm, a position he has held since 2011.</w:t>
      </w:r>
    </w:p>
    <w:p>
      <w:pPr>
        <w:spacing w:after="0" w:line="1" w:lineRule="exact"/>
        <w:rPr>
          <w:rFonts w:ascii="Arial" w:cs="Arial" w:eastAsia="Arial" w:hAnsi="Arial"/>
          <w:sz w:val="14"/>
          <w:szCs w:val="14"/>
          <w:color w:val="auto"/>
        </w:rPr>
      </w:pPr>
    </w:p>
    <w:p>
      <w:pPr>
        <w:ind w:left="8" w:right="260" w:hanging="8"/>
        <w:spacing w:after="0" w:line="241" w:lineRule="auto"/>
        <w:tabs>
          <w:tab w:leader="none" w:pos="171" w:val="left"/>
        </w:tabs>
        <w:numPr>
          <w:ilvl w:val="0"/>
          <w:numId w:val="39"/>
        </w:numPr>
        <w:rPr>
          <w:rFonts w:ascii="Arial" w:cs="Arial" w:eastAsia="Arial" w:hAnsi="Arial"/>
          <w:sz w:val="14"/>
          <w:szCs w:val="14"/>
          <w:color w:val="auto"/>
        </w:rPr>
      </w:pPr>
      <w:r>
        <w:rPr>
          <w:rFonts w:ascii="Arial" w:cs="Arial" w:eastAsia="Arial" w:hAnsi="Arial"/>
          <w:sz w:val="14"/>
          <w:szCs w:val="14"/>
          <w:color w:val="auto"/>
        </w:rPr>
        <w:t>Prior to joining Blue Harbour Group, he was a Founding Partner of Theleme Partners from 2009 to September 2011.</w:t>
      </w:r>
    </w:p>
    <w:p>
      <w:pPr>
        <w:ind w:left="8" w:hanging="8"/>
        <w:spacing w:after="0" w:line="247" w:lineRule="auto"/>
        <w:tabs>
          <w:tab w:leader="none" w:pos="171" w:val="left"/>
        </w:tabs>
        <w:numPr>
          <w:ilvl w:val="0"/>
          <w:numId w:val="39"/>
        </w:numPr>
        <w:rPr>
          <w:rFonts w:ascii="Arial" w:cs="Arial" w:eastAsia="Arial" w:hAnsi="Arial"/>
          <w:sz w:val="14"/>
          <w:szCs w:val="14"/>
          <w:color w:val="auto"/>
        </w:rPr>
      </w:pPr>
      <w:r>
        <w:rPr>
          <w:rFonts w:ascii="Arial" w:cs="Arial" w:eastAsia="Arial" w:hAnsi="Arial"/>
          <w:sz w:val="14"/>
          <w:szCs w:val="14"/>
          <w:color w:val="auto"/>
        </w:rPr>
        <w:t>Mr. LeMasters has also served as a Partner at The Children’s Investment Fund (TCI) from 2008 to 2009 and a Vice President in the Relative Value/Event-Driven Group at Highbridge Capital Management from 2005 to 2008.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440"/>
        <w:spacing w:after="0" w:line="241" w:lineRule="auto"/>
        <w:tabs>
          <w:tab w:leader="none" w:pos="162" w:val="left"/>
        </w:tabs>
        <w:numPr>
          <w:ilvl w:val="0"/>
          <w:numId w:val="40"/>
        </w:numPr>
        <w:rPr>
          <w:rFonts w:ascii="Arial" w:cs="Arial" w:eastAsia="Arial" w:hAnsi="Arial"/>
          <w:sz w:val="14"/>
          <w:szCs w:val="14"/>
          <w:color w:val="auto"/>
        </w:rPr>
      </w:pPr>
      <w:r>
        <w:rPr>
          <w:rFonts w:ascii="Arial" w:cs="Arial" w:eastAsia="Arial" w:hAnsi="Arial"/>
          <w:sz w:val="14"/>
          <w:szCs w:val="14"/>
          <w:color w:val="auto"/>
        </w:rPr>
        <w:t>Mr. LeMasters began his career as an analyst at Morgan Stanley &amp; Co. in the Mergers and Acquisitions Group and subsequently joined Forstmann Little &amp; Co. as an analyst.</w:t>
      </w:r>
    </w:p>
    <w:p>
      <w:pPr>
        <w:spacing w:after="0" w:line="1" w:lineRule="exact"/>
        <w:rPr>
          <w:rFonts w:ascii="Arial" w:cs="Arial" w:eastAsia="Arial" w:hAnsi="Arial"/>
          <w:sz w:val="14"/>
          <w:szCs w:val="14"/>
          <w:color w:val="auto"/>
        </w:rPr>
      </w:pPr>
    </w:p>
    <w:p>
      <w:pPr>
        <w:ind w:right="120"/>
        <w:spacing w:after="0" w:line="250" w:lineRule="auto"/>
        <w:tabs>
          <w:tab w:leader="none" w:pos="162" w:val="left"/>
        </w:tabs>
        <w:numPr>
          <w:ilvl w:val="0"/>
          <w:numId w:val="40"/>
        </w:numPr>
        <w:rPr>
          <w:rFonts w:ascii="Arial" w:cs="Arial" w:eastAsia="Arial" w:hAnsi="Arial"/>
          <w:sz w:val="14"/>
          <w:szCs w:val="14"/>
          <w:color w:val="auto"/>
        </w:rPr>
      </w:pPr>
      <w:r>
        <w:rPr>
          <w:rFonts w:ascii="Arial" w:cs="Arial" w:eastAsia="Arial" w:hAnsi="Arial"/>
          <w:sz w:val="14"/>
          <w:szCs w:val="14"/>
          <w:color w:val="auto"/>
        </w:rPr>
        <w:t>Mr. LeMasters earned his B.S. from the University of Pennsylvania in 1999 and his M.B.A. from the Harvard Business School in 2005.</w:t>
      </w:r>
    </w:p>
    <w:p>
      <w:pPr>
        <w:spacing w:after="0" w:line="1085" w:lineRule="exact"/>
        <w:rPr>
          <w:sz w:val="20"/>
          <w:szCs w:val="20"/>
          <w:color w:val="auto"/>
        </w:rPr>
      </w:pPr>
    </w:p>
    <w:p>
      <w:pPr>
        <w:sectPr>
          <w:pgSz w:w="11900" w:h="16838" w:orient="portrait"/>
          <w:cols w:equalWidth="0" w:num="3">
            <w:col w:w="2012" w:space="720"/>
            <w:col w:w="4068" w:space="240"/>
            <w:col w:w="4200"/>
          </w:cols>
          <w:pgMar w:left="420" w:top="125" w:right="239" w:bottom="1440" w:gutter="0" w:footer="0" w:header="0"/>
          <w:type w:val="continuous"/>
        </w:sectPr>
      </w:pPr>
    </w:p>
    <w:p>
      <w:pPr>
        <w:ind w:left="2740"/>
        <w:spacing w:after="0"/>
        <w:rPr>
          <w:sz w:val="20"/>
          <w:szCs w:val="20"/>
          <w:color w:val="auto"/>
        </w:rPr>
      </w:pPr>
      <w:r>
        <w:rPr>
          <w:rFonts w:ascii="Arial" w:cs="Arial" w:eastAsia="Arial" w:hAnsi="Arial"/>
          <w:sz w:val="14"/>
          <w:szCs w:val="14"/>
          <w:b w:val="1"/>
          <w:bCs w:val="1"/>
          <w:color w:val="auto"/>
        </w:rPr>
        <w:t>QUALIFICATIONS, ATTRIBUTES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-93345</wp:posOffset>
            </wp:positionV>
            <wp:extent cx="1252220" cy="14833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52220" cy="1483360"/>
                    </a:xfrm>
                    <a:prstGeom prst="rect">
                      <a:avLst/>
                    </a:prstGeom>
                    <a:noFill/>
                  </pic:spPr>
                </pic:pic>
              </a:graphicData>
            </a:graphic>
          </wp:anchor>
        </w:drawing>
      </w:r>
    </w:p>
    <w:p>
      <w:pPr>
        <w:ind w:left="2740" w:right="140"/>
        <w:spacing w:after="0" w:line="247" w:lineRule="auto"/>
        <w:rPr>
          <w:sz w:val="20"/>
          <w:szCs w:val="20"/>
          <w:color w:val="auto"/>
        </w:rPr>
      </w:pPr>
      <w:r>
        <w:rPr>
          <w:rFonts w:ascii="Arial" w:cs="Arial" w:eastAsia="Arial" w:hAnsi="Arial"/>
          <w:sz w:val="14"/>
          <w:szCs w:val="14"/>
          <w:color w:val="auto"/>
        </w:rPr>
        <w:t>Admiral Mies’ distinguished leadership as the senior operational commander of the U.S. Submarine Force and Commander in Chief of U.S. Strategic Command, his extensive business experience at a company providing scientific and engineering applications for national security, energy, and environment, as well as his service on advisory boards to the Department of Defense and Department of Energy, provide an extensive and unique understanding of the U.S. government, our single largest customer.</w:t>
      </w:r>
    </w:p>
    <w:p>
      <w:pPr>
        <w:sectPr>
          <w:pgSz w:w="11900" w:h="16838" w:orient="portrait"/>
          <w:cols w:equalWidth="0" w:num="1">
            <w:col w:w="11240"/>
          </w:cols>
          <w:pgMar w:left="42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RICHARD W. MIES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-127635</wp:posOffset>
            </wp:positionV>
            <wp:extent cx="1663700" cy="2571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663700" cy="25717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Age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92075</wp:posOffset>
            </wp:positionV>
            <wp:extent cx="1663700"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663700" cy="18859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Director since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100965</wp:posOffset>
            </wp:positionV>
            <wp:extent cx="1663700" cy="3689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663700" cy="36893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Committees: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Governance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Safety and Security </w:t>
      </w:r>
      <w:r>
        <w:rPr>
          <w:rFonts w:ascii="Arial" w:cs="Arial" w:eastAsia="Arial" w:hAnsi="Arial"/>
          <w:sz w:val="14"/>
          <w:szCs w:val="14"/>
          <w:i w:val="1"/>
          <w:iCs w:val="1"/>
          <w:color w:val="auto"/>
        </w:rPr>
        <w:t>—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Professional Highlights:</w:t>
      </w:r>
    </w:p>
    <w:p>
      <w:pPr>
        <w:spacing w:after="0" w:line="19" w:lineRule="exact"/>
        <w:rPr>
          <w:sz w:val="20"/>
          <w:szCs w:val="20"/>
          <w:color w:val="auto"/>
        </w:rPr>
      </w:pPr>
    </w:p>
    <w:p>
      <w:pPr>
        <w:ind w:left="8" w:right="60" w:hanging="8"/>
        <w:spacing w:after="0" w:line="241" w:lineRule="auto"/>
        <w:tabs>
          <w:tab w:leader="none" w:pos="171" w:val="left"/>
        </w:tabs>
        <w:numPr>
          <w:ilvl w:val="0"/>
          <w:numId w:val="41"/>
        </w:numPr>
        <w:rPr>
          <w:rFonts w:ascii="Arial" w:cs="Arial" w:eastAsia="Arial" w:hAnsi="Arial"/>
          <w:sz w:val="14"/>
          <w:szCs w:val="14"/>
          <w:color w:val="auto"/>
        </w:rPr>
      </w:pPr>
      <w:r>
        <w:rPr>
          <w:rFonts w:ascii="Arial" w:cs="Arial" w:eastAsia="Arial" w:hAnsi="Arial"/>
          <w:sz w:val="14"/>
          <w:szCs w:val="14"/>
          <w:color w:val="auto"/>
        </w:rPr>
        <w:t>Admiral Mies completed a distinguished 35-year career in the U.S. Navy in 2002. A nuclear submariner, he commanded U.S. Strategic Command for four years prior to his retirement.</w:t>
      </w:r>
    </w:p>
    <w:p>
      <w:pPr>
        <w:spacing w:after="0" w:line="1" w:lineRule="exact"/>
        <w:rPr>
          <w:rFonts w:ascii="Arial" w:cs="Arial" w:eastAsia="Arial" w:hAnsi="Arial"/>
          <w:sz w:val="14"/>
          <w:szCs w:val="14"/>
          <w:color w:val="auto"/>
        </w:rPr>
      </w:pPr>
    </w:p>
    <w:p>
      <w:pPr>
        <w:ind w:left="8" w:right="20" w:hanging="8"/>
        <w:spacing w:after="0" w:line="241" w:lineRule="auto"/>
        <w:tabs>
          <w:tab w:leader="none" w:pos="171" w:val="left"/>
        </w:tabs>
        <w:numPr>
          <w:ilvl w:val="0"/>
          <w:numId w:val="41"/>
        </w:numPr>
        <w:rPr>
          <w:rFonts w:ascii="Arial" w:cs="Arial" w:eastAsia="Arial" w:hAnsi="Arial"/>
          <w:sz w:val="14"/>
          <w:szCs w:val="14"/>
          <w:color w:val="auto"/>
        </w:rPr>
      </w:pPr>
      <w:r>
        <w:rPr>
          <w:rFonts w:ascii="Arial" w:cs="Arial" w:eastAsia="Arial" w:hAnsi="Arial"/>
          <w:sz w:val="14"/>
          <w:szCs w:val="14"/>
          <w:color w:val="auto"/>
        </w:rPr>
        <w:t>He subsequently served as a Senior Vice President and Deputy Group President of Science Applications International Corporation (SAIC) from 2002 until 2007 and also served as the President and Chief Executive Officer of Hicks and Associates, a wholly owned subsidiary of SAIC.</w:t>
      </w:r>
    </w:p>
    <w:p>
      <w:pPr>
        <w:spacing w:after="0" w:line="1" w:lineRule="exact"/>
        <w:rPr>
          <w:rFonts w:ascii="Arial" w:cs="Arial" w:eastAsia="Arial" w:hAnsi="Arial"/>
          <w:sz w:val="14"/>
          <w:szCs w:val="14"/>
          <w:color w:val="auto"/>
        </w:rPr>
      </w:pPr>
    </w:p>
    <w:p>
      <w:pPr>
        <w:ind w:left="8" w:hanging="8"/>
        <w:spacing w:after="0" w:line="244" w:lineRule="auto"/>
        <w:tabs>
          <w:tab w:leader="none" w:pos="171" w:val="left"/>
        </w:tabs>
        <w:numPr>
          <w:ilvl w:val="0"/>
          <w:numId w:val="41"/>
        </w:numPr>
        <w:rPr>
          <w:rFonts w:ascii="Arial" w:cs="Arial" w:eastAsia="Arial" w:hAnsi="Arial"/>
          <w:sz w:val="14"/>
          <w:szCs w:val="14"/>
          <w:color w:val="auto"/>
        </w:rPr>
      </w:pPr>
      <w:r>
        <w:rPr>
          <w:rFonts w:ascii="Arial" w:cs="Arial" w:eastAsia="Arial" w:hAnsi="Arial"/>
          <w:sz w:val="14"/>
          <w:szCs w:val="14"/>
          <w:color w:val="auto"/>
        </w:rPr>
        <w:t>Since 2007, he has served as the CEO and President of The Mies Group, Ltd. a consulting firm that provides strategic planning and risk assessment advice and assistance to clients on international security, energy, defense, and maritime issues. He served as the Chairman of the Department of Defense Threat Reduction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auto"/>
        </w:rPr>
        <w:t>Advisory Committee from 2004 to 2010.</w:t>
      </w:r>
    </w:p>
    <w:p>
      <w:pPr>
        <w:spacing w:after="0" w:line="1" w:lineRule="exact"/>
        <w:rPr>
          <w:sz w:val="20"/>
          <w:szCs w:val="20"/>
          <w:color w:val="auto"/>
        </w:rPr>
      </w:pPr>
    </w:p>
    <w:p>
      <w:pPr>
        <w:ind w:left="-160" w:right="120" w:firstLine="162"/>
        <w:spacing w:after="0" w:line="241" w:lineRule="auto"/>
        <w:tabs>
          <w:tab w:leader="none" w:pos="164" w:val="left"/>
        </w:tabs>
        <w:numPr>
          <w:ilvl w:val="0"/>
          <w:numId w:val="42"/>
        </w:numPr>
        <w:rPr>
          <w:rFonts w:ascii="Arial" w:cs="Arial" w:eastAsia="Arial" w:hAnsi="Arial"/>
          <w:sz w:val="14"/>
          <w:szCs w:val="14"/>
          <w:color w:val="auto"/>
        </w:rPr>
      </w:pPr>
      <w:r>
        <w:rPr>
          <w:rFonts w:ascii="Arial" w:cs="Arial" w:eastAsia="Arial" w:hAnsi="Arial"/>
          <w:sz w:val="14"/>
          <w:szCs w:val="14"/>
          <w:color w:val="auto"/>
        </w:rPr>
        <w:t>He presently serves as the Chairman of the Strategic Advisory Group for U.S. Strategic Command, and previously served as Chairman of the Board of the Naval Submarine League (moved to Emeritus status in May 2016) and previously served as a member of the Secretary of Energy Advisory Board.</w:t>
      </w:r>
    </w:p>
    <w:p>
      <w:pPr>
        <w:spacing w:after="0" w:line="1" w:lineRule="exact"/>
        <w:rPr>
          <w:rFonts w:ascii="Arial" w:cs="Arial" w:eastAsia="Arial" w:hAnsi="Arial"/>
          <w:sz w:val="14"/>
          <w:szCs w:val="14"/>
          <w:color w:val="auto"/>
        </w:rPr>
      </w:pPr>
    </w:p>
    <w:p>
      <w:pPr>
        <w:ind w:left="-160" w:right="120" w:firstLine="162"/>
        <w:spacing w:after="0" w:line="241" w:lineRule="auto"/>
        <w:tabs>
          <w:tab w:leader="none" w:pos="164" w:val="left"/>
        </w:tabs>
        <w:numPr>
          <w:ilvl w:val="0"/>
          <w:numId w:val="42"/>
        </w:numPr>
        <w:rPr>
          <w:rFonts w:ascii="Arial" w:cs="Arial" w:eastAsia="Arial" w:hAnsi="Arial"/>
          <w:sz w:val="14"/>
          <w:szCs w:val="14"/>
          <w:color w:val="auto"/>
        </w:rPr>
      </w:pPr>
      <w:r>
        <w:rPr>
          <w:rFonts w:ascii="Arial" w:cs="Arial" w:eastAsia="Arial" w:hAnsi="Arial"/>
          <w:sz w:val="14"/>
          <w:szCs w:val="14"/>
          <w:color w:val="auto"/>
        </w:rPr>
        <w:t>He is a member of the Committee on International Security and Arms Control of the National Academy of Sciences, the Boards of Governors of Los Alamos National Laboratory (LANL) and Lawrence Livermore National Laboratory (LLNL), and the U.S. Naval Academy Foundation and the U.S. Naval Institute.</w:t>
      </w:r>
    </w:p>
    <w:p>
      <w:pPr>
        <w:spacing w:after="0" w:line="1" w:lineRule="exact"/>
        <w:rPr>
          <w:rFonts w:ascii="Arial" w:cs="Arial" w:eastAsia="Arial" w:hAnsi="Arial"/>
          <w:sz w:val="14"/>
          <w:szCs w:val="14"/>
          <w:color w:val="auto"/>
        </w:rPr>
      </w:pPr>
    </w:p>
    <w:p>
      <w:pPr>
        <w:ind w:left="-160" w:right="340" w:firstLine="162"/>
        <w:spacing w:after="0" w:line="250" w:lineRule="auto"/>
        <w:tabs>
          <w:tab w:leader="none" w:pos="164" w:val="left"/>
        </w:tabs>
        <w:numPr>
          <w:ilvl w:val="0"/>
          <w:numId w:val="42"/>
        </w:numPr>
        <w:rPr>
          <w:rFonts w:ascii="Arial" w:cs="Arial" w:eastAsia="Arial" w:hAnsi="Arial"/>
          <w:sz w:val="14"/>
          <w:szCs w:val="14"/>
          <w:color w:val="auto"/>
        </w:rPr>
      </w:pPr>
      <w:r>
        <w:rPr>
          <w:rFonts w:ascii="Arial" w:cs="Arial" w:eastAsia="Arial" w:hAnsi="Arial"/>
          <w:sz w:val="14"/>
          <w:szCs w:val="14"/>
          <w:color w:val="auto"/>
        </w:rPr>
        <w:t>He has also been a member of the board of directors of Exelon Corporation since 2009 and served as a director of McDermott from August 2008 to July 2010.</w:t>
      </w:r>
    </w:p>
    <w:p>
      <w:pPr>
        <w:spacing w:after="0" w:line="354" w:lineRule="exact"/>
        <w:rPr>
          <w:sz w:val="20"/>
          <w:szCs w:val="20"/>
          <w:color w:val="auto"/>
        </w:rPr>
      </w:pPr>
    </w:p>
    <w:p>
      <w:pPr>
        <w:sectPr>
          <w:pgSz w:w="11900" w:h="16838" w:orient="portrait"/>
          <w:cols w:equalWidth="0" w:num="3">
            <w:col w:w="2012" w:space="720"/>
            <w:col w:w="4128" w:space="340"/>
            <w:col w:w="4040"/>
          </w:cols>
          <w:pgMar w:left="420" w:top="125" w:right="239"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ind w:left="8080"/>
        <w:spacing w:after="0"/>
        <w:rPr>
          <w:sz w:val="20"/>
          <w:szCs w:val="20"/>
          <w:color w:val="auto"/>
        </w:rPr>
      </w:pPr>
      <w:r>
        <w:rPr>
          <w:sz w:val="1"/>
          <w:szCs w:val="1"/>
          <w:color w:val="auto"/>
        </w:rPr>
        <w:drawing>
          <wp:inline distT="0" distB="0" distL="0" distR="0">
            <wp:extent cx="488950" cy="20574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88950" cy="205740"/>
                    </a:xfrm>
                    <a:prstGeom prst="rect">
                      <a:avLst/>
                    </a:prstGeom>
                    <a:noFill/>
                    <a:ln>
                      <a:noFill/>
                    </a:ln>
                  </pic:spPr>
                </pic:pic>
              </a:graphicData>
            </a:graphic>
          </wp:inline>
        </w:drawing>
      </w:r>
      <w:r>
        <w:rPr>
          <w:rFonts w:ascii="Arial" w:cs="Arial" w:eastAsia="Arial" w:hAnsi="Arial"/>
          <w:sz w:val="17"/>
          <w:szCs w:val="17"/>
          <w:color w:val="auto"/>
        </w:rPr>
        <w:t xml:space="preserve"> 2018 PROXY STATEMENT </w:t>
      </w:r>
      <w:r>
        <w:rPr>
          <w:rFonts w:ascii="Arial" w:cs="Arial" w:eastAsia="Arial" w:hAnsi="Arial"/>
          <w:sz w:val="17"/>
          <w:szCs w:val="17"/>
          <w:b w:val="1"/>
          <w:bCs w:val="1"/>
          <w:color w:val="2C2C2C"/>
        </w:rPr>
        <w:t>9</w:t>
      </w:r>
    </w:p>
    <w:p>
      <w:pPr>
        <w:sectPr>
          <w:pgSz w:w="11900" w:h="16838" w:orient="portrait"/>
          <w:cols w:equalWidth="0" w:num="1">
            <w:col w:w="11240"/>
          </w:cols>
          <w:pgMar w:left="420" w:top="125" w:right="239" w:bottom="1440" w:gutter="0" w:footer="0" w:header="0"/>
          <w:type w:val="continuous"/>
        </w:sectPr>
      </w:pPr>
    </w:p>
    <w:bookmarkStart w:id="18" w:name="page19"/>
    <w:bookmarkEnd w:id="18"/>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8400"/>
        <w:spacing w:after="0"/>
        <w:rPr>
          <w:sz w:val="20"/>
          <w:szCs w:val="20"/>
          <w:color w:val="auto"/>
        </w:rPr>
      </w:pPr>
      <w:r>
        <w:rPr>
          <w:rFonts w:ascii="Arial" w:cs="Arial" w:eastAsia="Arial" w:hAnsi="Arial"/>
          <w:sz w:val="14"/>
          <w:szCs w:val="14"/>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CORPORATE GOVERNANCE</w:t>
      </w:r>
    </w:p>
    <w:p>
      <w:pPr>
        <w:spacing w:after="0" w:line="20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maintain a corporate governance section on our website, which contains copies of our principal governance documents. The corporate governance section may be found at www.bwxt.com at “Investors — Corporate Governance.” The corporate governance section includes the following documents:</w:t>
      </w:r>
    </w:p>
    <w:p>
      <w:pPr>
        <w:spacing w:after="0" w:line="94" w:lineRule="exact"/>
        <w:rPr>
          <w:sz w:val="20"/>
          <w:szCs w:val="20"/>
          <w:color w:val="auto"/>
        </w:rPr>
      </w:pPr>
    </w:p>
    <w:p>
      <w:pPr>
        <w:ind w:left="340" w:hanging="170"/>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Amended and Restated Bylaws</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Corporate Governance Principles</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Code of Business Conduct</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Code of Ethics for Chief Executive Officer and Senior Financial Officers</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Board of Directors Conflict of Interest Policies and Procedures</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Audit and Finance Committee Charter</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Compensation Committee Charter</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Governance Committee Charter</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Safety and Security Committee Charter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1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Board has established categorical standards, which conform to the independence requirements in the New York Stock Exchange (“NYSE”) listing standards, to assist it in determining director independence. These standards are contained in the Corporate Governance Principles found on our website at www.bwxt.com under “Investor Relations — Corporate Governance.”</w:t>
      </w:r>
    </w:p>
    <w:p>
      <w:pPr>
        <w:spacing w:after="0" w:line="67"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Based on these independence standards, our Board has determined that the following directors are independent and meet our categorical standards:</w:t>
      </w:r>
    </w:p>
    <w:p>
      <w:pPr>
        <w:spacing w:after="0" w:line="142" w:lineRule="exact"/>
        <w:rPr>
          <w:sz w:val="20"/>
          <w:szCs w:val="20"/>
          <w:color w:val="auto"/>
        </w:rPr>
      </w:pPr>
    </w:p>
    <w:tbl>
      <w:tblPr>
        <w:tblLayout w:type="fixed"/>
        <w:tblInd w:w="2960" w:type="dxa"/>
        <w:tblCellMar>
          <w:top w:w="0" w:type="dxa"/>
          <w:left w:w="0" w:type="dxa"/>
          <w:bottom w:w="0" w:type="dxa"/>
          <w:right w:w="0" w:type="dxa"/>
        </w:tblCellMar>
      </w:tblPr>
      <w:tr>
        <w:trPr>
          <w:trHeight w:val="217"/>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080" w:type="dxa"/>
            <w:vAlign w:val="bottom"/>
          </w:tcPr>
          <w:p>
            <w:pPr>
              <w:ind w:left="120"/>
              <w:spacing w:after="0"/>
              <w:rPr>
                <w:sz w:val="20"/>
                <w:szCs w:val="20"/>
                <w:color w:val="auto"/>
              </w:rPr>
            </w:pPr>
            <w:r>
              <w:rPr>
                <w:rFonts w:ascii="Arial" w:cs="Arial" w:eastAsia="Arial" w:hAnsi="Arial"/>
                <w:sz w:val="18"/>
                <w:szCs w:val="18"/>
                <w:color w:val="auto"/>
              </w:rPr>
              <w:t>Jan A. Bertsch</w:t>
            </w:r>
          </w:p>
        </w:tc>
        <w:tc>
          <w:tcPr>
            <w:tcW w:w="580" w:type="dxa"/>
            <w:vAlign w:val="bottom"/>
          </w:tcPr>
          <w:p>
            <w:pPr>
              <w:ind w:left="400"/>
              <w:spacing w:after="0"/>
              <w:rPr>
                <w:sz w:val="20"/>
                <w:szCs w:val="20"/>
                <w:color w:val="auto"/>
              </w:rPr>
            </w:pPr>
            <w:r>
              <w:rPr>
                <w:rFonts w:ascii="Arial" w:cs="Arial" w:eastAsia="Arial" w:hAnsi="Arial"/>
                <w:sz w:val="18"/>
                <w:szCs w:val="18"/>
                <w:color w:val="auto"/>
              </w:rPr>
              <w:t>•</w:t>
            </w:r>
          </w:p>
        </w:tc>
        <w:tc>
          <w:tcPr>
            <w:tcW w:w="1780" w:type="dxa"/>
            <w:vAlign w:val="bottom"/>
          </w:tcPr>
          <w:p>
            <w:pPr>
              <w:ind w:left="140"/>
              <w:spacing w:after="0"/>
              <w:rPr>
                <w:sz w:val="20"/>
                <w:szCs w:val="20"/>
                <w:color w:val="auto"/>
              </w:rPr>
            </w:pPr>
            <w:r>
              <w:rPr>
                <w:rFonts w:ascii="Arial" w:cs="Arial" w:eastAsia="Arial" w:hAnsi="Arial"/>
                <w:sz w:val="18"/>
                <w:szCs w:val="18"/>
                <w:color w:val="auto"/>
              </w:rPr>
              <w:t>Richard W. Mies</w:t>
            </w:r>
          </w:p>
        </w:tc>
      </w:tr>
      <w:tr>
        <w:trPr>
          <w:trHeight w:val="27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080" w:type="dxa"/>
            <w:vAlign w:val="bottom"/>
          </w:tcPr>
          <w:p>
            <w:pPr>
              <w:ind w:left="120"/>
              <w:spacing w:after="0"/>
              <w:rPr>
                <w:sz w:val="20"/>
                <w:szCs w:val="20"/>
                <w:color w:val="auto"/>
              </w:rPr>
            </w:pPr>
            <w:r>
              <w:rPr>
                <w:rFonts w:ascii="Arial" w:cs="Arial" w:eastAsia="Arial" w:hAnsi="Arial"/>
                <w:sz w:val="18"/>
                <w:szCs w:val="18"/>
                <w:color w:val="auto"/>
              </w:rPr>
              <w:t>Robert W. Goldman</w:t>
            </w:r>
          </w:p>
        </w:tc>
        <w:tc>
          <w:tcPr>
            <w:tcW w:w="580" w:type="dxa"/>
            <w:vAlign w:val="bottom"/>
          </w:tcPr>
          <w:p>
            <w:pPr>
              <w:ind w:left="400"/>
              <w:spacing w:after="0"/>
              <w:rPr>
                <w:sz w:val="20"/>
                <w:szCs w:val="20"/>
                <w:color w:val="auto"/>
              </w:rPr>
            </w:pPr>
            <w:r>
              <w:rPr>
                <w:rFonts w:ascii="Arial" w:cs="Arial" w:eastAsia="Arial" w:hAnsi="Arial"/>
                <w:sz w:val="18"/>
                <w:szCs w:val="18"/>
                <w:color w:val="auto"/>
              </w:rPr>
              <w:t>•</w:t>
            </w:r>
          </w:p>
        </w:tc>
        <w:tc>
          <w:tcPr>
            <w:tcW w:w="1780" w:type="dxa"/>
            <w:vAlign w:val="bottom"/>
          </w:tcPr>
          <w:p>
            <w:pPr>
              <w:ind w:left="140"/>
              <w:spacing w:after="0"/>
              <w:rPr>
                <w:sz w:val="20"/>
                <w:szCs w:val="20"/>
                <w:color w:val="auto"/>
              </w:rPr>
            </w:pPr>
            <w:r>
              <w:rPr>
                <w:rFonts w:ascii="Arial" w:cs="Arial" w:eastAsia="Arial" w:hAnsi="Arial"/>
                <w:sz w:val="18"/>
                <w:szCs w:val="18"/>
                <w:color w:val="auto"/>
              </w:rPr>
              <w:t>Robert L. Nardelli</w:t>
            </w:r>
          </w:p>
        </w:tc>
      </w:tr>
      <w:tr>
        <w:trPr>
          <w:trHeight w:val="27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080" w:type="dxa"/>
            <w:vAlign w:val="bottom"/>
          </w:tcPr>
          <w:p>
            <w:pPr>
              <w:ind w:left="120"/>
              <w:spacing w:after="0"/>
              <w:rPr>
                <w:sz w:val="20"/>
                <w:szCs w:val="20"/>
                <w:color w:val="auto"/>
              </w:rPr>
            </w:pPr>
            <w:r>
              <w:rPr>
                <w:rFonts w:ascii="Arial" w:cs="Arial" w:eastAsia="Arial" w:hAnsi="Arial"/>
                <w:sz w:val="18"/>
                <w:szCs w:val="18"/>
                <w:color w:val="auto"/>
              </w:rPr>
              <w:t>James M. Jaska</w:t>
            </w:r>
          </w:p>
        </w:tc>
        <w:tc>
          <w:tcPr>
            <w:tcW w:w="580" w:type="dxa"/>
            <w:vAlign w:val="bottom"/>
          </w:tcPr>
          <w:p>
            <w:pPr>
              <w:ind w:left="400"/>
              <w:spacing w:after="0"/>
              <w:rPr>
                <w:sz w:val="20"/>
                <w:szCs w:val="20"/>
                <w:color w:val="auto"/>
              </w:rPr>
            </w:pPr>
            <w:r>
              <w:rPr>
                <w:rFonts w:ascii="Arial" w:cs="Arial" w:eastAsia="Arial" w:hAnsi="Arial"/>
                <w:sz w:val="18"/>
                <w:szCs w:val="18"/>
                <w:color w:val="auto"/>
              </w:rPr>
              <w:t>•</w:t>
            </w:r>
          </w:p>
        </w:tc>
        <w:tc>
          <w:tcPr>
            <w:tcW w:w="1780" w:type="dxa"/>
            <w:vAlign w:val="bottom"/>
          </w:tcPr>
          <w:p>
            <w:pPr>
              <w:ind w:left="140"/>
              <w:spacing w:after="0"/>
              <w:rPr>
                <w:sz w:val="20"/>
                <w:szCs w:val="20"/>
                <w:color w:val="auto"/>
              </w:rPr>
            </w:pPr>
            <w:r>
              <w:rPr>
                <w:rFonts w:ascii="Arial" w:cs="Arial" w:eastAsia="Arial" w:hAnsi="Arial"/>
                <w:sz w:val="18"/>
                <w:szCs w:val="18"/>
                <w:color w:val="auto"/>
              </w:rPr>
              <w:t>Barbara A. Niland</w:t>
            </w:r>
          </w:p>
        </w:tc>
      </w:tr>
      <w:tr>
        <w:trPr>
          <w:trHeight w:val="27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080" w:type="dxa"/>
            <w:vAlign w:val="bottom"/>
          </w:tcPr>
          <w:p>
            <w:pPr>
              <w:ind w:left="120"/>
              <w:spacing w:after="0"/>
              <w:rPr>
                <w:sz w:val="20"/>
                <w:szCs w:val="20"/>
                <w:color w:val="auto"/>
              </w:rPr>
            </w:pPr>
            <w:r>
              <w:rPr>
                <w:rFonts w:ascii="Arial" w:cs="Arial" w:eastAsia="Arial" w:hAnsi="Arial"/>
                <w:sz w:val="18"/>
                <w:szCs w:val="18"/>
                <w:color w:val="auto"/>
              </w:rPr>
              <w:t>Kenneth J. Krieg</w:t>
            </w:r>
          </w:p>
        </w:tc>
        <w:tc>
          <w:tcPr>
            <w:tcW w:w="2360" w:type="dxa"/>
            <w:vAlign w:val="bottom"/>
            <w:gridSpan w:val="2"/>
          </w:tcPr>
          <w:p>
            <w:pPr>
              <w:ind w:left="400"/>
              <w:spacing w:after="0"/>
              <w:rPr>
                <w:sz w:val="20"/>
                <w:szCs w:val="20"/>
                <w:color w:val="auto"/>
              </w:rPr>
            </w:pPr>
            <w:r>
              <w:rPr>
                <w:rFonts w:ascii="Arial" w:cs="Arial" w:eastAsia="Arial" w:hAnsi="Arial"/>
                <w:sz w:val="18"/>
                <w:szCs w:val="18"/>
                <w:color w:val="auto"/>
              </w:rPr>
              <w:t>•   Charles W. Pryor, Jr.</w:t>
            </w:r>
          </w:p>
        </w:tc>
      </w:tr>
    </w:tbl>
    <w:p>
      <w:pPr>
        <w:spacing w:after="0" w:line="53" w:lineRule="exact"/>
        <w:rPr>
          <w:sz w:val="20"/>
          <w:szCs w:val="20"/>
          <w:color w:val="auto"/>
        </w:rPr>
      </w:pPr>
    </w:p>
    <w:p>
      <w:pPr>
        <w:ind w:left="3280" w:hanging="321"/>
        <w:spacing w:after="0"/>
        <w:tabs>
          <w:tab w:leader="none" w:pos="3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Robb A. LeMasters</w:t>
      </w:r>
    </w:p>
    <w:p>
      <w:pPr>
        <w:spacing w:after="0" w:line="10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In determining the independence of the directors, our Board considered ordinary course transactions between us and other entities with which the directors are associated. Those transactions are described below, although none were determined to constitute a material relationship with us. Although Mr. Pryor has no current relationship with BWXT except as a director and stockholder, he is a former member of the board of directors of Progress Energy, Inc., which merged with Duke Energy Corp., with which we have transacted business in the ordinary course during the last three years. Mr. Nardelli is a former chairman and chief executive of an entity with which we transacted business in the ordinary course during the past three years. Admiral Mies serves as a director of an entity with which we transact business in the ordinary course. Admiral Mies also serves on the board for two limited liability companies in which we own minority interests, but which we do not control or have the right to appoint board members. Our Board also considered unsolicited contributions by us to charitable organizations with which the directors were associated. Admiral Mies serves as a director of a charitable organization to which we made contributions between 2015 and 2017 in the usual course of our annual giving programs.</w:t>
      </w:r>
    </w:p>
    <w:p>
      <w:pPr>
        <w:spacing w:after="0" w:line="7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Board also determined that Messrs. Fees and Geveden, who serve as executives of the Company, are not independent directors. Accordingly, nine of eleven (82%) of our directors are independent in compliance with our Corporate Governance Guidelines which require a majority of independent directors.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FUNCTION, LEADERSHIP STRUCTURE AND EXECUTIVE SESSIONS</w:t>
      </w:r>
    </w:p>
    <w:p>
      <w:pPr>
        <w:spacing w:after="0" w:line="112" w:lineRule="exact"/>
        <w:rPr>
          <w:sz w:val="20"/>
          <w:szCs w:val="20"/>
          <w:color w:val="auto"/>
        </w:rPr>
      </w:pPr>
    </w:p>
    <w:p>
      <w:pPr>
        <w:ind w:right="800"/>
        <w:spacing w:after="0" w:line="262" w:lineRule="auto"/>
        <w:rPr>
          <w:sz w:val="20"/>
          <w:szCs w:val="20"/>
          <w:color w:val="auto"/>
        </w:rPr>
      </w:pPr>
      <w:r>
        <w:rPr>
          <w:rFonts w:ascii="Arial" w:cs="Arial" w:eastAsia="Arial" w:hAnsi="Arial"/>
          <w:sz w:val="18"/>
          <w:szCs w:val="18"/>
          <w:color w:val="auto"/>
        </w:rPr>
        <w:t>The mission of our Board is to promote the best interests of the Company’s stockholders through oversight of the management of the Company’s business and affairs.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independent directors of our Board have appointed a Lead Independent Director, who has the following responsibilities:</w:t>
      </w:r>
    </w:p>
    <w:p>
      <w:pPr>
        <w:spacing w:after="0" w:line="117"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presides over all Board meetings at which the Chairman is not present and all executive sessions attended only by independent directors;</w:t>
      </w:r>
    </w:p>
    <w:p>
      <w:pPr>
        <w:spacing w:after="0" w:line="117" w:lineRule="exact"/>
        <w:rPr>
          <w:rFonts w:ascii="Arial" w:cs="Arial" w:eastAsia="Arial" w:hAnsi="Arial"/>
          <w:sz w:val="18"/>
          <w:szCs w:val="18"/>
          <w:color w:val="auto"/>
        </w:rPr>
      </w:pPr>
    </w:p>
    <w:p>
      <w:pPr>
        <w:ind w:left="340" w:right="20" w:hanging="332"/>
        <w:spacing w:after="0" w:line="262"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serves as liaison between the independent directors, on the one hand, and the Chief Executive Officer and the Executive Chairman, on the other;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2C2C2C"/>
        </w:rPr>
        <w:t xml:space="preserve">10 </w:t>
      </w:r>
      <w:r>
        <w:rPr>
          <w:sz w:val="1"/>
          <w:szCs w:val="1"/>
          <w:color w:val="auto"/>
        </w:rPr>
        <w:drawing>
          <wp:inline distT="0" distB="0" distL="0" distR="0">
            <wp:extent cx="445770" cy="18034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45770" cy="180340"/>
                    </a:xfrm>
                    <a:prstGeom prst="rect">
                      <a:avLst/>
                    </a:prstGeom>
                    <a:noFill/>
                    <a:ln>
                      <a:noFill/>
                    </a:ln>
                  </pic:spPr>
                </pic:pic>
              </a:graphicData>
            </a:graphic>
          </wp:inline>
        </w:drawing>
      </w:r>
      <w:r>
        <w:rPr>
          <w:rFonts w:ascii="Arial" w:cs="Arial" w:eastAsia="Arial" w:hAnsi="Arial"/>
          <w:sz w:val="18"/>
          <w:szCs w:val="18"/>
          <w:color w:val="auto"/>
        </w:rPr>
        <w:t xml:space="preserve"> 2018 PROXY STATEMENT</w:t>
      </w:r>
    </w:p>
    <w:p>
      <w:pPr>
        <w:sectPr>
          <w:pgSz w:w="11900" w:h="16838" w:orient="portrait"/>
          <w:cols w:equalWidth="0" w:num="1">
            <w:col w:w="11380"/>
          </w:cols>
          <w:pgMar w:left="240" w:top="125" w:right="279" w:bottom="1440" w:gutter="0" w:footer="0" w:header="0"/>
        </w:sectPr>
      </w:pPr>
    </w:p>
    <w:bookmarkStart w:id="19" w:name="page20"/>
    <w:bookmarkEnd w:id="19"/>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960"/>
        <w:spacing w:after="0"/>
        <w:rPr>
          <w:sz w:val="20"/>
          <w:szCs w:val="20"/>
          <w:color w:val="auto"/>
        </w:rPr>
      </w:pPr>
      <w:r>
        <w:rPr>
          <w:rFonts w:ascii="Arial" w:cs="Arial" w:eastAsia="Arial" w:hAnsi="Arial"/>
          <w:sz w:val="14"/>
          <w:szCs w:val="14"/>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0"/>
          <w:szCs w:val="20"/>
          <w:color w:val="auto"/>
        </w:rPr>
      </w:pPr>
    </w:p>
    <w:p>
      <w:pPr>
        <w:ind w:left="340" w:right="20" w:hanging="332"/>
        <w:spacing w:after="0" w:line="262"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reviews and approves the Board meeting agendas and meeting schedules to assure that there is sufficient time for discussion of all agenda items;</w:t>
      </w:r>
    </w:p>
    <w:p>
      <w:pPr>
        <w:spacing w:after="0" w:line="101" w:lineRule="exact"/>
        <w:rPr>
          <w:rFonts w:ascii="Arial" w:cs="Arial" w:eastAsia="Arial" w:hAnsi="Arial"/>
          <w:sz w:val="18"/>
          <w:szCs w:val="18"/>
          <w:color w:val="auto"/>
        </w:rPr>
      </w:pP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8"/>
          <w:szCs w:val="18"/>
          <w:color w:val="auto"/>
        </w:rPr>
        <w:t>advises the Executive Chairman regarding the quality, quantity and timeliness of information sent by management to the directors;</w:t>
      </w:r>
    </w:p>
    <w:p>
      <w:pPr>
        <w:spacing w:after="0" w:line="117" w:lineRule="exact"/>
        <w:rPr>
          <w:rFonts w:ascii="Arial" w:cs="Arial" w:eastAsia="Arial" w:hAnsi="Arial"/>
          <w:sz w:val="14"/>
          <w:szCs w:val="14"/>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has the authority to call meetings of the independent directors;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requested by major stockholders, ensures that he is available for consultation and direct communication.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independent directors meet in executive session without management on a regular basis.</w:t>
      </w:r>
    </w:p>
    <w:p>
      <w:pPr>
        <w:spacing w:after="0" w:line="9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Board of Directors is classified into three classes, which are elected for three-year terms. We believe this structure is in the best interests of the Company and its stockholders given the nature of our business. We have several long-term contracts with the U.S. Government, including the U.S. Department of Energy, National Nuclear Security Administration and the Naval Nuclear Propulsion Program. This U.S. Government business was 81%, 87% and 88% of our total consolidated revenues in fiscal years 2017, 2016 and 2015, respectively. We believe maintaining stability and continuity of our Board's strategy and leadership is critical to our relationship with our U.S. Government customers. In addition, given the sensitive and classified nature of our business with the U.S. Government, ten of our eleven directors have individual security clearances. Maintaining continuity of this board oversight is critical to our business. As a result, we believe our classified Board permits a long-term strategic focus that (i) aligns with the U.S. Government customers' development and planning processes, (ii) ensures stability and continuity in our governance structure, and (iii) results in long-term shareholder returns.</w:t>
      </w:r>
    </w:p>
    <w:p>
      <w:pPr>
        <w:spacing w:after="0" w:line="7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Board does not have a policy requiring that the positions of Chairman and Chief Executive Officer be separate or be occupied by the same individual. Our Board believes that this is properly addressed as part of the succession planning process and that it is in the best interests of the Company for the Board to make a determination on these matters when it elects a new Chief Executive Officer or appoints a new Chairman of the Board or at other times. Currently, the roles are separate, with Mr. Fees serving as our Executive Chairman and Mr. Geveden as our Chief Executive Officer. In December 2017, we announced Mr. Fees' transition to Non-Executive Chairman at the Annual Meeting. Our Board believes that this leadership structure is appropriate for us at this time because it allows Mr. Fees and Mr. Geveden to share responsibility for setting our strategic direction and communicating with our stockholders and other stakeholders, while also allowing Mr. Geveden to have additional focus on our day-to-day operations. This leadership structure also allows Mr. Fees, who has over 30 years of experience with our company and prior public company board service, to set the Board’s agenda, in coordination with our Lead Independent Director, and lead the Board in its oversight of management.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ROLE OF THE BOARD IN SUCCESSION PLANNING</w:t>
      </w:r>
    </w:p>
    <w:p>
      <w:pPr>
        <w:spacing w:after="0" w:line="112"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The Board believes effective succession planning, particularly for the Chief Executive Officer, is important to the continued success of the Company. As a result, the Board regularly reviews and discusses succession planning during executive sessions of Board meetings. The Governance Committee assists the Board in the area of succession planning, in particular, with respect to succession planning for the Chief Executive Officer. From time to time, the Board also retains an executive search firm as part of its normal succession planning function.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ROLE OF THE BOARD IN RISK OVERSIGHT</w:t>
      </w:r>
    </w:p>
    <w:p>
      <w:pPr>
        <w:spacing w:after="0" w:line="11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As part of its oversight function, the Board monitors various risks that we face. We maintain an enterprise risk management program administered by our Risk Management group. The program facilitates the process of reviewing key external, strategic, operational and financial risks as well as monitoring the effectiveness of risk mitigation. Information on the enterprise risk management program is presented to senior management and the Board on a regular basis. The Audit and Finance Committee further assists the Board in fulfilling its oversight responsibility in the areas of financial reporting and by meeting periodically with management to review financial risk exposures and discuss BWXT’s policies and guidelines concerning risk assessment and risk management. The Compensation Committee also assists the Board with this function by assessing risks associated with our compensation programs in consultation with management and its outside compensation consultant. The Safety and Security Committee assists the Board by assessing risks associated with various operational risks, including safety, security, environmental and cybersecurity risks. The Chief Information Officer provides regular updates to the Safety and Security Committee regarding cybersecurity risks. The Governance Committee assists the Board by assessing risks associated with corporate governance. The following diagram provides a summary of the risk allocation among the Board and its Committees.</w:t>
      </w:r>
    </w:p>
    <w:p>
      <w:pPr>
        <w:spacing w:after="0" w:line="240" w:lineRule="exact"/>
        <w:rPr>
          <w:sz w:val="20"/>
          <w:szCs w:val="20"/>
          <w:color w:val="auto"/>
        </w:rPr>
      </w:pPr>
    </w:p>
    <w:p>
      <w:pPr>
        <w:jc w:val="right"/>
        <w:spacing w:after="0"/>
        <w:rPr>
          <w:sz w:val="20"/>
          <w:szCs w:val="20"/>
          <w:color w:val="auto"/>
        </w:rPr>
      </w:pPr>
      <w:r>
        <w:rPr>
          <w:sz w:val="1"/>
          <w:szCs w:val="1"/>
          <w:color w:val="auto"/>
        </w:rPr>
        <w:drawing>
          <wp:inline distT="0" distB="0" distL="0" distR="0">
            <wp:extent cx="488950" cy="20574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88950" cy="205740"/>
                    </a:xfrm>
                    <a:prstGeom prst="rect">
                      <a:avLst/>
                    </a:prstGeom>
                    <a:noFill/>
                    <a:ln>
                      <a:noFill/>
                    </a:ln>
                  </pic:spPr>
                </pic:pic>
              </a:graphicData>
            </a:graphic>
          </wp:inline>
        </w:drawing>
      </w:r>
      <w:r>
        <w:rPr>
          <w:rFonts w:ascii="Arial" w:cs="Arial" w:eastAsia="Arial" w:hAnsi="Arial"/>
          <w:sz w:val="18"/>
          <w:szCs w:val="18"/>
          <w:color w:val="auto"/>
        </w:rPr>
        <w:t xml:space="preserve"> 2018 PROXY STATEMENT </w:t>
      </w:r>
      <w:r>
        <w:rPr>
          <w:rFonts w:ascii="Arial" w:cs="Arial" w:eastAsia="Arial" w:hAnsi="Arial"/>
          <w:sz w:val="18"/>
          <w:szCs w:val="18"/>
          <w:b w:val="1"/>
          <w:bCs w:val="1"/>
          <w:color w:val="2C2C2C"/>
        </w:rPr>
        <w:t>11</w:t>
      </w:r>
    </w:p>
    <w:p>
      <w:pPr>
        <w:sectPr>
          <w:pgSz w:w="11900" w:h="16838" w:orient="portrait"/>
          <w:cols w:equalWidth="0" w:num="1">
            <w:col w:w="11420"/>
          </w:cols>
          <w:pgMar w:left="240" w:top="125" w:right="239" w:bottom="1440" w:gutter="0" w:footer="0" w:header="0"/>
        </w:sectPr>
      </w:pPr>
    </w:p>
    <w:bookmarkStart w:id="20" w:name="page21"/>
    <w:bookmarkEnd w:id="20"/>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8400"/>
        <w:spacing w:after="0"/>
        <w:rPr>
          <w:sz w:val="20"/>
          <w:szCs w:val="20"/>
          <w:color w:val="auto"/>
        </w:rPr>
      </w:pPr>
      <w:r>
        <w:rPr>
          <w:rFonts w:ascii="Arial" w:cs="Arial" w:eastAsia="Arial" w:hAnsi="Arial"/>
          <w:sz w:val="14"/>
          <w:szCs w:val="14"/>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5840095" cy="1920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40095" cy="1920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ENGAGEMENT ON GOVERNANCE MATTERS</w:t>
      </w:r>
    </w:p>
    <w:p>
      <w:pPr>
        <w:spacing w:after="0" w:line="112"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We conducted a stockholder engagement program since our 2017 annual meeting of stockholders and have reached out to stockholders holding approximately 50% of our outstanding shares to discuss, among other topics, environmental, social, governance and compensation matters.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WITH THE BOARD</w:t>
      </w:r>
    </w:p>
    <w:p>
      <w:pPr>
        <w:spacing w:after="0" w:line="112"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Stockholders or other interested persons may send written communications to the independent members of our Board, addressed to Board of Directors (independent members), c/o BWX Technologies, Inc., Corporate Secretary’s Office, 800 Main Street, 4</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Floor, Lynchburg, Virginia 24504. All such communications shall be forwarded to the independent directors for their review, except for communications that (1) are unrelated to the Company’s business, (2) contain improper commercial solicitations, (3) contain material that is not appropriate for review by the Board based upon the Company’s Bylaws and the established practice and procedure of the Board, or (4) contain other improper or immaterial information. Information regarding this process is posted on our website at www.bwxt.com under “Investors — Corporate Governance.”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ITS COMMITTEES</w:t>
      </w:r>
    </w:p>
    <w:p>
      <w:pPr>
        <w:spacing w:after="0" w:line="11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Board met nine times during 2017. All directors attended at least 75% of the meetings of the Board and of the committees on which they served during the time they served on the Board in 2017. In addition, as reflected in our Corporate Governance Principles, we have adopted a policy that each member of our Board must make reasonable efforts to attend our Annual Meeting. All of our current directors, who were directors at the time, attended our 2017 Annual Meeting of Stockholders.</w:t>
      </w:r>
    </w:p>
    <w:p>
      <w:pPr>
        <w:spacing w:after="0" w:line="6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Board currently has, and appoints the members of, standing Audit and Finance, Compensation, Governance, and Safety and Security Committees of the Board. Each of the standing committees has a written charter approved by the Board. The current charter for each standing Board committee is posted on our website at www.bwxt.com under “Investors — Corporate Governance.”</w:t>
      </w:r>
    </w:p>
    <w:p>
      <w:pPr>
        <w:spacing w:after="0" w:line="6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current members of the committees are identified below. NYSE listing standards require that all members of our Audit and Finance, Compensation, and Governance Committees be independent. Our Board has affirmatively determined that each member of such committees is independent in accordance with the NYSE listing standards.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2C2C2C"/>
        </w:rPr>
        <w:t xml:space="preserve">12 </w:t>
      </w:r>
      <w:r>
        <w:rPr>
          <w:sz w:val="1"/>
          <w:szCs w:val="1"/>
          <w:color w:val="auto"/>
        </w:rPr>
        <w:drawing>
          <wp:inline distT="0" distB="0" distL="0" distR="0">
            <wp:extent cx="445770" cy="18034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45770" cy="180340"/>
                    </a:xfrm>
                    <a:prstGeom prst="rect">
                      <a:avLst/>
                    </a:prstGeom>
                    <a:noFill/>
                    <a:ln>
                      <a:noFill/>
                    </a:ln>
                  </pic:spPr>
                </pic:pic>
              </a:graphicData>
            </a:graphic>
          </wp:inline>
        </w:drawing>
      </w:r>
      <w:r>
        <w:rPr>
          <w:rFonts w:ascii="Arial" w:cs="Arial" w:eastAsia="Arial" w:hAnsi="Arial"/>
          <w:sz w:val="18"/>
          <w:szCs w:val="18"/>
          <w:color w:val="auto"/>
        </w:rPr>
        <w:t xml:space="preserve"> 2018 PROXY STATEMENT</w:t>
      </w:r>
    </w:p>
    <w:p>
      <w:pPr>
        <w:sectPr>
          <w:pgSz w:w="11900" w:h="16838" w:orient="portrait"/>
          <w:cols w:equalWidth="0" w:num="1">
            <w:col w:w="11420"/>
          </w:cols>
          <w:pgMar w:left="240" w:top="125" w:right="239" w:bottom="1440" w:gutter="0" w:footer="0" w:header="0"/>
        </w:sectPr>
      </w:pPr>
    </w:p>
    <w:bookmarkStart w:id="21" w:name="page22"/>
    <w:bookmarkEnd w:id="21"/>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960"/>
        <w:spacing w:after="0"/>
        <w:rPr>
          <w:sz w:val="20"/>
          <w:szCs w:val="20"/>
          <w:color w:val="auto"/>
        </w:rPr>
      </w:pPr>
      <w:r>
        <w:rPr>
          <w:rFonts w:ascii="Arial" w:cs="Arial" w:eastAsia="Arial" w:hAnsi="Arial"/>
          <w:sz w:val="14"/>
          <w:szCs w:val="14"/>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5" w:lineRule="exact"/>
        <w:rPr>
          <w:sz w:val="20"/>
          <w:szCs w:val="20"/>
          <w:color w:val="auto"/>
        </w:rPr>
      </w:pPr>
    </w:p>
    <w:tbl>
      <w:tblPr>
        <w:tblLayout w:type="fixed"/>
        <w:tblInd w:w="10" w:type="dxa"/>
        <w:tblCellMar>
          <w:top w:w="0" w:type="dxa"/>
          <w:left w:w="0" w:type="dxa"/>
          <w:bottom w:w="0" w:type="dxa"/>
          <w:right w:w="0" w:type="dxa"/>
        </w:tblCellMar>
      </w:tblPr>
      <w:tr>
        <w:trPr>
          <w:trHeight w:val="324"/>
        </w:trPr>
        <w:tc>
          <w:tcPr>
            <w:tcW w:w="7560" w:type="dxa"/>
            <w:vAlign w:val="bottom"/>
            <w:tcBorders>
              <w:left w:val="single" w:sz="8" w:color="525252"/>
              <w:right w:val="single" w:sz="8" w:color="525252"/>
            </w:tcBorders>
            <w:shd w:val="clear" w:color="auto" w:fill="525252"/>
          </w:tcPr>
          <w:p>
            <w:pPr>
              <w:ind w:left="220"/>
              <w:spacing w:after="0"/>
              <w:rPr>
                <w:sz w:val="20"/>
                <w:szCs w:val="20"/>
                <w:color w:val="auto"/>
              </w:rPr>
            </w:pPr>
            <w:r>
              <w:rPr>
                <w:rFonts w:ascii="Arial" w:cs="Arial" w:eastAsia="Arial" w:hAnsi="Arial"/>
                <w:sz w:val="22"/>
                <w:szCs w:val="22"/>
                <w:b w:val="1"/>
                <w:bCs w:val="1"/>
                <w:color w:val="FFFFFF"/>
              </w:rPr>
              <w:t>Audit and Finance Committee</w:t>
            </w:r>
          </w:p>
        </w:tc>
        <w:tc>
          <w:tcPr>
            <w:tcW w:w="3880" w:type="dxa"/>
            <w:vAlign w:val="bottom"/>
            <w:tcBorders>
              <w:right w:val="single" w:sz="8" w:color="525252"/>
            </w:tcBorders>
            <w:shd w:val="clear" w:color="auto" w:fill="525252"/>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560" w:type="dxa"/>
            <w:vAlign w:val="bottom"/>
            <w:tcBorders>
              <w:left w:val="single" w:sz="8" w:color="525252"/>
              <w:right w:val="single" w:sz="8" w:color="525252"/>
            </w:tcBorders>
            <w:shd w:val="clear" w:color="auto" w:fill="E5E5E5"/>
          </w:tcPr>
          <w:p>
            <w:pPr>
              <w:ind w:left="220"/>
              <w:spacing w:after="0"/>
              <w:rPr>
                <w:sz w:val="20"/>
                <w:szCs w:val="20"/>
                <w:color w:val="auto"/>
              </w:rPr>
            </w:pPr>
            <w:r>
              <w:rPr>
                <w:rFonts w:ascii="Arial" w:cs="Arial" w:eastAsia="Arial" w:hAnsi="Arial"/>
                <w:sz w:val="18"/>
                <w:szCs w:val="18"/>
                <w:color w:val="auto"/>
              </w:rPr>
              <w:t>Our Audit and Finance Committee’s role is financial and risk oversight. Our management is</w:t>
            </w:r>
          </w:p>
        </w:tc>
        <w:tc>
          <w:tcPr>
            <w:tcW w:w="3880" w:type="dxa"/>
            <w:vAlign w:val="bottom"/>
            <w:tcBorders>
              <w:right w:val="single" w:sz="8" w:color="525252"/>
            </w:tcBorders>
            <w:vMerge w:val="restart"/>
          </w:tcPr>
          <w:p>
            <w:pPr>
              <w:ind w:left="360"/>
              <w:spacing w:after="0"/>
              <w:rPr>
                <w:sz w:val="20"/>
                <w:szCs w:val="20"/>
                <w:color w:val="auto"/>
              </w:rPr>
            </w:pPr>
            <w:r>
              <w:rPr>
                <w:rFonts w:ascii="Arial" w:cs="Arial" w:eastAsia="Arial" w:hAnsi="Arial"/>
                <w:sz w:val="18"/>
                <w:szCs w:val="18"/>
                <w:b w:val="1"/>
                <w:bCs w:val="1"/>
                <w:color w:val="auto"/>
              </w:rPr>
              <w:t xml:space="preserve">MEETINGS IN 2017: </w:t>
            </w: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09"/>
        </w:trPr>
        <w:tc>
          <w:tcPr>
            <w:tcW w:w="7560" w:type="dxa"/>
            <w:vAlign w:val="bottom"/>
            <w:tcBorders>
              <w:left w:val="single" w:sz="8" w:color="525252"/>
              <w:right w:val="single" w:sz="8" w:color="525252"/>
            </w:tcBorders>
            <w:vMerge w:val="restart"/>
            <w:shd w:val="clear" w:color="auto" w:fill="E5E5E5"/>
          </w:tcPr>
          <w:p>
            <w:pPr>
              <w:ind w:left="220"/>
              <w:spacing w:after="0" w:line="202" w:lineRule="exact"/>
              <w:rPr>
                <w:sz w:val="20"/>
                <w:szCs w:val="20"/>
                <w:color w:val="auto"/>
              </w:rPr>
            </w:pPr>
            <w:r>
              <w:rPr>
                <w:rFonts w:ascii="Arial" w:cs="Arial" w:eastAsia="Arial" w:hAnsi="Arial"/>
                <w:sz w:val="18"/>
                <w:szCs w:val="18"/>
                <w:color w:val="auto"/>
              </w:rPr>
              <w:t>responsible for preparing financial statements, and our independent registered public</w:t>
            </w:r>
          </w:p>
        </w:tc>
        <w:tc>
          <w:tcPr>
            <w:tcW w:w="3880" w:type="dxa"/>
            <w:vAlign w:val="bottom"/>
            <w:tcBorders>
              <w:right w:val="single" w:sz="8" w:color="525252"/>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7560" w:type="dxa"/>
            <w:vAlign w:val="bottom"/>
            <w:tcBorders>
              <w:left w:val="single" w:sz="8" w:color="525252"/>
              <w:right w:val="single" w:sz="8" w:color="525252"/>
            </w:tcBorders>
            <w:vMerge w:val="continue"/>
            <w:shd w:val="clear" w:color="auto" w:fill="E5E5E5"/>
          </w:tcPr>
          <w:p>
            <w:pPr>
              <w:spacing w:after="0"/>
              <w:rPr>
                <w:sz w:val="8"/>
                <w:szCs w:val="8"/>
                <w:color w:val="auto"/>
              </w:rPr>
            </w:pPr>
          </w:p>
        </w:tc>
        <w:tc>
          <w:tcPr>
            <w:tcW w:w="3880" w:type="dxa"/>
            <w:vAlign w:val="bottom"/>
            <w:tcBorders>
              <w:right w:val="single" w:sz="8" w:color="525252"/>
            </w:tcBorders>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7560" w:type="dxa"/>
            <w:vAlign w:val="bottom"/>
            <w:tcBorders>
              <w:left w:val="single" w:sz="8" w:color="525252"/>
              <w:bottom w:val="single" w:sz="8" w:color="E5E5E5"/>
              <w:right w:val="single" w:sz="8" w:color="525252"/>
            </w:tcBorders>
            <w:vMerge w:val="restart"/>
            <w:shd w:val="clear" w:color="auto" w:fill="E5E5E5"/>
          </w:tcPr>
          <w:p>
            <w:pPr>
              <w:ind w:left="220"/>
              <w:spacing w:after="0" w:line="202" w:lineRule="exact"/>
              <w:rPr>
                <w:sz w:val="20"/>
                <w:szCs w:val="20"/>
                <w:color w:val="auto"/>
              </w:rPr>
            </w:pPr>
            <w:r>
              <w:rPr>
                <w:rFonts w:ascii="Arial" w:cs="Arial" w:eastAsia="Arial" w:hAnsi="Arial"/>
                <w:sz w:val="18"/>
                <w:szCs w:val="18"/>
                <w:color w:val="auto"/>
              </w:rPr>
              <w:t>accounting firm is responsible for auditing those financial statements. The Audit and</w:t>
            </w:r>
          </w:p>
        </w:tc>
        <w:tc>
          <w:tcPr>
            <w:tcW w:w="3880" w:type="dxa"/>
            <w:vAlign w:val="bottom"/>
            <w:tcBorders>
              <w:bottom w:val="single" w:sz="8" w:color="525252"/>
              <w:right w:val="single" w:sz="8" w:color="525252"/>
            </w:tcBorders>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7560" w:type="dxa"/>
            <w:vAlign w:val="bottom"/>
            <w:tcBorders>
              <w:left w:val="single" w:sz="8" w:color="525252"/>
              <w:right w:val="single" w:sz="8" w:color="525252"/>
            </w:tcBorders>
            <w:vMerge w:val="continue"/>
            <w:shd w:val="clear" w:color="auto" w:fill="E5E5E5"/>
          </w:tcPr>
          <w:p>
            <w:pPr>
              <w:spacing w:after="0"/>
              <w:rPr>
                <w:sz w:val="9"/>
                <w:szCs w:val="9"/>
                <w:color w:val="auto"/>
              </w:rPr>
            </w:pPr>
          </w:p>
        </w:tc>
        <w:tc>
          <w:tcPr>
            <w:tcW w:w="3880" w:type="dxa"/>
            <w:vAlign w:val="bottom"/>
            <w:tcBorders>
              <w:right w:val="single" w:sz="8" w:color="525252"/>
            </w:tcBorders>
            <w:vMerge w:val="restart"/>
          </w:tcPr>
          <w:p>
            <w:pPr>
              <w:ind w:left="360"/>
              <w:spacing w:after="0"/>
              <w:rPr>
                <w:sz w:val="20"/>
                <w:szCs w:val="20"/>
                <w:color w:val="auto"/>
              </w:rPr>
            </w:pPr>
            <w:r>
              <w:rPr>
                <w:rFonts w:ascii="Arial" w:cs="Arial" w:eastAsia="Arial" w:hAnsi="Arial"/>
                <w:sz w:val="18"/>
                <w:szCs w:val="18"/>
                <w:b w:val="1"/>
                <w:bCs w:val="1"/>
                <w:color w:val="auto"/>
              </w:rPr>
              <w:t>COMMITTEE MEMBERS:</w:t>
            </w:r>
          </w:p>
        </w:tc>
        <w:tc>
          <w:tcPr>
            <w:tcW w:w="0" w:type="dxa"/>
            <w:vAlign w:val="bottom"/>
          </w:tcPr>
          <w:p>
            <w:pPr>
              <w:spacing w:after="0"/>
              <w:rPr>
                <w:sz w:val="1"/>
                <w:szCs w:val="1"/>
                <w:color w:val="auto"/>
              </w:rPr>
            </w:pPr>
          </w:p>
        </w:tc>
      </w:tr>
      <w:tr>
        <w:trPr>
          <w:trHeight w:val="176"/>
        </w:trPr>
        <w:tc>
          <w:tcPr>
            <w:tcW w:w="7560" w:type="dxa"/>
            <w:vAlign w:val="bottom"/>
            <w:tcBorders>
              <w:left w:val="single" w:sz="8" w:color="525252"/>
              <w:right w:val="single" w:sz="8" w:color="525252"/>
            </w:tcBorders>
            <w:shd w:val="clear" w:color="auto" w:fill="E5E5E5"/>
          </w:tcPr>
          <w:p>
            <w:pPr>
              <w:ind w:left="220"/>
              <w:spacing w:after="0" w:line="176" w:lineRule="exact"/>
              <w:rPr>
                <w:sz w:val="20"/>
                <w:szCs w:val="20"/>
                <w:color w:val="auto"/>
              </w:rPr>
            </w:pPr>
            <w:r>
              <w:rPr>
                <w:rFonts w:ascii="Arial" w:cs="Arial" w:eastAsia="Arial" w:hAnsi="Arial"/>
                <w:sz w:val="18"/>
                <w:szCs w:val="18"/>
                <w:color w:val="auto"/>
              </w:rPr>
              <w:t>Finance Committee is not providing any expert or special assurance as to our financial</w:t>
            </w:r>
          </w:p>
        </w:tc>
        <w:tc>
          <w:tcPr>
            <w:tcW w:w="3880" w:type="dxa"/>
            <w:vAlign w:val="bottom"/>
            <w:tcBorders>
              <w:right w:val="single" w:sz="8" w:color="525252"/>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60" w:type="dxa"/>
            <w:vAlign w:val="bottom"/>
            <w:tcBorders>
              <w:left w:val="single" w:sz="8" w:color="525252"/>
              <w:right w:val="single" w:sz="8" w:color="525252"/>
            </w:tcBorders>
            <w:shd w:val="clear" w:color="auto" w:fill="E5E5E5"/>
          </w:tcPr>
          <w:p>
            <w:pPr>
              <w:ind w:left="220"/>
              <w:spacing w:after="0" w:line="202" w:lineRule="exact"/>
              <w:rPr>
                <w:sz w:val="20"/>
                <w:szCs w:val="20"/>
                <w:color w:val="auto"/>
              </w:rPr>
            </w:pPr>
            <w:r>
              <w:rPr>
                <w:rFonts w:ascii="Arial" w:cs="Arial" w:eastAsia="Arial" w:hAnsi="Arial"/>
                <w:sz w:val="18"/>
                <w:szCs w:val="18"/>
                <w:color w:val="auto"/>
              </w:rPr>
              <w:t>statements or any professional certification as to the independent registered public</w:t>
            </w:r>
          </w:p>
        </w:tc>
        <w:tc>
          <w:tcPr>
            <w:tcW w:w="3880" w:type="dxa"/>
            <w:vAlign w:val="bottom"/>
            <w:tcBorders>
              <w:right w:val="single" w:sz="8" w:color="525252"/>
            </w:tcBorders>
          </w:tcPr>
          <w:p>
            <w:pPr>
              <w:ind w:left="360"/>
              <w:spacing w:after="0" w:line="202" w:lineRule="exact"/>
              <w:rPr>
                <w:sz w:val="20"/>
                <w:szCs w:val="20"/>
                <w:color w:val="auto"/>
              </w:rPr>
            </w:pPr>
            <w:r>
              <w:rPr>
                <w:rFonts w:ascii="Arial" w:cs="Arial" w:eastAsia="Arial" w:hAnsi="Arial"/>
                <w:sz w:val="18"/>
                <w:szCs w:val="18"/>
                <w:color w:val="auto"/>
              </w:rPr>
              <w:t>Ms. Bertsch</w:t>
            </w:r>
          </w:p>
        </w:tc>
        <w:tc>
          <w:tcPr>
            <w:tcW w:w="0" w:type="dxa"/>
            <w:vAlign w:val="bottom"/>
          </w:tcPr>
          <w:p>
            <w:pPr>
              <w:spacing w:after="0"/>
              <w:rPr>
                <w:sz w:val="1"/>
                <w:szCs w:val="1"/>
                <w:color w:val="auto"/>
              </w:rPr>
            </w:pPr>
          </w:p>
        </w:tc>
      </w:tr>
      <w:tr>
        <w:trPr>
          <w:trHeight w:val="203"/>
        </w:trPr>
        <w:tc>
          <w:tcPr>
            <w:tcW w:w="7560" w:type="dxa"/>
            <w:vAlign w:val="bottom"/>
            <w:tcBorders>
              <w:left w:val="single" w:sz="8" w:color="525252"/>
              <w:right w:val="single" w:sz="8" w:color="525252"/>
            </w:tcBorders>
            <w:shd w:val="clear" w:color="auto" w:fill="E5E5E5"/>
          </w:tcPr>
          <w:p>
            <w:pPr>
              <w:ind w:left="220"/>
              <w:spacing w:after="0" w:line="202" w:lineRule="exact"/>
              <w:rPr>
                <w:sz w:val="20"/>
                <w:szCs w:val="20"/>
                <w:color w:val="auto"/>
              </w:rPr>
            </w:pPr>
            <w:r>
              <w:rPr>
                <w:rFonts w:ascii="Arial" w:cs="Arial" w:eastAsia="Arial" w:hAnsi="Arial"/>
                <w:sz w:val="18"/>
                <w:szCs w:val="18"/>
                <w:color w:val="auto"/>
              </w:rPr>
              <w:t>accounting firm’s work.</w:t>
            </w:r>
          </w:p>
        </w:tc>
        <w:tc>
          <w:tcPr>
            <w:tcW w:w="3880" w:type="dxa"/>
            <w:vAlign w:val="bottom"/>
            <w:tcBorders>
              <w:right w:val="single" w:sz="8" w:color="525252"/>
            </w:tcBorders>
          </w:tcPr>
          <w:p>
            <w:pPr>
              <w:ind w:left="360"/>
              <w:spacing w:after="0" w:line="202" w:lineRule="exact"/>
              <w:rPr>
                <w:sz w:val="20"/>
                <w:szCs w:val="20"/>
                <w:color w:val="auto"/>
              </w:rPr>
            </w:pPr>
            <w:r>
              <w:rPr>
                <w:rFonts w:ascii="Arial" w:cs="Arial" w:eastAsia="Arial" w:hAnsi="Arial"/>
                <w:sz w:val="18"/>
                <w:szCs w:val="18"/>
                <w:color w:val="auto"/>
              </w:rPr>
              <w:t>Mr. LeMasters</w:t>
            </w:r>
          </w:p>
        </w:tc>
        <w:tc>
          <w:tcPr>
            <w:tcW w:w="0" w:type="dxa"/>
            <w:vAlign w:val="bottom"/>
          </w:tcPr>
          <w:p>
            <w:pPr>
              <w:spacing w:after="0"/>
              <w:rPr>
                <w:sz w:val="1"/>
                <w:szCs w:val="1"/>
                <w:color w:val="auto"/>
              </w:rPr>
            </w:pPr>
          </w:p>
        </w:tc>
      </w:tr>
      <w:tr>
        <w:trPr>
          <w:trHeight w:val="203"/>
        </w:trPr>
        <w:tc>
          <w:tcPr>
            <w:tcW w:w="7560" w:type="dxa"/>
            <w:vAlign w:val="bottom"/>
            <w:tcBorders>
              <w:left w:val="single" w:sz="8" w:color="525252"/>
              <w:right w:val="single" w:sz="8" w:color="525252"/>
            </w:tcBorders>
            <w:vMerge w:val="restart"/>
            <w:shd w:val="clear" w:color="auto" w:fill="E5E5E5"/>
          </w:tcPr>
          <w:p>
            <w:pPr>
              <w:ind w:left="220"/>
              <w:spacing w:after="0"/>
              <w:rPr>
                <w:sz w:val="20"/>
                <w:szCs w:val="20"/>
                <w:color w:val="auto"/>
              </w:rPr>
            </w:pPr>
            <w:r>
              <w:rPr>
                <w:rFonts w:ascii="Arial" w:cs="Arial" w:eastAsia="Arial" w:hAnsi="Arial"/>
                <w:sz w:val="18"/>
                <w:szCs w:val="18"/>
                <w:color w:val="auto"/>
              </w:rPr>
              <w:t>The Audit and Finance Committee is directly responsible for the appointment,</w:t>
            </w:r>
          </w:p>
        </w:tc>
        <w:tc>
          <w:tcPr>
            <w:tcW w:w="3880" w:type="dxa"/>
            <w:vAlign w:val="bottom"/>
            <w:tcBorders>
              <w:right w:val="single" w:sz="8" w:color="525252"/>
            </w:tcBorders>
          </w:tcPr>
          <w:p>
            <w:pPr>
              <w:ind w:left="360"/>
              <w:spacing w:after="0" w:line="202" w:lineRule="exact"/>
              <w:rPr>
                <w:sz w:val="20"/>
                <w:szCs w:val="20"/>
                <w:color w:val="auto"/>
              </w:rPr>
            </w:pPr>
            <w:r>
              <w:rPr>
                <w:rFonts w:ascii="Arial" w:cs="Arial" w:eastAsia="Arial" w:hAnsi="Arial"/>
                <w:sz w:val="18"/>
                <w:szCs w:val="18"/>
                <w:color w:val="auto"/>
              </w:rPr>
              <w:t>Mr. Nardelli</w:t>
            </w:r>
          </w:p>
        </w:tc>
        <w:tc>
          <w:tcPr>
            <w:tcW w:w="0" w:type="dxa"/>
            <w:vAlign w:val="bottom"/>
          </w:tcPr>
          <w:p>
            <w:pPr>
              <w:spacing w:after="0"/>
              <w:rPr>
                <w:sz w:val="1"/>
                <w:szCs w:val="1"/>
                <w:color w:val="auto"/>
              </w:rPr>
            </w:pPr>
          </w:p>
        </w:tc>
      </w:tr>
      <w:tr>
        <w:trPr>
          <w:trHeight w:val="122"/>
        </w:trPr>
        <w:tc>
          <w:tcPr>
            <w:tcW w:w="7560" w:type="dxa"/>
            <w:vAlign w:val="bottom"/>
            <w:tcBorders>
              <w:left w:val="single" w:sz="8" w:color="525252"/>
              <w:right w:val="single" w:sz="8" w:color="525252"/>
            </w:tcBorders>
            <w:vMerge w:val="continue"/>
            <w:shd w:val="clear" w:color="auto" w:fill="E5E5E5"/>
          </w:tcPr>
          <w:p>
            <w:pPr>
              <w:spacing w:after="0"/>
              <w:rPr>
                <w:sz w:val="10"/>
                <w:szCs w:val="10"/>
                <w:color w:val="auto"/>
              </w:rPr>
            </w:pPr>
          </w:p>
        </w:tc>
        <w:tc>
          <w:tcPr>
            <w:tcW w:w="3880" w:type="dxa"/>
            <w:vAlign w:val="bottom"/>
            <w:tcBorders>
              <w:right w:val="single" w:sz="8" w:color="525252"/>
            </w:tcBorders>
            <w:vMerge w:val="restart"/>
          </w:tcPr>
          <w:p>
            <w:pPr>
              <w:ind w:left="360"/>
              <w:spacing w:after="0"/>
              <w:rPr>
                <w:sz w:val="20"/>
                <w:szCs w:val="20"/>
                <w:color w:val="auto"/>
              </w:rPr>
            </w:pPr>
            <w:r>
              <w:rPr>
                <w:rFonts w:ascii="Arial" w:cs="Arial" w:eastAsia="Arial" w:hAnsi="Arial"/>
                <w:sz w:val="18"/>
                <w:szCs w:val="18"/>
                <w:color w:val="auto"/>
              </w:rPr>
              <w:t>Ms. Niland</w:t>
            </w:r>
          </w:p>
        </w:tc>
        <w:tc>
          <w:tcPr>
            <w:tcW w:w="0" w:type="dxa"/>
            <w:vAlign w:val="bottom"/>
          </w:tcPr>
          <w:p>
            <w:pPr>
              <w:spacing w:after="0"/>
              <w:rPr>
                <w:sz w:val="1"/>
                <w:szCs w:val="1"/>
                <w:color w:val="auto"/>
              </w:rPr>
            </w:pPr>
          </w:p>
        </w:tc>
      </w:tr>
      <w:tr>
        <w:trPr>
          <w:trHeight w:val="95"/>
        </w:trPr>
        <w:tc>
          <w:tcPr>
            <w:tcW w:w="7560" w:type="dxa"/>
            <w:vAlign w:val="bottom"/>
            <w:tcBorders>
              <w:left w:val="single" w:sz="8" w:color="525252"/>
              <w:right w:val="single" w:sz="8" w:color="525252"/>
            </w:tcBorders>
            <w:vMerge w:val="restart"/>
            <w:shd w:val="clear" w:color="auto" w:fill="E5E5E5"/>
          </w:tcPr>
          <w:p>
            <w:pPr>
              <w:ind w:left="220"/>
              <w:spacing w:after="0" w:line="202" w:lineRule="exact"/>
              <w:rPr>
                <w:sz w:val="20"/>
                <w:szCs w:val="20"/>
                <w:color w:val="auto"/>
              </w:rPr>
            </w:pPr>
            <w:r>
              <w:rPr>
                <w:rFonts w:ascii="Arial" w:cs="Arial" w:eastAsia="Arial" w:hAnsi="Arial"/>
                <w:sz w:val="18"/>
                <w:szCs w:val="18"/>
                <w:color w:val="auto"/>
              </w:rPr>
              <w:t>compensation, retention and oversight of our independent registered public accounting firm.</w:t>
            </w:r>
          </w:p>
        </w:tc>
        <w:tc>
          <w:tcPr>
            <w:tcW w:w="3880" w:type="dxa"/>
            <w:vAlign w:val="bottom"/>
            <w:tcBorders>
              <w:right w:val="single" w:sz="8" w:color="525252"/>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7560" w:type="dxa"/>
            <w:vAlign w:val="bottom"/>
            <w:tcBorders>
              <w:left w:val="single" w:sz="8" w:color="525252"/>
              <w:right w:val="single" w:sz="8" w:color="525252"/>
            </w:tcBorders>
            <w:vMerge w:val="continue"/>
            <w:shd w:val="clear" w:color="auto" w:fill="E5E5E5"/>
          </w:tcPr>
          <w:p>
            <w:pPr>
              <w:spacing w:after="0"/>
              <w:rPr>
                <w:sz w:val="9"/>
                <w:szCs w:val="9"/>
                <w:color w:val="auto"/>
              </w:rPr>
            </w:pPr>
          </w:p>
        </w:tc>
        <w:tc>
          <w:tcPr>
            <w:tcW w:w="3880" w:type="dxa"/>
            <w:vAlign w:val="bottom"/>
            <w:tcBorders>
              <w:right w:val="single" w:sz="8" w:color="525252"/>
            </w:tcBorders>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7560" w:type="dxa"/>
            <w:vAlign w:val="bottom"/>
            <w:tcBorders>
              <w:left w:val="single" w:sz="8" w:color="525252"/>
              <w:right w:val="single" w:sz="8" w:color="525252"/>
            </w:tcBorders>
            <w:shd w:val="clear" w:color="auto" w:fill="E5E5E5"/>
          </w:tcPr>
          <w:p>
            <w:pPr>
              <w:ind w:left="220"/>
              <w:spacing w:after="0" w:line="202" w:lineRule="exact"/>
              <w:rPr>
                <w:sz w:val="20"/>
                <w:szCs w:val="20"/>
                <w:color w:val="auto"/>
              </w:rPr>
            </w:pPr>
            <w:r>
              <w:rPr>
                <w:rFonts w:ascii="Arial" w:cs="Arial" w:eastAsia="Arial" w:hAnsi="Arial"/>
                <w:sz w:val="18"/>
                <w:szCs w:val="18"/>
                <w:color w:val="auto"/>
              </w:rPr>
              <w:t>The committee, among other things, also reviews and discusses our audited financial</w:t>
            </w:r>
          </w:p>
        </w:tc>
        <w:tc>
          <w:tcPr>
            <w:tcW w:w="3880" w:type="dxa"/>
            <w:vAlign w:val="bottom"/>
            <w:tcBorders>
              <w:right w:val="single" w:sz="8" w:color="525252"/>
            </w:tcBorders>
            <w:vMerge w:val="restart"/>
          </w:tcPr>
          <w:p>
            <w:pPr>
              <w:ind w:left="360"/>
              <w:spacing w:after="0"/>
              <w:rPr>
                <w:sz w:val="20"/>
                <w:szCs w:val="20"/>
                <w:color w:val="auto"/>
              </w:rPr>
            </w:pPr>
            <w:r>
              <w:rPr>
                <w:rFonts w:ascii="Arial" w:cs="Arial" w:eastAsia="Arial" w:hAnsi="Arial"/>
                <w:sz w:val="18"/>
                <w:szCs w:val="18"/>
                <w:b w:val="1"/>
                <w:bCs w:val="1"/>
                <w:color w:val="auto"/>
              </w:rPr>
              <w:t>COMMITTEE CHAIR:</w:t>
            </w:r>
          </w:p>
        </w:tc>
        <w:tc>
          <w:tcPr>
            <w:tcW w:w="0" w:type="dxa"/>
            <w:vAlign w:val="bottom"/>
          </w:tcPr>
          <w:p>
            <w:pPr>
              <w:spacing w:after="0"/>
              <w:rPr>
                <w:sz w:val="1"/>
                <w:szCs w:val="1"/>
                <w:color w:val="auto"/>
              </w:rPr>
            </w:pPr>
          </w:p>
        </w:tc>
      </w:tr>
      <w:tr>
        <w:trPr>
          <w:trHeight w:val="81"/>
        </w:trPr>
        <w:tc>
          <w:tcPr>
            <w:tcW w:w="7560" w:type="dxa"/>
            <w:vAlign w:val="bottom"/>
            <w:tcBorders>
              <w:left w:val="single" w:sz="8" w:color="525252"/>
              <w:right w:val="single" w:sz="8" w:color="525252"/>
            </w:tcBorders>
            <w:vMerge w:val="restart"/>
            <w:shd w:val="clear" w:color="auto" w:fill="E5E5E5"/>
          </w:tcPr>
          <w:p>
            <w:pPr>
              <w:ind w:left="220"/>
              <w:spacing w:after="0" w:line="202" w:lineRule="exact"/>
              <w:rPr>
                <w:sz w:val="20"/>
                <w:szCs w:val="20"/>
                <w:color w:val="auto"/>
              </w:rPr>
            </w:pPr>
            <w:r>
              <w:rPr>
                <w:rFonts w:ascii="Arial" w:cs="Arial" w:eastAsia="Arial" w:hAnsi="Arial"/>
                <w:sz w:val="18"/>
                <w:szCs w:val="18"/>
                <w:color w:val="auto"/>
              </w:rPr>
              <w:t>statements with management and the independent registered public accounting firm. The</w:t>
            </w:r>
          </w:p>
        </w:tc>
        <w:tc>
          <w:tcPr>
            <w:tcW w:w="3880" w:type="dxa"/>
            <w:vAlign w:val="bottom"/>
            <w:tcBorders>
              <w:right w:val="single" w:sz="8" w:color="525252"/>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7560" w:type="dxa"/>
            <w:vAlign w:val="bottom"/>
            <w:tcBorders>
              <w:left w:val="single" w:sz="8" w:color="525252"/>
              <w:right w:val="single" w:sz="8" w:color="525252"/>
            </w:tcBorders>
            <w:vMerge w:val="continue"/>
            <w:shd w:val="clear" w:color="auto" w:fill="E5E5E5"/>
          </w:tcPr>
          <w:p>
            <w:pPr>
              <w:spacing w:after="0"/>
              <w:rPr>
                <w:sz w:val="10"/>
                <w:szCs w:val="10"/>
                <w:color w:val="auto"/>
              </w:rPr>
            </w:pPr>
          </w:p>
        </w:tc>
        <w:tc>
          <w:tcPr>
            <w:tcW w:w="3880" w:type="dxa"/>
            <w:vAlign w:val="bottom"/>
            <w:tcBorders>
              <w:right w:val="single" w:sz="8" w:color="525252"/>
            </w:tcBorders>
            <w:vMerge w:val="restart"/>
          </w:tcPr>
          <w:p>
            <w:pPr>
              <w:ind w:left="360"/>
              <w:spacing w:after="0"/>
              <w:rPr>
                <w:sz w:val="20"/>
                <w:szCs w:val="20"/>
                <w:color w:val="auto"/>
              </w:rPr>
            </w:pPr>
            <w:r>
              <w:rPr>
                <w:rFonts w:ascii="Arial" w:cs="Arial" w:eastAsia="Arial" w:hAnsi="Arial"/>
                <w:sz w:val="18"/>
                <w:szCs w:val="18"/>
                <w:color w:val="auto"/>
              </w:rPr>
              <w:t>Ms. Bertsch</w:t>
            </w:r>
          </w:p>
        </w:tc>
        <w:tc>
          <w:tcPr>
            <w:tcW w:w="0" w:type="dxa"/>
            <w:vAlign w:val="bottom"/>
          </w:tcPr>
          <w:p>
            <w:pPr>
              <w:spacing w:after="0"/>
              <w:rPr>
                <w:sz w:val="1"/>
                <w:szCs w:val="1"/>
                <w:color w:val="auto"/>
              </w:rPr>
            </w:pPr>
          </w:p>
        </w:tc>
      </w:tr>
      <w:tr>
        <w:trPr>
          <w:trHeight w:val="95"/>
        </w:trPr>
        <w:tc>
          <w:tcPr>
            <w:tcW w:w="7560" w:type="dxa"/>
            <w:vAlign w:val="bottom"/>
            <w:tcBorders>
              <w:left w:val="single" w:sz="8" w:color="525252"/>
              <w:right w:val="single" w:sz="8" w:color="525252"/>
            </w:tcBorders>
            <w:vMerge w:val="restart"/>
            <w:shd w:val="clear" w:color="auto" w:fill="E5E5E5"/>
          </w:tcPr>
          <w:p>
            <w:pPr>
              <w:ind w:left="220"/>
              <w:spacing w:after="0" w:line="202" w:lineRule="exact"/>
              <w:rPr>
                <w:sz w:val="20"/>
                <w:szCs w:val="20"/>
                <w:color w:val="auto"/>
              </w:rPr>
            </w:pPr>
            <w:r>
              <w:rPr>
                <w:rFonts w:ascii="Arial" w:cs="Arial" w:eastAsia="Arial" w:hAnsi="Arial"/>
                <w:sz w:val="18"/>
                <w:szCs w:val="18"/>
                <w:color w:val="auto"/>
              </w:rPr>
              <w:t>committee provides oversight of (1) our compliance with legal and regulatory financial</w:t>
            </w:r>
          </w:p>
        </w:tc>
        <w:tc>
          <w:tcPr>
            <w:tcW w:w="3880" w:type="dxa"/>
            <w:vAlign w:val="bottom"/>
            <w:tcBorders>
              <w:right w:val="single" w:sz="8" w:color="525252"/>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7560" w:type="dxa"/>
            <w:vAlign w:val="bottom"/>
            <w:tcBorders>
              <w:left w:val="single" w:sz="8" w:color="525252"/>
              <w:right w:val="single" w:sz="8" w:color="525252"/>
            </w:tcBorders>
            <w:vMerge w:val="continue"/>
            <w:shd w:val="clear" w:color="auto" w:fill="E5E5E5"/>
          </w:tcPr>
          <w:p>
            <w:pPr>
              <w:spacing w:after="0"/>
              <w:rPr>
                <w:sz w:val="9"/>
                <w:szCs w:val="9"/>
                <w:color w:val="auto"/>
              </w:rPr>
            </w:pPr>
          </w:p>
        </w:tc>
        <w:tc>
          <w:tcPr>
            <w:tcW w:w="3880" w:type="dxa"/>
            <w:vAlign w:val="bottom"/>
            <w:tcBorders>
              <w:right w:val="single" w:sz="8" w:color="525252"/>
            </w:tcBorders>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7560" w:type="dxa"/>
            <w:vAlign w:val="bottom"/>
            <w:tcBorders>
              <w:left w:val="single" w:sz="8" w:color="525252"/>
              <w:right w:val="single" w:sz="8" w:color="525252"/>
            </w:tcBorders>
            <w:shd w:val="clear" w:color="auto" w:fill="E5E5E5"/>
          </w:tcPr>
          <w:p>
            <w:pPr>
              <w:ind w:left="220"/>
              <w:spacing w:after="0" w:line="202" w:lineRule="exact"/>
              <w:rPr>
                <w:sz w:val="20"/>
                <w:szCs w:val="20"/>
                <w:color w:val="auto"/>
              </w:rPr>
            </w:pPr>
            <w:r>
              <w:rPr>
                <w:rFonts w:ascii="Arial" w:cs="Arial" w:eastAsia="Arial" w:hAnsi="Arial"/>
                <w:sz w:val="18"/>
                <w:szCs w:val="18"/>
                <w:color w:val="auto"/>
              </w:rPr>
              <w:t>requirements; (2) our guidelines, policies and processes to assess and manage the</w:t>
            </w:r>
          </w:p>
        </w:tc>
        <w:tc>
          <w:tcPr>
            <w:tcW w:w="3880" w:type="dxa"/>
            <w:vAlign w:val="bottom"/>
            <w:tcBorders>
              <w:right w:val="single" w:sz="8" w:color="525252"/>
            </w:tcBorders>
            <w:vMerge w:val="restart"/>
          </w:tcPr>
          <w:p>
            <w:pPr>
              <w:ind w:left="360"/>
              <w:spacing w:after="0"/>
              <w:rPr>
                <w:sz w:val="20"/>
                <w:szCs w:val="20"/>
                <w:color w:val="auto"/>
              </w:rPr>
            </w:pPr>
            <w:r>
              <w:rPr>
                <w:rFonts w:ascii="Arial" w:cs="Arial" w:eastAsia="Arial" w:hAnsi="Arial"/>
                <w:sz w:val="18"/>
                <w:szCs w:val="18"/>
                <w:b w:val="1"/>
                <w:bCs w:val="1"/>
                <w:color w:val="auto"/>
              </w:rPr>
              <w:t xml:space="preserve">INDEPENDENT MEMBERS: </w:t>
            </w: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95"/>
        </w:trPr>
        <w:tc>
          <w:tcPr>
            <w:tcW w:w="7560" w:type="dxa"/>
            <w:vAlign w:val="bottom"/>
            <w:tcBorders>
              <w:left w:val="single" w:sz="8" w:color="525252"/>
              <w:right w:val="single" w:sz="8" w:color="525252"/>
            </w:tcBorders>
            <w:vMerge w:val="restart"/>
            <w:shd w:val="clear" w:color="auto" w:fill="E5E5E5"/>
          </w:tcPr>
          <w:p>
            <w:pPr>
              <w:ind w:left="220"/>
              <w:spacing w:after="0" w:line="202" w:lineRule="exact"/>
              <w:rPr>
                <w:sz w:val="20"/>
                <w:szCs w:val="20"/>
                <w:color w:val="auto"/>
              </w:rPr>
            </w:pPr>
            <w:r>
              <w:rPr>
                <w:rFonts w:ascii="Arial" w:cs="Arial" w:eastAsia="Arial" w:hAnsi="Arial"/>
                <w:sz w:val="18"/>
                <w:szCs w:val="18"/>
                <w:color w:val="auto"/>
              </w:rPr>
              <w:t>company’s exposure to risks in general, including financial risks; and (3) our financial</w:t>
            </w:r>
          </w:p>
        </w:tc>
        <w:tc>
          <w:tcPr>
            <w:tcW w:w="3880" w:type="dxa"/>
            <w:vAlign w:val="bottom"/>
            <w:tcBorders>
              <w:right w:val="single" w:sz="8" w:color="525252"/>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7560" w:type="dxa"/>
            <w:vAlign w:val="bottom"/>
            <w:tcBorders>
              <w:left w:val="single" w:sz="8" w:color="525252"/>
              <w:right w:val="single" w:sz="8" w:color="525252"/>
            </w:tcBorders>
            <w:vMerge w:val="continue"/>
            <w:shd w:val="clear" w:color="auto" w:fill="E5E5E5"/>
          </w:tcPr>
          <w:p>
            <w:pPr>
              <w:spacing w:after="0"/>
              <w:rPr>
                <w:sz w:val="9"/>
                <w:szCs w:val="9"/>
                <w:color w:val="auto"/>
              </w:rPr>
            </w:pPr>
          </w:p>
        </w:tc>
        <w:tc>
          <w:tcPr>
            <w:tcW w:w="3880" w:type="dxa"/>
            <w:vAlign w:val="bottom"/>
            <w:tcBorders>
              <w:right w:val="single" w:sz="8" w:color="525252"/>
            </w:tcBorders>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7560" w:type="dxa"/>
            <w:vAlign w:val="bottom"/>
            <w:tcBorders>
              <w:left w:val="single" w:sz="8" w:color="525252"/>
              <w:right w:val="single" w:sz="8" w:color="525252"/>
            </w:tcBorders>
            <w:shd w:val="clear" w:color="auto" w:fill="E5E5E5"/>
          </w:tcPr>
          <w:p>
            <w:pPr>
              <w:ind w:left="220"/>
              <w:spacing w:after="0" w:line="202" w:lineRule="exact"/>
              <w:rPr>
                <w:sz w:val="20"/>
                <w:szCs w:val="20"/>
                <w:color w:val="auto"/>
              </w:rPr>
            </w:pPr>
            <w:r>
              <w:rPr>
                <w:rFonts w:ascii="Arial" w:cs="Arial" w:eastAsia="Arial" w:hAnsi="Arial"/>
                <w:sz w:val="18"/>
                <w:szCs w:val="18"/>
                <w:color w:val="auto"/>
              </w:rPr>
              <w:t>strategies and structure. In addition, the Audit and Finance Committee exercises general</w:t>
            </w:r>
          </w:p>
        </w:tc>
        <w:tc>
          <w:tcPr>
            <w:tcW w:w="3880" w:type="dxa"/>
            <w:vAlign w:val="bottom"/>
            <w:tcBorders>
              <w:right w:val="single" w:sz="8" w:color="525252"/>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560" w:type="dxa"/>
            <w:vAlign w:val="bottom"/>
            <w:tcBorders>
              <w:left w:val="single" w:sz="8" w:color="525252"/>
              <w:right w:val="single" w:sz="8" w:color="525252"/>
            </w:tcBorders>
            <w:shd w:val="clear" w:color="auto" w:fill="E5E5E5"/>
          </w:tcPr>
          <w:p>
            <w:pPr>
              <w:ind w:left="220"/>
              <w:spacing w:after="0"/>
              <w:rPr>
                <w:sz w:val="20"/>
                <w:szCs w:val="20"/>
                <w:color w:val="auto"/>
              </w:rPr>
            </w:pPr>
            <w:r>
              <w:rPr>
                <w:rFonts w:ascii="Arial" w:cs="Arial" w:eastAsia="Arial" w:hAnsi="Arial"/>
                <w:sz w:val="18"/>
                <w:szCs w:val="18"/>
                <w:color w:val="auto"/>
              </w:rPr>
              <w:t>oversight of BWXT’s ethics and compliance program.</w:t>
            </w:r>
          </w:p>
        </w:tc>
        <w:tc>
          <w:tcPr>
            <w:tcW w:w="3880" w:type="dxa"/>
            <w:vAlign w:val="bottom"/>
            <w:tcBorders>
              <w:right w:val="single" w:sz="8" w:color="525252"/>
            </w:tcBorders>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7560" w:type="dxa"/>
            <w:vAlign w:val="bottom"/>
            <w:tcBorders>
              <w:left w:val="single" w:sz="8" w:color="525252"/>
              <w:right w:val="single" w:sz="8" w:color="525252"/>
            </w:tcBorders>
            <w:shd w:val="clear" w:color="auto" w:fill="E5E5E5"/>
          </w:tcPr>
          <w:p>
            <w:pPr>
              <w:ind w:left="220"/>
              <w:spacing w:after="0"/>
              <w:rPr>
                <w:sz w:val="20"/>
                <w:szCs w:val="20"/>
                <w:color w:val="auto"/>
              </w:rPr>
            </w:pPr>
            <w:r>
              <w:rPr>
                <w:rFonts w:ascii="Arial" w:cs="Arial" w:eastAsia="Arial" w:hAnsi="Arial"/>
                <w:sz w:val="18"/>
                <w:szCs w:val="18"/>
                <w:color w:val="auto"/>
              </w:rPr>
              <w:t>The Audit and Finance Committee also reviews and oversees financial policies and</w:t>
            </w:r>
          </w:p>
        </w:tc>
        <w:tc>
          <w:tcPr>
            <w:tcW w:w="3880" w:type="dxa"/>
            <w:vAlign w:val="bottom"/>
            <w:tcBorders>
              <w:right w:val="single" w:sz="8" w:color="525252"/>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560" w:type="dxa"/>
            <w:vAlign w:val="bottom"/>
            <w:tcBorders>
              <w:left w:val="single" w:sz="8" w:color="525252"/>
              <w:right w:val="single" w:sz="8" w:color="525252"/>
            </w:tcBorders>
            <w:shd w:val="clear" w:color="auto" w:fill="E5E5E5"/>
          </w:tcPr>
          <w:p>
            <w:pPr>
              <w:ind w:left="220"/>
              <w:spacing w:after="0" w:line="202" w:lineRule="exact"/>
              <w:rPr>
                <w:sz w:val="20"/>
                <w:szCs w:val="20"/>
                <w:color w:val="auto"/>
              </w:rPr>
            </w:pPr>
            <w:r>
              <w:rPr>
                <w:rFonts w:ascii="Arial" w:cs="Arial" w:eastAsia="Arial" w:hAnsi="Arial"/>
                <w:sz w:val="18"/>
                <w:szCs w:val="18"/>
                <w:color w:val="auto"/>
              </w:rPr>
              <w:t>financial strategies, mergers, acquisitions, financings, liabilities, investment performance of</w:t>
            </w:r>
          </w:p>
        </w:tc>
        <w:tc>
          <w:tcPr>
            <w:tcW w:w="3880" w:type="dxa"/>
            <w:vAlign w:val="bottom"/>
            <w:tcBorders>
              <w:right w:val="single" w:sz="8" w:color="525252"/>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Borders>
              <w:left w:val="single" w:sz="8" w:color="525252"/>
              <w:right w:val="single" w:sz="8" w:color="525252"/>
            </w:tcBorders>
            <w:shd w:val="clear" w:color="auto" w:fill="E5E5E5"/>
          </w:tcPr>
          <w:p>
            <w:pPr>
              <w:ind w:left="220"/>
              <w:spacing w:after="0" w:line="202" w:lineRule="exact"/>
              <w:rPr>
                <w:sz w:val="20"/>
                <w:szCs w:val="20"/>
                <w:color w:val="auto"/>
              </w:rPr>
            </w:pPr>
            <w:r>
              <w:rPr>
                <w:rFonts w:ascii="Arial" w:cs="Arial" w:eastAsia="Arial" w:hAnsi="Arial"/>
                <w:sz w:val="18"/>
                <w:szCs w:val="18"/>
                <w:color w:val="auto"/>
              </w:rPr>
              <w:t>our pension plans and the capital structures of BWXT and its subsidiaries. Generally, the</w:t>
            </w:r>
          </w:p>
        </w:tc>
        <w:tc>
          <w:tcPr>
            <w:tcW w:w="3880" w:type="dxa"/>
            <w:vAlign w:val="bottom"/>
            <w:tcBorders>
              <w:right w:val="single" w:sz="8" w:color="525252"/>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Borders>
              <w:left w:val="single" w:sz="8" w:color="525252"/>
              <w:right w:val="single" w:sz="8" w:color="525252"/>
            </w:tcBorders>
            <w:shd w:val="clear" w:color="auto" w:fill="E5E5E5"/>
          </w:tcPr>
          <w:p>
            <w:pPr>
              <w:ind w:left="220"/>
              <w:spacing w:after="0" w:line="202" w:lineRule="exact"/>
              <w:rPr>
                <w:sz w:val="20"/>
                <w:szCs w:val="20"/>
                <w:color w:val="auto"/>
              </w:rPr>
            </w:pPr>
            <w:r>
              <w:rPr>
                <w:rFonts w:ascii="Arial" w:cs="Arial" w:eastAsia="Arial" w:hAnsi="Arial"/>
                <w:sz w:val="18"/>
                <w:szCs w:val="18"/>
                <w:color w:val="auto"/>
              </w:rPr>
              <w:t>Audit and Finance Committee has responsibility over many activities involving up to $25</w:t>
            </w:r>
          </w:p>
        </w:tc>
        <w:tc>
          <w:tcPr>
            <w:tcW w:w="3880" w:type="dxa"/>
            <w:vAlign w:val="bottom"/>
            <w:tcBorders>
              <w:right w:val="single" w:sz="8" w:color="525252"/>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Borders>
              <w:left w:val="single" w:sz="8" w:color="525252"/>
              <w:right w:val="single" w:sz="8" w:color="525252"/>
            </w:tcBorders>
            <w:shd w:val="clear" w:color="auto" w:fill="E5E5E5"/>
          </w:tcPr>
          <w:p>
            <w:pPr>
              <w:ind w:left="220"/>
              <w:spacing w:after="0" w:line="202" w:lineRule="exact"/>
              <w:rPr>
                <w:sz w:val="20"/>
                <w:szCs w:val="20"/>
                <w:color w:val="auto"/>
              </w:rPr>
            </w:pPr>
            <w:r>
              <w:rPr>
                <w:rFonts w:ascii="Arial" w:cs="Arial" w:eastAsia="Arial" w:hAnsi="Arial"/>
                <w:sz w:val="18"/>
                <w:szCs w:val="18"/>
                <w:color w:val="auto"/>
              </w:rPr>
              <w:t>million. For activities involving amounts over $25 million, the Audit and Finance Committee</w:t>
            </w:r>
          </w:p>
        </w:tc>
        <w:tc>
          <w:tcPr>
            <w:tcW w:w="3880" w:type="dxa"/>
            <w:vAlign w:val="bottom"/>
            <w:tcBorders>
              <w:right w:val="single" w:sz="8" w:color="525252"/>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560" w:type="dxa"/>
            <w:vAlign w:val="bottom"/>
            <w:tcBorders>
              <w:left w:val="single" w:sz="8" w:color="525252"/>
              <w:right w:val="single" w:sz="8" w:color="525252"/>
            </w:tcBorders>
            <w:shd w:val="clear" w:color="auto" w:fill="E5E5E5"/>
          </w:tcPr>
          <w:p>
            <w:pPr>
              <w:ind w:left="220"/>
              <w:spacing w:after="0"/>
              <w:rPr>
                <w:sz w:val="20"/>
                <w:szCs w:val="20"/>
                <w:color w:val="auto"/>
              </w:rPr>
            </w:pPr>
            <w:r>
              <w:rPr>
                <w:rFonts w:ascii="Arial" w:cs="Arial" w:eastAsia="Arial" w:hAnsi="Arial"/>
                <w:sz w:val="18"/>
                <w:szCs w:val="18"/>
                <w:color w:val="auto"/>
              </w:rPr>
              <w:t>will review the activity and make a recommendation to the Board.</w:t>
            </w:r>
          </w:p>
        </w:tc>
        <w:tc>
          <w:tcPr>
            <w:tcW w:w="3880" w:type="dxa"/>
            <w:vAlign w:val="bottom"/>
            <w:tcBorders>
              <w:right w:val="single" w:sz="8" w:color="525252"/>
            </w:tcBorders>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7560" w:type="dxa"/>
            <w:vAlign w:val="bottom"/>
            <w:tcBorders>
              <w:left w:val="single" w:sz="8" w:color="525252"/>
              <w:right w:val="single" w:sz="8" w:color="525252"/>
            </w:tcBorders>
            <w:shd w:val="clear" w:color="auto" w:fill="E5E5E5"/>
          </w:tcPr>
          <w:p>
            <w:pPr>
              <w:ind w:left="220"/>
              <w:spacing w:after="0"/>
              <w:rPr>
                <w:sz w:val="20"/>
                <w:szCs w:val="20"/>
                <w:color w:val="auto"/>
              </w:rPr>
            </w:pPr>
            <w:r>
              <w:rPr>
                <w:rFonts w:ascii="Arial" w:cs="Arial" w:eastAsia="Arial" w:hAnsi="Arial"/>
                <w:sz w:val="18"/>
                <w:szCs w:val="18"/>
                <w:color w:val="auto"/>
              </w:rPr>
              <w:t>Our Board has determined that Mses. Bertsch and Niland and Messrs. LeMasters and</w:t>
            </w:r>
          </w:p>
        </w:tc>
        <w:tc>
          <w:tcPr>
            <w:tcW w:w="3880" w:type="dxa"/>
            <w:vAlign w:val="bottom"/>
            <w:tcBorders>
              <w:right w:val="single" w:sz="8" w:color="525252"/>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560" w:type="dxa"/>
            <w:vAlign w:val="bottom"/>
            <w:tcBorders>
              <w:left w:val="single" w:sz="8" w:color="525252"/>
              <w:right w:val="single" w:sz="8" w:color="525252"/>
            </w:tcBorders>
            <w:shd w:val="clear" w:color="auto" w:fill="E5E5E5"/>
          </w:tcPr>
          <w:p>
            <w:pPr>
              <w:ind w:left="220"/>
              <w:spacing w:after="0" w:line="202" w:lineRule="exact"/>
              <w:rPr>
                <w:sz w:val="20"/>
                <w:szCs w:val="20"/>
                <w:color w:val="auto"/>
              </w:rPr>
            </w:pPr>
            <w:r>
              <w:rPr>
                <w:rFonts w:ascii="Arial" w:cs="Arial" w:eastAsia="Arial" w:hAnsi="Arial"/>
                <w:sz w:val="18"/>
                <w:szCs w:val="18"/>
                <w:color w:val="auto"/>
              </w:rPr>
              <w:t>Nardelli are each "financially literate" as defined by the NYSE and each qualify as an “audit</w:t>
            </w:r>
          </w:p>
        </w:tc>
        <w:tc>
          <w:tcPr>
            <w:tcW w:w="3880" w:type="dxa"/>
            <w:vAlign w:val="bottom"/>
            <w:tcBorders>
              <w:right w:val="single" w:sz="8" w:color="525252"/>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Borders>
              <w:left w:val="single" w:sz="8" w:color="525252"/>
              <w:right w:val="single" w:sz="8" w:color="525252"/>
            </w:tcBorders>
            <w:shd w:val="clear" w:color="auto" w:fill="E5E5E5"/>
          </w:tcPr>
          <w:p>
            <w:pPr>
              <w:ind w:left="220"/>
              <w:spacing w:after="0" w:line="202" w:lineRule="exact"/>
              <w:rPr>
                <w:sz w:val="20"/>
                <w:szCs w:val="20"/>
                <w:color w:val="auto"/>
              </w:rPr>
            </w:pPr>
            <w:r>
              <w:rPr>
                <w:rFonts w:ascii="Arial" w:cs="Arial" w:eastAsia="Arial" w:hAnsi="Arial"/>
                <w:sz w:val="18"/>
                <w:szCs w:val="18"/>
                <w:color w:val="auto"/>
              </w:rPr>
              <w:t>committee financial expert” within the definition established by the Securities and Exchange</w:t>
            </w:r>
          </w:p>
        </w:tc>
        <w:tc>
          <w:tcPr>
            <w:tcW w:w="3880" w:type="dxa"/>
            <w:vAlign w:val="bottom"/>
            <w:tcBorders>
              <w:right w:val="single" w:sz="8" w:color="525252"/>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Borders>
              <w:left w:val="single" w:sz="8" w:color="525252"/>
              <w:right w:val="single" w:sz="8" w:color="525252"/>
            </w:tcBorders>
            <w:shd w:val="clear" w:color="auto" w:fill="E5E5E5"/>
          </w:tcPr>
          <w:p>
            <w:pPr>
              <w:ind w:left="220"/>
              <w:spacing w:after="0" w:line="202" w:lineRule="exact"/>
              <w:rPr>
                <w:sz w:val="20"/>
                <w:szCs w:val="20"/>
                <w:color w:val="auto"/>
              </w:rPr>
            </w:pPr>
            <w:r>
              <w:rPr>
                <w:rFonts w:ascii="Arial" w:cs="Arial" w:eastAsia="Arial" w:hAnsi="Arial"/>
                <w:sz w:val="18"/>
                <w:szCs w:val="18"/>
                <w:color w:val="auto"/>
              </w:rPr>
              <w:t>Commission (“SEC”). For more information on the backgrounds of these directors, see their</w:t>
            </w:r>
          </w:p>
        </w:tc>
        <w:tc>
          <w:tcPr>
            <w:tcW w:w="3880" w:type="dxa"/>
            <w:vAlign w:val="bottom"/>
            <w:tcBorders>
              <w:right w:val="single" w:sz="8" w:color="525252"/>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560" w:type="dxa"/>
            <w:vAlign w:val="bottom"/>
            <w:tcBorders>
              <w:left w:val="single" w:sz="8" w:color="525252"/>
              <w:right w:val="single" w:sz="8" w:color="525252"/>
            </w:tcBorders>
            <w:shd w:val="clear" w:color="auto" w:fill="E5E5E5"/>
          </w:tcPr>
          <w:p>
            <w:pPr>
              <w:ind w:left="220"/>
              <w:spacing w:after="0"/>
              <w:rPr>
                <w:sz w:val="20"/>
                <w:szCs w:val="20"/>
                <w:color w:val="auto"/>
              </w:rPr>
            </w:pPr>
            <w:r>
              <w:rPr>
                <w:rFonts w:ascii="Arial" w:cs="Arial" w:eastAsia="Arial" w:hAnsi="Arial"/>
                <w:sz w:val="18"/>
                <w:szCs w:val="18"/>
                <w:color w:val="auto"/>
              </w:rPr>
              <w:t>biographical information under “Proposal 1: Election of Directors” above.</w:t>
            </w:r>
          </w:p>
        </w:tc>
        <w:tc>
          <w:tcPr>
            <w:tcW w:w="3880" w:type="dxa"/>
            <w:vAlign w:val="bottom"/>
            <w:tcBorders>
              <w:right w:val="single" w:sz="8" w:color="525252"/>
            </w:tcBorders>
          </w:tcPr>
          <w:p>
            <w:pPr>
              <w:spacing w:after="0"/>
              <w:rPr>
                <w:sz w:val="18"/>
                <w:szCs w:val="18"/>
                <w:color w:val="auto"/>
              </w:rPr>
            </w:pPr>
          </w:p>
        </w:tc>
        <w:tc>
          <w:tcPr>
            <w:tcW w:w="0" w:type="dxa"/>
            <w:vAlign w:val="bottom"/>
          </w:tcPr>
          <w:p>
            <w:pPr>
              <w:spacing w:after="0"/>
              <w:rPr>
                <w:sz w:val="1"/>
                <w:szCs w:val="1"/>
                <w:color w:val="auto"/>
              </w:rPr>
            </w:pPr>
          </w:p>
        </w:tc>
      </w:tr>
      <w:tr>
        <w:trPr>
          <w:trHeight w:val="1283"/>
        </w:trPr>
        <w:tc>
          <w:tcPr>
            <w:tcW w:w="7560" w:type="dxa"/>
            <w:vAlign w:val="bottom"/>
            <w:tcBorders>
              <w:left w:val="single" w:sz="8" w:color="525252"/>
              <w:bottom w:val="single" w:sz="8" w:color="525252"/>
              <w:right w:val="single" w:sz="8" w:color="525252"/>
            </w:tcBorders>
            <w:shd w:val="clear" w:color="auto" w:fill="E5E5E5"/>
          </w:tcPr>
          <w:p>
            <w:pPr>
              <w:spacing w:after="0"/>
              <w:rPr>
                <w:sz w:val="24"/>
                <w:szCs w:val="24"/>
                <w:color w:val="auto"/>
              </w:rPr>
            </w:pPr>
          </w:p>
        </w:tc>
        <w:tc>
          <w:tcPr>
            <w:tcW w:w="3880" w:type="dxa"/>
            <w:vAlign w:val="bottom"/>
            <w:tcBorders>
              <w:bottom w:val="single" w:sz="8" w:color="525252"/>
              <w:right w:val="single" w:sz="8" w:color="525252"/>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ind w:left="8160"/>
        <w:spacing w:after="0"/>
        <w:rPr>
          <w:sz w:val="20"/>
          <w:szCs w:val="20"/>
          <w:color w:val="auto"/>
        </w:rPr>
      </w:pPr>
      <w:r>
        <w:rPr>
          <w:sz w:val="1"/>
          <w:szCs w:val="1"/>
          <w:color w:val="auto"/>
        </w:rPr>
        <w:drawing>
          <wp:inline distT="0" distB="0" distL="0" distR="0">
            <wp:extent cx="488950" cy="20574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88950" cy="205740"/>
                    </a:xfrm>
                    <a:prstGeom prst="rect">
                      <a:avLst/>
                    </a:prstGeom>
                    <a:noFill/>
                    <a:ln>
                      <a:noFill/>
                    </a:ln>
                  </pic:spPr>
                </pic:pic>
              </a:graphicData>
            </a:graphic>
          </wp:inline>
        </w:drawing>
      </w:r>
      <w:r>
        <w:rPr>
          <w:rFonts w:ascii="Arial" w:cs="Arial" w:eastAsia="Arial" w:hAnsi="Arial"/>
          <w:sz w:val="17"/>
          <w:szCs w:val="17"/>
          <w:color w:val="auto"/>
        </w:rPr>
        <w:t xml:space="preserve"> 2018 PROXY STATEMENT </w:t>
      </w:r>
      <w:r>
        <w:rPr>
          <w:rFonts w:ascii="Arial" w:cs="Arial" w:eastAsia="Arial" w:hAnsi="Arial"/>
          <w:sz w:val="17"/>
          <w:szCs w:val="17"/>
          <w:b w:val="1"/>
          <w:bCs w:val="1"/>
          <w:color w:val="2C2C2C"/>
        </w:rPr>
        <w:t>13</w:t>
      </w:r>
    </w:p>
    <w:p>
      <w:pPr>
        <w:sectPr>
          <w:pgSz w:w="11900" w:h="16838" w:orient="portrait"/>
          <w:cols w:equalWidth="0" w:num="1">
            <w:col w:w="11440"/>
          </w:cols>
          <w:pgMar w:left="240" w:top="125" w:right="219" w:bottom="1440" w:gutter="0" w:footer="0" w:header="0"/>
        </w:sectPr>
      </w:pPr>
    </w:p>
    <w:bookmarkStart w:id="22" w:name="page23"/>
    <w:bookmarkEnd w:id="22"/>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right"/>
        <w:ind w:right="1040"/>
        <w:spacing w:after="0"/>
        <w:rPr>
          <w:sz w:val="20"/>
          <w:szCs w:val="20"/>
          <w:color w:val="auto"/>
        </w:rPr>
      </w:pPr>
      <w:r>
        <w:rPr>
          <w:rFonts w:ascii="Arial" w:cs="Arial" w:eastAsia="Arial" w:hAnsi="Arial"/>
          <w:sz w:val="14"/>
          <w:szCs w:val="14"/>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54875" cy="68008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4875" cy="680085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FFFFFF"/>
        </w:rPr>
        <w:t>Compensation Committee</w:t>
      </w:r>
    </w:p>
    <w:p>
      <w:pPr>
        <w:sectPr>
          <w:pgSz w:w="11900" w:h="16838" w:orient="portrait"/>
          <w:cols w:equalWidth="0" w:num="1">
            <w:col w:w="11400"/>
          </w:cols>
          <w:pgMar w:left="240" w:top="125" w:right="259" w:bottom="1440" w:gutter="0" w:footer="0" w:header="0"/>
        </w:sectPr>
      </w:pPr>
    </w:p>
    <w:p>
      <w:pPr>
        <w:spacing w:after="0" w:line="184" w:lineRule="exact"/>
        <w:rPr>
          <w:sz w:val="20"/>
          <w:szCs w:val="20"/>
          <w:color w:val="auto"/>
        </w:rPr>
      </w:pPr>
    </w:p>
    <w:p>
      <w:pPr>
        <w:ind w:left="220" w:right="480"/>
        <w:spacing w:after="0" w:line="239" w:lineRule="auto"/>
        <w:rPr>
          <w:sz w:val="20"/>
          <w:szCs w:val="20"/>
          <w:color w:val="auto"/>
        </w:rPr>
      </w:pPr>
      <w:r>
        <w:rPr>
          <w:rFonts w:ascii="Arial" w:cs="Arial" w:eastAsia="Arial" w:hAnsi="Arial"/>
          <w:sz w:val="18"/>
          <w:szCs w:val="18"/>
          <w:color w:val="auto"/>
        </w:rPr>
        <w:t>The Compensation Committee has overall responsibility for our executive and non-employee director compensation plans, policies and programs. The Compensation Committee also oversees the annual evaluation of our Executive Chairman and Chief Executive Officer in conjunction with the Governance Committee.</w:t>
      </w:r>
    </w:p>
    <w:p>
      <w:pPr>
        <w:spacing w:after="0" w:line="80" w:lineRule="exact"/>
        <w:rPr>
          <w:sz w:val="20"/>
          <w:szCs w:val="20"/>
          <w:color w:val="auto"/>
        </w:rPr>
      </w:pPr>
    </w:p>
    <w:p>
      <w:pPr>
        <w:ind w:left="220"/>
        <w:spacing w:after="0" w:line="239" w:lineRule="auto"/>
        <w:rPr>
          <w:sz w:val="20"/>
          <w:szCs w:val="20"/>
          <w:color w:val="auto"/>
        </w:rPr>
      </w:pPr>
      <w:r>
        <w:rPr>
          <w:rFonts w:ascii="Arial" w:cs="Arial" w:eastAsia="Arial" w:hAnsi="Arial"/>
          <w:sz w:val="18"/>
          <w:szCs w:val="18"/>
          <w:color w:val="auto"/>
        </w:rPr>
        <w:t>The Compensation Committee regularly reviews the design of our significant compensation programs with the assistance of its compensation consultant. We believe our compensation programs work to retain and to motivate our employees at appropriate levels of business risk, which risks are generally mitigated through some of the following features:</w:t>
      </w:r>
    </w:p>
    <w:p>
      <w:pPr>
        <w:spacing w:after="0" w:line="62" w:lineRule="exact"/>
        <w:rPr>
          <w:sz w:val="20"/>
          <w:szCs w:val="20"/>
          <w:color w:val="auto"/>
        </w:rPr>
      </w:pPr>
    </w:p>
    <w:p>
      <w:pPr>
        <w:ind w:left="40" w:right="60" w:firstLine="171"/>
        <w:spacing w:after="0" w:line="241" w:lineRule="auto"/>
        <w:tabs>
          <w:tab w:leader="none" w:pos="364" w:val="left"/>
        </w:tabs>
        <w:numPr>
          <w:ilvl w:val="1"/>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Reasonable and Balanced Compensation Programs </w:t>
      </w:r>
      <w:r>
        <w:rPr>
          <w:rFonts w:ascii="Arial" w:cs="Arial" w:eastAsia="Arial" w:hAnsi="Arial"/>
          <w:sz w:val="18"/>
          <w:szCs w:val="18"/>
          <w:color w:val="auto"/>
        </w:rPr>
        <w:t>— Using the elements of total direct</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the Compensation Committee seeks to provide compensation opportunities for employees targeted at or near the median compensation of comparable positions in our market. As a result, we believe the total direct compensation of employees provides reasonable compensation opportunities with an appropriate mix of cash and equity, annual and longer-term incentives, and performance metrics.</w:t>
      </w:r>
    </w:p>
    <w:p>
      <w:pPr>
        <w:spacing w:after="0" w:line="62" w:lineRule="exact"/>
        <w:rPr>
          <w:rFonts w:ascii="Arial" w:cs="Arial" w:eastAsia="Arial" w:hAnsi="Arial"/>
          <w:sz w:val="18"/>
          <w:szCs w:val="18"/>
          <w:i w:val="1"/>
          <w:iCs w:val="1"/>
          <w:color w:val="auto"/>
        </w:rPr>
      </w:pPr>
    </w:p>
    <w:p>
      <w:pPr>
        <w:ind w:left="40" w:right="40" w:firstLine="171"/>
        <w:spacing w:after="0"/>
        <w:tabs>
          <w:tab w:leader="none" w:pos="364" w:val="left"/>
        </w:tabs>
        <w:numPr>
          <w:ilvl w:val="1"/>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Emphasis on Long-Term Incentive Over Annual Incentive Compensation </w:t>
      </w:r>
      <w:r>
        <w:rPr>
          <w:rFonts w:ascii="Arial" w:cs="Arial" w:eastAsia="Arial" w:hAnsi="Arial"/>
          <w:sz w:val="18"/>
          <w:szCs w:val="18"/>
          <w:color w:val="auto"/>
        </w:rPr>
        <w:t>— Long-term</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compensation, to the extent awarded, typically makes up a larger percentage of an employee’s target total direct compensation than annual incentive compensation. Incentive compensation helps drive performance and align the interests of employees with those of stockholders. By tying a significant portion of total direct compensation to long-term incentives, typically over a three-year period, we promote longer-term perspectives regarding company performance.</w:t>
      </w:r>
    </w:p>
    <w:p>
      <w:pPr>
        <w:spacing w:after="0" w:line="63" w:lineRule="exact"/>
        <w:rPr>
          <w:rFonts w:ascii="Arial" w:cs="Arial" w:eastAsia="Arial" w:hAnsi="Arial"/>
          <w:sz w:val="18"/>
          <w:szCs w:val="18"/>
          <w:i w:val="1"/>
          <w:iCs w:val="1"/>
          <w:color w:val="auto"/>
        </w:rPr>
      </w:pPr>
    </w:p>
    <w:p>
      <w:pPr>
        <w:ind w:left="40" w:right="200" w:firstLine="171"/>
        <w:spacing w:after="0" w:line="241" w:lineRule="auto"/>
        <w:tabs>
          <w:tab w:leader="none" w:pos="364" w:val="left"/>
        </w:tabs>
        <w:numPr>
          <w:ilvl w:val="1"/>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Long-Term Incentive Compensation Subject to Forfeiture for Bad Acts </w:t>
      </w:r>
      <w:r>
        <w:rPr>
          <w:rFonts w:ascii="Arial" w:cs="Arial" w:eastAsia="Arial" w:hAnsi="Arial"/>
          <w:sz w:val="18"/>
          <w:szCs w:val="18"/>
          <w:color w:val="auto"/>
        </w:rPr>
        <w: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may terminate any outstanding stock award if the recipient (1) is convicted of a misdemeanor involving fraud, dishonesty or moral turpitude or a felony, or</w:t>
      </w:r>
    </w:p>
    <w:p>
      <w:pPr>
        <w:spacing w:after="0" w:line="2" w:lineRule="exact"/>
        <w:rPr>
          <w:rFonts w:ascii="Arial" w:cs="Arial" w:eastAsia="Arial" w:hAnsi="Arial"/>
          <w:sz w:val="18"/>
          <w:szCs w:val="18"/>
          <w:i w:val="1"/>
          <w:iCs w:val="1"/>
          <w:color w:val="auto"/>
        </w:rPr>
      </w:pPr>
    </w:p>
    <w:p>
      <w:pPr>
        <w:ind w:left="40" w:right="280" w:firstLine="9"/>
        <w:spacing w:after="0" w:line="246" w:lineRule="auto"/>
        <w:tabs>
          <w:tab w:leader="none" w:pos="31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engages in conduct that adversely affects or may reasonably be expected to adversely affect the business reputation or economic interests of the Company.</w:t>
      </w:r>
    </w:p>
    <w:p>
      <w:pPr>
        <w:spacing w:after="0" w:line="57" w:lineRule="exact"/>
        <w:rPr>
          <w:rFonts w:ascii="Arial" w:cs="Arial" w:eastAsia="Arial" w:hAnsi="Arial"/>
          <w:sz w:val="18"/>
          <w:szCs w:val="18"/>
          <w:color w:val="auto"/>
        </w:rPr>
      </w:pPr>
    </w:p>
    <w:p>
      <w:pPr>
        <w:ind w:left="40" w:right="360" w:firstLine="171"/>
        <w:spacing w:after="0" w:line="272" w:lineRule="auto"/>
        <w:tabs>
          <w:tab w:leader="none" w:pos="364" w:val="left"/>
        </w:tabs>
        <w:numPr>
          <w:ilvl w:val="1"/>
          <w:numId w:val="4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Most Annual and Long-Term Incentive Compensation Subject to Clawbacks </w:t>
      </w:r>
      <w:r>
        <w:rPr>
          <w:rFonts w:ascii="Arial" w:cs="Arial" w:eastAsia="Arial" w:hAnsi="Arial"/>
          <w:sz w:val="17"/>
          <w:szCs w:val="17"/>
          <w:color w:val="auto"/>
        </w:rPr>
        <w:t>— Since</w:t>
      </w:r>
      <w:r>
        <w:rPr>
          <w:rFonts w:ascii="Arial" w:cs="Arial" w:eastAsia="Arial" w:hAnsi="Arial"/>
          <w:sz w:val="17"/>
          <w:szCs w:val="17"/>
          <w:i w:val="1"/>
          <w:iCs w:val="1"/>
          <w:color w:val="auto"/>
        </w:rPr>
        <w:t xml:space="preserve"> </w:t>
      </w:r>
      <w:r>
        <w:rPr>
          <w:rFonts w:ascii="Arial" w:cs="Arial" w:eastAsia="Arial" w:hAnsi="Arial"/>
          <w:sz w:val="17"/>
          <w:szCs w:val="17"/>
          <w:color w:val="auto"/>
        </w:rPr>
        <w:t>2011, incentive compensation awards include provisions allowing us to recover excess amounts paid to individuals who knowingly engaged in a fraud resulting in a restatement.</w:t>
      </w:r>
    </w:p>
    <w:p>
      <w:pPr>
        <w:spacing w:after="0" w:line="37" w:lineRule="exact"/>
        <w:rPr>
          <w:rFonts w:ascii="Arial" w:cs="Arial" w:eastAsia="Arial" w:hAnsi="Arial"/>
          <w:sz w:val="17"/>
          <w:szCs w:val="17"/>
          <w:i w:val="1"/>
          <w:iCs w:val="1"/>
          <w:color w:val="auto"/>
        </w:rPr>
      </w:pPr>
    </w:p>
    <w:p>
      <w:pPr>
        <w:ind w:left="40" w:right="180" w:firstLine="171"/>
        <w:spacing w:after="0" w:line="242" w:lineRule="auto"/>
        <w:tabs>
          <w:tab w:leader="none" w:pos="364" w:val="left"/>
        </w:tabs>
        <w:numPr>
          <w:ilvl w:val="1"/>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Linear and Capped Incentive Compensation Payouts </w:t>
      </w:r>
      <w:r>
        <w:rPr>
          <w:rFonts w:ascii="Arial" w:cs="Arial" w:eastAsia="Arial" w:hAnsi="Arial"/>
          <w:sz w:val="18"/>
          <w:szCs w:val="18"/>
          <w:color w:val="auto"/>
        </w:rPr>
        <w:t>— The 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establishes financial performance goals that are used to plot a linear payout formula for annual and long-term incentive compensation to avoid an over-emphasis on short-term decision making. The maximum payout for both the annual and long-term incentive compensation is capped at 200% percent of target.</w:t>
      </w:r>
    </w:p>
    <w:p>
      <w:pPr>
        <w:spacing w:after="0" w:line="63" w:lineRule="exact"/>
        <w:rPr>
          <w:rFonts w:ascii="Arial" w:cs="Arial" w:eastAsia="Arial" w:hAnsi="Arial"/>
          <w:sz w:val="18"/>
          <w:szCs w:val="18"/>
          <w:i w:val="1"/>
          <w:iCs w:val="1"/>
          <w:color w:val="auto"/>
        </w:rPr>
      </w:pPr>
    </w:p>
    <w:p>
      <w:pPr>
        <w:ind w:left="40" w:right="40" w:firstLine="171"/>
        <w:spacing w:after="0" w:line="245" w:lineRule="auto"/>
        <w:tabs>
          <w:tab w:leader="none" w:pos="364" w:val="left"/>
        </w:tabs>
        <w:numPr>
          <w:ilvl w:val="1"/>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Use of Multiple and Appropriate Performance Measures </w:t>
      </w:r>
      <w:r>
        <w:rPr>
          <w:rFonts w:ascii="Arial" w:cs="Arial" w:eastAsia="Arial" w:hAnsi="Arial"/>
          <w:sz w:val="18"/>
          <w:szCs w:val="18"/>
          <w:color w:val="auto"/>
        </w:rPr>
        <w:t>— We use multiple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to avoid having compensation opportunities overly weighted toward the performance result of a single measure. In general, our incentive programs are based on a mix of financial, safety and individual performance.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MEETINGS IN 2017: </w:t>
      </w:r>
      <w:r>
        <w:rPr>
          <w:rFonts w:ascii="Arial" w:cs="Arial" w:eastAsia="Arial" w:hAnsi="Arial"/>
          <w:sz w:val="18"/>
          <w:szCs w:val="18"/>
          <w:color w:val="auto"/>
        </w:rPr>
        <w:t>6</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MEMBERS:*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Ms. Bertsch</w:t>
      </w:r>
    </w:p>
    <w:p>
      <w:pPr>
        <w:spacing w:after="0" w:line="234" w:lineRule="auto"/>
        <w:rPr>
          <w:sz w:val="20"/>
          <w:szCs w:val="20"/>
          <w:color w:val="auto"/>
        </w:rPr>
      </w:pPr>
      <w:r>
        <w:rPr>
          <w:rFonts w:ascii="Arial" w:cs="Arial" w:eastAsia="Arial" w:hAnsi="Arial"/>
          <w:sz w:val="18"/>
          <w:szCs w:val="18"/>
          <w:color w:val="auto"/>
        </w:rPr>
        <w:t>Mr. Krieg</w:t>
      </w:r>
    </w:p>
    <w:p>
      <w:pPr>
        <w:spacing w:after="0" w:line="235" w:lineRule="auto"/>
        <w:rPr>
          <w:sz w:val="20"/>
          <w:szCs w:val="20"/>
          <w:color w:val="auto"/>
        </w:rPr>
      </w:pPr>
      <w:r>
        <w:rPr>
          <w:rFonts w:ascii="Arial" w:cs="Arial" w:eastAsia="Arial" w:hAnsi="Arial"/>
          <w:sz w:val="18"/>
          <w:szCs w:val="18"/>
          <w:color w:val="auto"/>
        </w:rPr>
        <w:t>Mr. LeMasters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Ms. Niland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CHAIR:**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Ms. Niland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INDEPENDENT MEMBERS: </w:t>
      </w:r>
      <w:r>
        <w:rPr>
          <w:rFonts w:ascii="Arial" w:cs="Arial" w:eastAsia="Arial" w:hAnsi="Arial"/>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60" w:hanging="118"/>
        <w:spacing w:after="0" w:line="245" w:lineRule="auto"/>
        <w:tabs>
          <w:tab w:leader="none" w:pos="134" w:val="left"/>
        </w:tabs>
        <w:numPr>
          <w:ilvl w:val="0"/>
          <w:numId w:val="48"/>
        </w:numPr>
        <w:rPr>
          <w:rFonts w:ascii="Arial" w:cs="Arial" w:eastAsia="Arial" w:hAnsi="Arial"/>
          <w:sz w:val="14"/>
          <w:szCs w:val="14"/>
          <w:color w:val="auto"/>
        </w:rPr>
      </w:pPr>
      <w:r>
        <w:rPr>
          <w:rFonts w:ascii="Arial" w:cs="Arial" w:eastAsia="Arial" w:hAnsi="Arial"/>
          <w:sz w:val="14"/>
          <w:szCs w:val="14"/>
          <w:color w:val="auto"/>
        </w:rPr>
        <w:t>Messrs. Pryor and Nardelli served as Committee members for calendar year 2017. Effective March 2, 2018, Messrs. Pryor and Nardelli transitioned off the Committee, and Ms. Bertsch and Mr. Krieg were appointed to the Committee.</w:t>
      </w:r>
    </w:p>
    <w:p>
      <w:pPr>
        <w:spacing w:after="0" w:line="151" w:lineRule="exact"/>
        <w:rPr>
          <w:sz w:val="20"/>
          <w:szCs w:val="20"/>
          <w:color w:val="auto"/>
        </w:rPr>
      </w:pPr>
    </w:p>
    <w:p>
      <w:pPr>
        <w:ind w:left="160" w:right="120" w:hanging="158"/>
        <w:spacing w:after="0" w:line="270" w:lineRule="auto"/>
        <w:tabs>
          <w:tab w:leader="none" w:pos="15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Mr. Pryor served as Chair of the Committee for the calendar year 2017. Effective March 2, 2018, Ms. Niland was appointed Chair of the Committee.</w:t>
      </w:r>
    </w:p>
    <w:p>
      <w:pPr>
        <w:spacing w:after="0" w:line="200" w:lineRule="exact"/>
        <w:rPr>
          <w:sz w:val="20"/>
          <w:szCs w:val="20"/>
          <w:color w:val="auto"/>
        </w:rPr>
      </w:pPr>
    </w:p>
    <w:p>
      <w:pPr>
        <w:sectPr>
          <w:pgSz w:w="11900" w:h="16838" w:orient="portrait"/>
          <w:cols w:equalWidth="0" w:num="2">
            <w:col w:w="7480" w:space="440"/>
            <w:col w:w="3480"/>
          </w:cols>
          <w:pgMar w:left="240" w:top="125"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b w:val="1"/>
          <w:bCs w:val="1"/>
          <w:color w:val="2C2C2C"/>
        </w:rPr>
        <w:t xml:space="preserve">14 </w:t>
      </w:r>
      <w:r>
        <w:rPr>
          <w:sz w:val="1"/>
          <w:szCs w:val="1"/>
          <w:color w:val="auto"/>
        </w:rPr>
        <w:drawing>
          <wp:inline distT="0" distB="0" distL="0" distR="0">
            <wp:extent cx="445770" cy="18034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45770" cy="180340"/>
                    </a:xfrm>
                    <a:prstGeom prst="rect">
                      <a:avLst/>
                    </a:prstGeom>
                    <a:noFill/>
                    <a:ln>
                      <a:noFill/>
                    </a:ln>
                  </pic:spPr>
                </pic:pic>
              </a:graphicData>
            </a:graphic>
          </wp:inline>
        </w:drawing>
      </w:r>
      <w:r>
        <w:rPr>
          <w:rFonts w:ascii="Arial" w:cs="Arial" w:eastAsia="Arial" w:hAnsi="Arial"/>
          <w:sz w:val="17"/>
          <w:szCs w:val="17"/>
          <w:color w:val="auto"/>
        </w:rPr>
        <w:t xml:space="preserve"> 2018 PROXY STATEMENT</w:t>
      </w:r>
    </w:p>
    <w:p>
      <w:pPr>
        <w:sectPr>
          <w:pgSz w:w="11900" w:h="16838" w:orient="portrait"/>
          <w:cols w:equalWidth="0" w:num="1">
            <w:col w:w="11400"/>
          </w:cols>
          <w:pgMar w:left="240" w:top="125" w:right="259" w:bottom="1440" w:gutter="0" w:footer="0" w:header="0"/>
          <w:type w:val="continuous"/>
        </w:sectPr>
      </w:pPr>
    </w:p>
    <w:bookmarkStart w:id="23" w:name="page24"/>
    <w:bookmarkEnd w:id="23"/>
    <w:p>
      <w:pPr>
        <w:ind w:left="689"/>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749"/>
        <w:spacing w:after="0"/>
        <w:rPr>
          <w:sz w:val="20"/>
          <w:szCs w:val="20"/>
          <w:color w:val="auto"/>
        </w:rPr>
      </w:pPr>
      <w:r>
        <w:rPr>
          <w:rFonts w:ascii="Arial" w:cs="Arial" w:eastAsia="Arial" w:hAnsi="Arial"/>
          <w:sz w:val="14"/>
          <w:szCs w:val="14"/>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14605</wp:posOffset>
            </wp:positionV>
            <wp:extent cx="7254875" cy="61747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4875" cy="617474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9"/>
        <w:spacing w:after="0"/>
        <w:rPr>
          <w:sz w:val="20"/>
          <w:szCs w:val="20"/>
          <w:color w:val="auto"/>
        </w:rPr>
      </w:pPr>
      <w:r>
        <w:rPr>
          <w:rFonts w:ascii="Arial" w:cs="Arial" w:eastAsia="Arial" w:hAnsi="Arial"/>
          <w:sz w:val="22"/>
          <w:szCs w:val="22"/>
          <w:b w:val="1"/>
          <w:bCs w:val="1"/>
          <w:color w:val="FFFFFF"/>
        </w:rPr>
        <w:t xml:space="preserve">Compensation Committee </w:t>
      </w:r>
      <w:r>
        <w:rPr>
          <w:rFonts w:ascii="Arial" w:cs="Arial" w:eastAsia="Arial" w:hAnsi="Arial"/>
          <w:sz w:val="18"/>
          <w:szCs w:val="18"/>
          <w:i w:val="1"/>
          <w:iCs w:val="1"/>
          <w:color w:val="FFFFFF"/>
        </w:rPr>
        <w:t>(continued)</w:t>
      </w:r>
    </w:p>
    <w:p>
      <w:pPr>
        <w:spacing w:after="0" w:line="166" w:lineRule="exact"/>
        <w:rPr>
          <w:sz w:val="20"/>
          <w:szCs w:val="20"/>
          <w:color w:val="auto"/>
        </w:rPr>
      </w:pPr>
    </w:p>
    <w:p>
      <w:pPr>
        <w:ind w:left="169" w:right="4080" w:hanging="169"/>
        <w:spacing w:after="0" w:line="251" w:lineRule="auto"/>
        <w:tabs>
          <w:tab w:leader="none" w:pos="17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Stock Ownership Guidelines </w:t>
      </w:r>
      <w:r>
        <w:rPr>
          <w:rFonts w:ascii="Arial" w:cs="Arial" w:eastAsia="Arial" w:hAnsi="Arial"/>
          <w:sz w:val="18"/>
          <w:szCs w:val="18"/>
          <w:color w:val="auto"/>
        </w:rPr>
        <w:t>— Our executive officers and directors are subject to stock</w:t>
      </w:r>
      <w:r>
        <w:rPr>
          <w:rFonts w:ascii="Arial" w:cs="Arial" w:eastAsia="Arial" w:hAnsi="Arial"/>
          <w:sz w:val="18"/>
          <w:szCs w:val="18"/>
          <w:i w:val="1"/>
          <w:iCs w:val="1"/>
          <w:color w:val="auto"/>
        </w:rPr>
        <w:t xml:space="preserve"> </w:t>
      </w:r>
      <w:r>
        <w:rPr>
          <w:rFonts w:ascii="Arial" w:cs="Arial" w:eastAsia="Arial" w:hAnsi="Arial"/>
          <w:sz w:val="18"/>
          <w:szCs w:val="18"/>
          <w:color w:val="auto"/>
        </w:rPr>
        <w:t>ownership guidelines that help to promote longer-term perspectives and align the interests of our executive officers and directors with those of our stockholders.</w:t>
      </w:r>
    </w:p>
    <w:p>
      <w:pPr>
        <w:spacing w:after="0" w:line="71" w:lineRule="exact"/>
        <w:rPr>
          <w:sz w:val="20"/>
          <w:szCs w:val="20"/>
          <w:color w:val="auto"/>
        </w:rPr>
      </w:pPr>
    </w:p>
    <w:p>
      <w:pPr>
        <w:ind w:left="9" w:right="3900"/>
        <w:spacing w:after="0" w:line="236" w:lineRule="auto"/>
        <w:rPr>
          <w:sz w:val="20"/>
          <w:szCs w:val="20"/>
          <w:color w:val="auto"/>
        </w:rPr>
      </w:pPr>
      <w:r>
        <w:rPr>
          <w:rFonts w:ascii="Arial" w:cs="Arial" w:eastAsia="Arial" w:hAnsi="Arial"/>
          <w:sz w:val="18"/>
          <w:szCs w:val="18"/>
          <w:color w:val="auto"/>
        </w:rPr>
        <w:t>The Compensation Committee administers our Executive Incentive Compensation Plan (the “EICP”), under which it awards annual cash-based incentive compensation to our officers based on the attainment of annual performance goals. Our Compensation Committee approves, among other things, the target EICP compensation, as well as the financial and safety goals for each officer. The Committee also approves individual goals for EICP compensation for our Chief Executive Officer and Executive Chairman. Our Executive Chairman and Chief Executive Officer establish EICP individual goals for the Presidents of principal operating groups and other executive officers. The Compensation Committee also administers our 2010 Long-Term Incentive Plan (as amended, the “2010 LTIP”), and may delegate some of its duties (other than awards to directors under the 2010 LTIP) to our Chief Executive Officer or other senior officers.</w:t>
      </w:r>
    </w:p>
    <w:p>
      <w:pPr>
        <w:spacing w:after="0" w:line="84" w:lineRule="exact"/>
        <w:rPr>
          <w:sz w:val="20"/>
          <w:szCs w:val="20"/>
          <w:color w:val="auto"/>
        </w:rPr>
      </w:pPr>
    </w:p>
    <w:p>
      <w:pPr>
        <w:ind w:left="9" w:right="4160"/>
        <w:spacing w:after="0" w:line="239" w:lineRule="auto"/>
        <w:rPr>
          <w:sz w:val="20"/>
          <w:szCs w:val="20"/>
          <w:color w:val="auto"/>
        </w:rPr>
      </w:pPr>
      <w:r>
        <w:rPr>
          <w:rFonts w:ascii="Arial" w:cs="Arial" w:eastAsia="Arial" w:hAnsi="Arial"/>
          <w:sz w:val="18"/>
          <w:szCs w:val="18"/>
          <w:color w:val="auto"/>
        </w:rPr>
        <w:t>The Board has determined that each member of the Compensation Committee is (1) independent, as independence for compensation committee members is defined by the NYSE, (2) a "non-employee director" for purposes of Section 16b-3 of the Exchange Act, and (3) an "outside director" for purposes of 162(m) of the Internal Revenue Code.</w:t>
      </w:r>
    </w:p>
    <w:p>
      <w:pPr>
        <w:spacing w:after="0" w:line="80" w:lineRule="exact"/>
        <w:rPr>
          <w:sz w:val="20"/>
          <w:szCs w:val="20"/>
          <w:color w:val="auto"/>
        </w:rPr>
      </w:pPr>
    </w:p>
    <w:p>
      <w:pPr>
        <w:ind w:left="9" w:right="4020"/>
        <w:spacing w:after="0" w:line="238" w:lineRule="auto"/>
        <w:rPr>
          <w:sz w:val="20"/>
          <w:szCs w:val="20"/>
          <w:color w:val="auto"/>
        </w:rPr>
      </w:pPr>
      <w:r>
        <w:rPr>
          <w:rFonts w:ascii="Arial" w:cs="Arial" w:eastAsia="Arial" w:hAnsi="Arial"/>
          <w:sz w:val="18"/>
          <w:szCs w:val="18"/>
          <w:color w:val="auto"/>
        </w:rPr>
        <w:t>The Compensation Committee has the authority to retain, terminate, compensate and oversee any compensation consultant or other advisors to assist the committee in the discharge of its responsibilities. Since November 2010, the Compensation Committee has engaged Korn Ferry Hay Group (“Hay Group”) as its outside compensation consultant. For 2017, Hay Group assisted the Compensation Committee with:</w:t>
      </w:r>
    </w:p>
    <w:p>
      <w:pPr>
        <w:spacing w:after="0" w:line="81" w:lineRule="exact"/>
        <w:rPr>
          <w:sz w:val="20"/>
          <w:szCs w:val="20"/>
          <w:color w:val="auto"/>
        </w:rPr>
      </w:pPr>
    </w:p>
    <w:p>
      <w:pPr>
        <w:ind w:left="169" w:right="4760" w:hanging="169"/>
        <w:spacing w:after="0" w:line="246" w:lineRule="auto"/>
        <w:tabs>
          <w:tab w:leader="none" w:pos="17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advice and analysis on the design, structure and level of executive and director compensation;</w:t>
      </w:r>
    </w:p>
    <w:p>
      <w:pPr>
        <w:spacing w:after="0" w:line="75" w:lineRule="exact"/>
        <w:rPr>
          <w:rFonts w:ascii="Arial" w:cs="Arial" w:eastAsia="Arial" w:hAnsi="Arial"/>
          <w:sz w:val="18"/>
          <w:szCs w:val="18"/>
          <w:color w:val="auto"/>
        </w:rPr>
      </w:pPr>
    </w:p>
    <w:p>
      <w:pPr>
        <w:ind w:left="169" w:hanging="169"/>
        <w:spacing w:after="0"/>
        <w:tabs>
          <w:tab w:leader="none" w:pos="169"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review of market survey and proxy compensation data for benchmarking;</w:t>
      </w:r>
    </w:p>
    <w:p>
      <w:pPr>
        <w:spacing w:after="0" w:line="90" w:lineRule="exact"/>
        <w:rPr>
          <w:rFonts w:ascii="Arial" w:cs="Arial" w:eastAsia="Arial" w:hAnsi="Arial"/>
          <w:sz w:val="18"/>
          <w:szCs w:val="18"/>
          <w:color w:val="auto"/>
        </w:rPr>
      </w:pPr>
    </w:p>
    <w:p>
      <w:pPr>
        <w:ind w:left="169" w:hanging="169"/>
        <w:spacing w:after="0"/>
        <w:tabs>
          <w:tab w:leader="none" w:pos="169"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advice on external market factors and evolving compensation trends; and</w:t>
      </w:r>
    </w:p>
    <w:p>
      <w:pPr>
        <w:spacing w:after="0" w:line="90" w:lineRule="exact"/>
        <w:rPr>
          <w:rFonts w:ascii="Arial" w:cs="Arial" w:eastAsia="Arial" w:hAnsi="Arial"/>
          <w:sz w:val="18"/>
          <w:szCs w:val="18"/>
          <w:color w:val="auto"/>
        </w:rPr>
      </w:pPr>
    </w:p>
    <w:p>
      <w:pPr>
        <w:ind w:left="169" w:hanging="169"/>
        <w:spacing w:after="0"/>
        <w:tabs>
          <w:tab w:leader="none" w:pos="169"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assistance with regulatory compliance and changes regarding compensation matters.</w:t>
      </w:r>
    </w:p>
    <w:p>
      <w:pPr>
        <w:spacing w:after="0" w:line="90" w:lineRule="exact"/>
        <w:rPr>
          <w:sz w:val="20"/>
          <w:szCs w:val="20"/>
          <w:color w:val="auto"/>
        </w:rPr>
      </w:pPr>
    </w:p>
    <w:p>
      <w:pPr>
        <w:ind w:left="9" w:right="4060"/>
        <w:spacing w:after="0" w:line="239" w:lineRule="auto"/>
        <w:rPr>
          <w:sz w:val="20"/>
          <w:szCs w:val="20"/>
          <w:color w:val="auto"/>
        </w:rPr>
      </w:pPr>
      <w:r>
        <w:rPr>
          <w:rFonts w:ascii="Arial" w:cs="Arial" w:eastAsia="Arial" w:hAnsi="Arial"/>
          <w:sz w:val="18"/>
          <w:szCs w:val="18"/>
          <w:color w:val="auto"/>
        </w:rPr>
        <w:t>Hay Group attends the Compensation Committee meetings, including executive sessions. Although Hay Group works with our management on various matters for which the Compensation Committee is responsible, our management does not direct or oversee the retention or activities of Hay Group.</w:t>
      </w:r>
    </w:p>
    <w:p>
      <w:pPr>
        <w:spacing w:after="0" w:line="175" w:lineRule="exact"/>
        <w:rPr>
          <w:sz w:val="20"/>
          <w:szCs w:val="20"/>
          <w:color w:val="auto"/>
        </w:rPr>
      </w:pPr>
    </w:p>
    <w:p>
      <w:pPr>
        <w:ind w:left="9" w:right="4040"/>
        <w:spacing w:after="0" w:line="237" w:lineRule="auto"/>
        <w:rPr>
          <w:sz w:val="20"/>
          <w:szCs w:val="20"/>
          <w:color w:val="auto"/>
        </w:rPr>
      </w:pPr>
      <w:r>
        <w:rPr>
          <w:rFonts w:ascii="Arial" w:cs="Arial" w:eastAsia="Arial" w:hAnsi="Arial"/>
          <w:sz w:val="18"/>
          <w:szCs w:val="18"/>
          <w:color w:val="auto"/>
        </w:rPr>
        <w:t>Following a review of the independence of Hay Group, the Compensation Committee concluded that no conflict of interest exists with respect to the work of Hay Group. The Compensation Committee retained Hay Group as its outside consultant for executive and director compensation matters for 2017. See the “Compensation Discussion and Analysis” and “Compensation of Executive Officers” sections of this proxy statement for information about our 2017 executive officer compensation, including a discussion of the role of the compensation consultant.</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sz w:val="1"/>
          <w:szCs w:val="1"/>
          <w:color w:val="auto"/>
        </w:rPr>
        <w:drawing>
          <wp:inline distT="0" distB="0" distL="0" distR="0">
            <wp:extent cx="488950" cy="20574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88950" cy="205740"/>
                    </a:xfrm>
                    <a:prstGeom prst="rect">
                      <a:avLst/>
                    </a:prstGeom>
                    <a:noFill/>
                    <a:ln>
                      <a:noFill/>
                    </a:ln>
                  </pic:spPr>
                </pic:pic>
              </a:graphicData>
            </a:graphic>
          </wp:inline>
        </w:drawing>
      </w:r>
      <w:r>
        <w:rPr>
          <w:rFonts w:ascii="Arial" w:cs="Arial" w:eastAsia="Arial" w:hAnsi="Arial"/>
          <w:sz w:val="18"/>
          <w:szCs w:val="18"/>
          <w:color w:val="auto"/>
        </w:rPr>
        <w:t xml:space="preserve"> 2018 PROXY STATEMENT </w:t>
      </w:r>
      <w:r>
        <w:rPr>
          <w:rFonts w:ascii="Arial" w:cs="Arial" w:eastAsia="Arial" w:hAnsi="Arial"/>
          <w:sz w:val="18"/>
          <w:szCs w:val="18"/>
          <w:b w:val="1"/>
          <w:bCs w:val="1"/>
          <w:color w:val="2C2C2C"/>
        </w:rPr>
        <w:t>15</w:t>
      </w:r>
    </w:p>
    <w:p>
      <w:pPr>
        <w:sectPr>
          <w:pgSz w:w="11900" w:h="16838" w:orient="portrait"/>
          <w:cols w:equalWidth="0" w:num="1">
            <w:col w:w="11209"/>
          </w:cols>
          <w:pgMar w:left="451" w:top="125" w:right="239" w:bottom="1440" w:gutter="0" w:footer="0" w:header="0"/>
        </w:sectPr>
      </w:pPr>
    </w:p>
    <w:bookmarkStart w:id="24" w:name="page25"/>
    <w:bookmarkEnd w:id="24"/>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right"/>
        <w:ind w:right="940"/>
        <w:spacing w:after="0"/>
        <w:rPr>
          <w:sz w:val="20"/>
          <w:szCs w:val="20"/>
          <w:color w:val="auto"/>
        </w:rPr>
      </w:pPr>
      <w:r>
        <w:rPr>
          <w:rFonts w:ascii="Arial" w:cs="Arial" w:eastAsia="Arial" w:hAnsi="Arial"/>
          <w:sz w:val="14"/>
          <w:szCs w:val="14"/>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7254875" cy="1974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4875" cy="19748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FFFFFF"/>
        </w:rPr>
        <w:t xml:space="preserve">Compensation Committee </w:t>
      </w:r>
      <w:r>
        <w:rPr>
          <w:rFonts w:ascii="Arial" w:cs="Arial" w:eastAsia="Arial" w:hAnsi="Arial"/>
          <w:sz w:val="18"/>
          <w:szCs w:val="18"/>
          <w:i w:val="1"/>
          <w:iCs w:val="1"/>
          <w:color w:val="FFFFFF"/>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54875" cy="13893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4875" cy="1389380"/>
                    </a:xfrm>
                    <a:prstGeom prst="rect">
                      <a:avLst/>
                    </a:prstGeom>
                    <a:noFill/>
                  </pic:spPr>
                </pic:pic>
              </a:graphicData>
            </a:graphic>
          </wp:anchor>
        </w:drawing>
      </w:r>
    </w:p>
    <w:p>
      <w:pPr>
        <w:spacing w:after="0" w:line="3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12" w:lineRule="exact"/>
        <w:rPr>
          <w:sz w:val="20"/>
          <w:szCs w:val="20"/>
          <w:color w:val="auto"/>
        </w:rPr>
      </w:pPr>
    </w:p>
    <w:p>
      <w:pPr>
        <w:ind w:left="220" w:right="3800"/>
        <w:spacing w:after="0" w:line="236" w:lineRule="auto"/>
        <w:rPr>
          <w:sz w:val="20"/>
          <w:szCs w:val="20"/>
          <w:color w:val="auto"/>
        </w:rPr>
      </w:pPr>
      <w:r>
        <w:rPr>
          <w:rFonts w:ascii="Arial" w:cs="Arial" w:eastAsia="Arial" w:hAnsi="Arial"/>
          <w:sz w:val="18"/>
          <w:szCs w:val="18"/>
          <w:color w:val="auto"/>
        </w:rPr>
        <w:t>Except as noted below, no director who served as a member of the Compensation Committee during the year ended December 31, 2017 (Ms. Niland and Messrs. Pryor, Nardelli and LeMasters) (1) was during such year, or had previously been, an officer or employee of BWXT or any of our subsidiaries, except for Mr. Pryor, who retired from our company in 1995, or (2) had any material interest in a transaction of BWXT or a business relationship with, or any indebtedness to, BWXT. None of our executive officers have served as members of a compensation committee (or if no committee performs that function, the board of directors) of any other entity that has an executive officer serving as a member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254875" cy="1974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4875" cy="197485"/>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p>
      <w:pPr>
        <w:spacing w:after="0" w:line="392"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FFFFFF"/>
        </w:rPr>
        <w:t>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54875" cy="42792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4875" cy="4279265"/>
                    </a:xfrm>
                    <a:prstGeom prst="rect">
                      <a:avLst/>
                    </a:prstGeom>
                    <a:noFill/>
                  </pic:spPr>
                </pic:pic>
              </a:graphicData>
            </a:graphic>
          </wp:anchor>
        </w:drawing>
      </w:r>
    </w:p>
    <w:p>
      <w:pPr>
        <w:spacing w:after="0" w:line="258" w:lineRule="exact"/>
        <w:rPr>
          <w:sz w:val="20"/>
          <w:szCs w:val="20"/>
          <w:color w:val="auto"/>
        </w:rPr>
      </w:pPr>
    </w:p>
    <w:p>
      <w:pPr>
        <w:ind w:left="220" w:right="200"/>
        <w:spacing w:after="0" w:line="248" w:lineRule="auto"/>
        <w:rPr>
          <w:sz w:val="20"/>
          <w:szCs w:val="20"/>
          <w:color w:val="auto"/>
        </w:rPr>
      </w:pPr>
      <w:r>
        <w:rPr>
          <w:rFonts w:ascii="Arial" w:cs="Arial" w:eastAsia="Arial" w:hAnsi="Arial"/>
          <w:sz w:val="17"/>
          <w:szCs w:val="17"/>
          <w:color w:val="auto"/>
        </w:rPr>
        <w:t>This committee, in addition to other matters, has overall responsibility to (1) establish and assess director qualifications; (2) recommend nominees for election to our Board; and</w:t>
      </w:r>
    </w:p>
    <w:p>
      <w:pPr>
        <w:spacing w:after="0" w:line="1" w:lineRule="exact"/>
        <w:rPr>
          <w:sz w:val="20"/>
          <w:szCs w:val="20"/>
          <w:color w:val="auto"/>
        </w:rPr>
      </w:pPr>
    </w:p>
    <w:p>
      <w:pPr>
        <w:ind w:left="220" w:right="100" w:hanging="9"/>
        <w:spacing w:after="0" w:line="237" w:lineRule="auto"/>
        <w:tabs>
          <w:tab w:leader="none" w:pos="49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oversee the annual evaluation of our Board and management, including the Executive Chairman and Chief Executive Officer, in conjunction with our Compensation Committee. This committee will consider individuals recommended by stockholders for nomination as directors in accordance with the procedures described under “Stockholders’ Proposals.” This committee also assists our Board with management succession planning and director and officer insurance coverage.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DIRECTOR NOMINATION PROCESS</w:t>
      </w:r>
    </w:p>
    <w:p>
      <w:pPr>
        <w:spacing w:after="0" w:line="112" w:lineRule="exact"/>
        <w:rPr>
          <w:sz w:val="20"/>
          <w:szCs w:val="20"/>
          <w:color w:val="auto"/>
        </w:rPr>
      </w:pPr>
    </w:p>
    <w:p>
      <w:pPr>
        <w:ind w:left="220" w:right="480"/>
        <w:spacing w:after="0" w:line="234" w:lineRule="auto"/>
        <w:rPr>
          <w:sz w:val="20"/>
          <w:szCs w:val="20"/>
          <w:color w:val="auto"/>
        </w:rPr>
      </w:pPr>
      <w:r>
        <w:rPr>
          <w:rFonts w:ascii="Arial" w:cs="Arial" w:eastAsia="Arial" w:hAnsi="Arial"/>
          <w:sz w:val="18"/>
          <w:szCs w:val="18"/>
          <w:color w:val="auto"/>
        </w:rPr>
        <w:t>Our Governance Committee is responsible for assessing the qualifications, skills and characteristics of candidates for election to the Board. In making this assessment, the Governance Committee generally considers a number of factors, including each candidate’s:</w:t>
      </w:r>
    </w:p>
    <w:p>
      <w:pPr>
        <w:spacing w:after="0" w:line="3" w:lineRule="exact"/>
        <w:rPr>
          <w:sz w:val="20"/>
          <w:szCs w:val="20"/>
          <w:color w:val="auto"/>
        </w:rPr>
      </w:pPr>
    </w:p>
    <w:p>
      <w:pPr>
        <w:ind w:left="40" w:firstLine="171"/>
        <w:spacing w:after="0" w:line="234" w:lineRule="auto"/>
        <w:tabs>
          <w:tab w:leader="none" w:pos="364"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professional and personal experiences and expertise in relation to (1) our businesses and industries and (2) the experiences and expertise of other Board members;</w:t>
      </w:r>
    </w:p>
    <w:p>
      <w:pPr>
        <w:spacing w:after="0" w:line="1" w:lineRule="exact"/>
        <w:rPr>
          <w:rFonts w:ascii="Arial" w:cs="Arial" w:eastAsia="Arial" w:hAnsi="Arial"/>
          <w:sz w:val="18"/>
          <w:szCs w:val="18"/>
          <w:color w:val="auto"/>
        </w:rPr>
      </w:pPr>
    </w:p>
    <w:p>
      <w:pPr>
        <w:ind w:left="380" w:hanging="169"/>
        <w:spacing w:after="0"/>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integrity and ethics in his/her personal and professional life;</w:t>
      </w:r>
    </w:p>
    <w:p>
      <w:pPr>
        <w:spacing w:after="0" w:line="103" w:lineRule="exact"/>
        <w:rPr>
          <w:rFonts w:ascii="Arial" w:cs="Arial" w:eastAsia="Arial" w:hAnsi="Arial"/>
          <w:sz w:val="18"/>
          <w:szCs w:val="18"/>
          <w:color w:val="auto"/>
        </w:rPr>
      </w:pPr>
    </w:p>
    <w:p>
      <w:pPr>
        <w:ind w:left="380" w:hanging="169"/>
        <w:spacing w:after="0"/>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professional accomplishments in his/her field;</w:t>
      </w:r>
    </w:p>
    <w:p>
      <w:pPr>
        <w:spacing w:after="0" w:line="103" w:lineRule="exact"/>
        <w:rPr>
          <w:rFonts w:ascii="Arial" w:cs="Arial" w:eastAsia="Arial" w:hAnsi="Arial"/>
          <w:sz w:val="18"/>
          <w:szCs w:val="18"/>
          <w:color w:val="auto"/>
        </w:rPr>
      </w:pPr>
    </w:p>
    <w:p>
      <w:pPr>
        <w:ind w:left="380" w:right="380" w:hanging="169"/>
        <w:spacing w:after="0" w:line="246" w:lineRule="auto"/>
        <w:tabs>
          <w:tab w:leader="none" w:pos="381"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personal, financial or professional interests in any competitor, customer or supplier of ours;</w:t>
      </w:r>
    </w:p>
    <w:p>
      <w:pPr>
        <w:spacing w:after="0" w:line="88" w:lineRule="exact"/>
        <w:rPr>
          <w:rFonts w:ascii="Arial" w:cs="Arial" w:eastAsia="Arial" w:hAnsi="Arial"/>
          <w:sz w:val="18"/>
          <w:szCs w:val="18"/>
          <w:color w:val="auto"/>
        </w:rPr>
      </w:pPr>
    </w:p>
    <w:p>
      <w:pPr>
        <w:ind w:left="380" w:right="40" w:hanging="169"/>
        <w:spacing w:after="0" w:line="238" w:lineRule="auto"/>
        <w:tabs>
          <w:tab w:leader="none" w:pos="381"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preparedness to participate fully in Board activities, including active membership on at least one Board committee and attendance at, and active participation in, meetings of the Board and the committee(s) of which he or she is a member, and any other personal or professional commitments that would, in the Governance Committee’s sole judgment, interfere with or limit his or her ability to do so;</w:t>
      </w:r>
    </w:p>
    <w:p>
      <w:pPr>
        <w:spacing w:after="0" w:line="94" w:lineRule="exact"/>
        <w:rPr>
          <w:rFonts w:ascii="Arial" w:cs="Arial" w:eastAsia="Arial" w:hAnsi="Arial"/>
          <w:sz w:val="18"/>
          <w:szCs w:val="18"/>
          <w:color w:val="auto"/>
        </w:rPr>
      </w:pPr>
    </w:p>
    <w:p>
      <w:pPr>
        <w:ind w:left="380" w:right="460" w:hanging="169"/>
        <w:spacing w:after="0" w:line="246" w:lineRule="auto"/>
        <w:tabs>
          <w:tab w:leader="none" w:pos="381" w:val="left"/>
        </w:tabs>
        <w:numPr>
          <w:ilvl w:val="0"/>
          <w:numId w:val="53"/>
        </w:numPr>
        <w:rPr>
          <w:rFonts w:ascii="Arial" w:cs="Arial" w:eastAsia="Arial" w:hAnsi="Arial"/>
          <w:sz w:val="18"/>
          <w:szCs w:val="18"/>
          <w:color w:val="auto"/>
        </w:rPr>
      </w:pPr>
      <w:r>
        <w:rPr>
          <w:rFonts w:ascii="Arial" w:cs="Arial" w:eastAsia="Arial" w:hAnsi="Arial"/>
          <w:sz w:val="18"/>
          <w:szCs w:val="18"/>
          <w:color w:val="auto"/>
        </w:rPr>
        <w:t>willingness to apply for and ability to obtain and retain an appropriate Department of Defense or Department of Energy security clearance; and</w:t>
      </w:r>
    </w:p>
    <w:p>
      <w:pPr>
        <w:spacing w:after="0" w:line="88" w:lineRule="exact"/>
        <w:rPr>
          <w:rFonts w:ascii="Arial" w:cs="Arial" w:eastAsia="Arial" w:hAnsi="Arial"/>
          <w:sz w:val="18"/>
          <w:szCs w:val="18"/>
          <w:color w:val="auto"/>
        </w:rPr>
      </w:pPr>
    </w:p>
    <w:p>
      <w:pPr>
        <w:ind w:left="380" w:hanging="169"/>
        <w:spacing w:after="0"/>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ability to contribute positively to the Board and any of its committees.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 xml:space="preserve">MEETINGS IN 2017: </w:t>
      </w:r>
      <w:r>
        <w:rPr>
          <w:rFonts w:ascii="Arial" w:cs="Arial" w:eastAsia="Arial" w:hAnsi="Arial"/>
          <w:sz w:val="18"/>
          <w:szCs w:val="18"/>
          <w:color w:val="auto"/>
        </w:rPr>
        <w:t>5</w:t>
      </w:r>
    </w:p>
    <w:p>
      <w:pPr>
        <w:spacing w:after="0" w:line="293"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COMMITTEE MEMBERS:*</w:t>
      </w:r>
    </w:p>
    <w:p>
      <w:pPr>
        <w:spacing w:after="0" w:line="13" w:lineRule="exact"/>
        <w:rPr>
          <w:sz w:val="20"/>
          <w:szCs w:val="20"/>
          <w:color w:val="auto"/>
        </w:rPr>
      </w:pPr>
    </w:p>
    <w:p>
      <w:pPr>
        <w:ind w:left="8"/>
        <w:spacing w:after="0"/>
        <w:rPr>
          <w:sz w:val="20"/>
          <w:szCs w:val="20"/>
          <w:color w:val="auto"/>
        </w:rPr>
      </w:pPr>
      <w:r>
        <w:rPr>
          <w:rFonts w:ascii="Arial" w:cs="Arial" w:eastAsia="Arial" w:hAnsi="Arial"/>
          <w:sz w:val="18"/>
          <w:szCs w:val="18"/>
          <w:color w:val="auto"/>
        </w:rPr>
        <w:t>Mr. Goldman</w:t>
      </w:r>
    </w:p>
    <w:p>
      <w:pPr>
        <w:ind w:left="8"/>
        <w:spacing w:after="0" w:line="234" w:lineRule="auto"/>
        <w:rPr>
          <w:sz w:val="20"/>
          <w:szCs w:val="20"/>
          <w:color w:val="auto"/>
        </w:rPr>
      </w:pPr>
      <w:r>
        <w:rPr>
          <w:rFonts w:ascii="Arial" w:cs="Arial" w:eastAsia="Arial" w:hAnsi="Arial"/>
          <w:sz w:val="18"/>
          <w:szCs w:val="18"/>
          <w:color w:val="auto"/>
        </w:rPr>
        <w:t>Mr. Jaska</w:t>
      </w:r>
    </w:p>
    <w:p>
      <w:pPr>
        <w:ind w:left="8"/>
        <w:spacing w:after="0" w:line="235" w:lineRule="auto"/>
        <w:rPr>
          <w:sz w:val="20"/>
          <w:szCs w:val="20"/>
          <w:color w:val="auto"/>
        </w:rPr>
      </w:pPr>
      <w:r>
        <w:rPr>
          <w:rFonts w:ascii="Arial" w:cs="Arial" w:eastAsia="Arial" w:hAnsi="Arial"/>
          <w:sz w:val="18"/>
          <w:szCs w:val="18"/>
          <w:color w:val="auto"/>
        </w:rPr>
        <w:t>Mr. Krieg</w:t>
      </w:r>
    </w:p>
    <w:p>
      <w:pPr>
        <w:spacing w:after="0" w:line="1" w:lineRule="exact"/>
        <w:rPr>
          <w:sz w:val="20"/>
          <w:szCs w:val="20"/>
          <w:color w:val="auto"/>
        </w:rPr>
      </w:pPr>
    </w:p>
    <w:p>
      <w:pPr>
        <w:ind w:left="8"/>
        <w:spacing w:after="0"/>
        <w:rPr>
          <w:sz w:val="20"/>
          <w:szCs w:val="20"/>
          <w:color w:val="auto"/>
        </w:rPr>
      </w:pPr>
      <w:r>
        <w:rPr>
          <w:rFonts w:ascii="Arial" w:cs="Arial" w:eastAsia="Arial" w:hAnsi="Arial"/>
          <w:sz w:val="18"/>
          <w:szCs w:val="18"/>
          <w:color w:val="auto"/>
        </w:rPr>
        <w:t>Admiral Mies</w:t>
      </w:r>
    </w:p>
    <w:p>
      <w:pPr>
        <w:spacing w:after="0" w:line="176"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COMMITTEE CHAIR:**</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8"/>
          <w:szCs w:val="18"/>
          <w:color w:val="auto"/>
        </w:rPr>
        <w:t>Mr. Jaska</w:t>
      </w:r>
    </w:p>
    <w:p>
      <w:pPr>
        <w:spacing w:after="0" w:line="176" w:lineRule="exact"/>
        <w:rPr>
          <w:sz w:val="20"/>
          <w:szCs w:val="20"/>
          <w:color w:val="auto"/>
        </w:rPr>
      </w:pPr>
    </w:p>
    <w:p>
      <w:pPr>
        <w:jc w:val="center"/>
        <w:ind w:right="672"/>
        <w:spacing w:after="0"/>
        <w:rPr>
          <w:sz w:val="20"/>
          <w:szCs w:val="20"/>
          <w:color w:val="auto"/>
        </w:rPr>
      </w:pPr>
      <w:r>
        <w:rPr>
          <w:rFonts w:ascii="Arial" w:cs="Arial" w:eastAsia="Arial" w:hAnsi="Arial"/>
          <w:sz w:val="17"/>
          <w:szCs w:val="17"/>
          <w:b w:val="1"/>
          <w:bCs w:val="1"/>
          <w:color w:val="auto"/>
        </w:rPr>
        <w:t xml:space="preserve">INDEPENDENT MEMBERS: </w:t>
      </w:r>
      <w:r>
        <w:rPr>
          <w:rFonts w:ascii="Arial" w:cs="Arial" w:eastAsia="Arial" w:hAnsi="Arial"/>
          <w:sz w:val="17"/>
          <w:szCs w:val="17"/>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68" w:hanging="168"/>
        <w:spacing w:after="0" w:line="250" w:lineRule="auto"/>
        <w:tabs>
          <w:tab w:leader="none" w:pos="102" w:val="left"/>
        </w:tabs>
        <w:numPr>
          <w:ilvl w:val="0"/>
          <w:numId w:val="54"/>
        </w:numPr>
        <w:rPr>
          <w:rFonts w:ascii="Arial" w:cs="Arial" w:eastAsia="Arial" w:hAnsi="Arial"/>
          <w:sz w:val="14"/>
          <w:szCs w:val="14"/>
          <w:color w:val="auto"/>
        </w:rPr>
      </w:pPr>
      <w:r>
        <w:rPr>
          <w:rFonts w:ascii="Arial" w:cs="Arial" w:eastAsia="Arial" w:hAnsi="Arial"/>
          <w:sz w:val="14"/>
          <w:szCs w:val="14"/>
          <w:color w:val="auto"/>
        </w:rPr>
        <w:t>Ms. Bertsch served as a Committee member for calendar year 2017. Effective March 2, 2018, she transitioned off the Committee.</w:t>
      </w:r>
    </w:p>
    <w:p>
      <w:pPr>
        <w:spacing w:after="0" w:line="145" w:lineRule="exact"/>
        <w:rPr>
          <w:sz w:val="20"/>
          <w:szCs w:val="20"/>
          <w:color w:val="auto"/>
        </w:rPr>
      </w:pPr>
    </w:p>
    <w:p>
      <w:pPr>
        <w:ind w:left="168" w:hanging="168"/>
        <w:spacing w:after="0" w:line="247" w:lineRule="auto"/>
        <w:tabs>
          <w:tab w:leader="none" w:pos="158" w:val="left"/>
        </w:tabs>
        <w:numPr>
          <w:ilvl w:val="0"/>
          <w:numId w:val="55"/>
        </w:numPr>
        <w:rPr>
          <w:rFonts w:ascii="Arial" w:cs="Arial" w:eastAsia="Arial" w:hAnsi="Arial"/>
          <w:sz w:val="14"/>
          <w:szCs w:val="14"/>
          <w:color w:val="auto"/>
        </w:rPr>
      </w:pPr>
      <w:r>
        <w:rPr>
          <w:rFonts w:ascii="Arial" w:cs="Arial" w:eastAsia="Arial" w:hAnsi="Arial"/>
          <w:sz w:val="14"/>
          <w:szCs w:val="14"/>
          <w:color w:val="auto"/>
        </w:rPr>
        <w:t>Mr Goldman served as Chairman of the Governance Committee through December 31, 2017. Mr. Jaska was appointed Chairman effective January 1, 2018.</w:t>
      </w:r>
    </w:p>
    <w:p>
      <w:pPr>
        <w:spacing w:after="0" w:line="200" w:lineRule="exact"/>
        <w:rPr>
          <w:sz w:val="20"/>
          <w:szCs w:val="20"/>
          <w:color w:val="auto"/>
        </w:rPr>
      </w:pPr>
    </w:p>
    <w:p>
      <w:pPr>
        <w:sectPr>
          <w:pgSz w:w="11900" w:h="16838" w:orient="portrait"/>
          <w:cols w:equalWidth="0" w:num="2">
            <w:col w:w="7500" w:space="652"/>
            <w:col w:w="3148"/>
          </w:cols>
          <w:pgMar w:left="240" w:top="125" w:right="359" w:bottom="1440" w:gutter="0" w:footer="0" w:header="0"/>
          <w:type w:val="continuous"/>
        </w:sectPr>
      </w:pP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2C2C2C"/>
        </w:rPr>
        <w:t xml:space="preserve">16 </w:t>
      </w:r>
      <w:r>
        <w:rPr>
          <w:sz w:val="1"/>
          <w:szCs w:val="1"/>
          <w:color w:val="auto"/>
        </w:rPr>
        <w:drawing>
          <wp:inline distT="0" distB="0" distL="0" distR="0">
            <wp:extent cx="445770" cy="18034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45770" cy="180340"/>
                    </a:xfrm>
                    <a:prstGeom prst="rect">
                      <a:avLst/>
                    </a:prstGeom>
                    <a:noFill/>
                    <a:ln>
                      <a:noFill/>
                    </a:ln>
                  </pic:spPr>
                </pic:pic>
              </a:graphicData>
            </a:graphic>
          </wp:inline>
        </w:drawing>
      </w:r>
      <w:r>
        <w:rPr>
          <w:rFonts w:ascii="Arial" w:cs="Arial" w:eastAsia="Arial" w:hAnsi="Arial"/>
          <w:sz w:val="17"/>
          <w:szCs w:val="17"/>
          <w:color w:val="auto"/>
        </w:rPr>
        <w:t xml:space="preserve"> 2018 PROXY STATEMENT</w:t>
      </w:r>
    </w:p>
    <w:p>
      <w:pPr>
        <w:sectPr>
          <w:pgSz w:w="11900" w:h="16838" w:orient="portrait"/>
          <w:cols w:equalWidth="0" w:num="1">
            <w:col w:w="11300"/>
          </w:cols>
          <w:pgMar w:left="240" w:top="125" w:right="359" w:bottom="1440" w:gutter="0" w:footer="0" w:header="0"/>
          <w:type w:val="continuous"/>
        </w:sectPr>
      </w:pPr>
    </w:p>
    <w:bookmarkStart w:id="25" w:name="page26"/>
    <w:bookmarkEnd w:id="25"/>
    <w:p>
      <w:pPr>
        <w:ind w:left="8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880"/>
        <w:spacing w:after="0"/>
        <w:rPr>
          <w:sz w:val="20"/>
          <w:szCs w:val="20"/>
          <w:color w:val="auto"/>
        </w:rPr>
      </w:pPr>
      <w:r>
        <w:rPr>
          <w:rFonts w:ascii="Arial" w:cs="Arial" w:eastAsia="Arial" w:hAnsi="Arial"/>
          <w:sz w:val="14"/>
          <w:szCs w:val="14"/>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263525</wp:posOffset>
            </wp:positionV>
            <wp:extent cx="7254875" cy="1974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4875" cy="19748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FFFFFF"/>
        </w:rPr>
        <w:t xml:space="preserve">Governance Committee </w:t>
      </w:r>
      <w:r>
        <w:rPr>
          <w:rFonts w:ascii="Arial" w:cs="Arial" w:eastAsia="Arial" w:hAnsi="Arial"/>
          <w:sz w:val="22"/>
          <w:szCs w:val="22"/>
          <w:i w:val="1"/>
          <w:iCs w:val="1"/>
          <w:color w:val="FFFFFF"/>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31750</wp:posOffset>
            </wp:positionV>
            <wp:extent cx="7254875" cy="35591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4875" cy="3559175"/>
                    </a:xfrm>
                    <a:prstGeom prst="rect">
                      <a:avLst/>
                    </a:prstGeom>
                    <a:noFill/>
                  </pic:spPr>
                </pic:pic>
              </a:graphicData>
            </a:graphic>
          </wp:anchor>
        </w:drawing>
      </w:r>
    </w:p>
    <w:p>
      <w:pPr>
        <w:spacing w:after="0" w:line="150" w:lineRule="exact"/>
        <w:rPr>
          <w:sz w:val="20"/>
          <w:szCs w:val="20"/>
          <w:color w:val="auto"/>
        </w:rPr>
      </w:pPr>
    </w:p>
    <w:p>
      <w:pPr>
        <w:ind w:left="140" w:right="4140"/>
        <w:spacing w:after="0"/>
        <w:rPr>
          <w:sz w:val="20"/>
          <w:szCs w:val="20"/>
          <w:color w:val="auto"/>
        </w:rPr>
      </w:pPr>
      <w:r>
        <w:rPr>
          <w:rFonts w:ascii="Arial" w:cs="Arial" w:eastAsia="Arial" w:hAnsi="Arial"/>
          <w:sz w:val="18"/>
          <w:szCs w:val="18"/>
          <w:color w:val="auto"/>
        </w:rPr>
        <w:t>The Board recognizes the benefits of a diversified board and believes that any search for potential director candidates should consider diversity as to gender, ethnic background, education, viewpoint and personal and professional experiences.</w:t>
      </w:r>
    </w:p>
    <w:p>
      <w:pPr>
        <w:spacing w:after="0" w:line="81" w:lineRule="exact"/>
        <w:rPr>
          <w:sz w:val="20"/>
          <w:szCs w:val="20"/>
          <w:color w:val="auto"/>
        </w:rPr>
      </w:pPr>
    </w:p>
    <w:p>
      <w:pPr>
        <w:ind w:left="140" w:right="3960"/>
        <w:spacing w:after="0" w:line="237" w:lineRule="auto"/>
        <w:rPr>
          <w:sz w:val="20"/>
          <w:szCs w:val="20"/>
          <w:color w:val="auto"/>
        </w:rPr>
      </w:pPr>
      <w:r>
        <w:rPr>
          <w:rFonts w:ascii="Arial" w:cs="Arial" w:eastAsia="Arial" w:hAnsi="Arial"/>
          <w:sz w:val="18"/>
          <w:szCs w:val="18"/>
          <w:color w:val="auto"/>
        </w:rPr>
        <w:t>In 2015, our Board approved amendments to our Bylaws in connection with the spin-off of our former Power Generation business to provide that (1) a person shall not be nominated for election or reelection to our Board if such person will have served as a director for 10 years prior to the date of election or re-election (as measured from the date of the Bylaw amendment, July 1, 2015) and (2) any director who attains 10 years of service during his or her term shall be deemed to have resigned and retired at the first annual meeting following his or her attainment of 10 years of service as a director.</w:t>
      </w:r>
    </w:p>
    <w:p>
      <w:pPr>
        <w:spacing w:after="0" w:line="82" w:lineRule="exact"/>
        <w:rPr>
          <w:sz w:val="20"/>
          <w:szCs w:val="20"/>
          <w:color w:val="auto"/>
        </w:rPr>
      </w:pPr>
    </w:p>
    <w:p>
      <w:pPr>
        <w:ind w:left="140" w:right="4160"/>
        <w:spacing w:after="0" w:line="239" w:lineRule="auto"/>
        <w:rPr>
          <w:sz w:val="20"/>
          <w:szCs w:val="20"/>
          <w:color w:val="auto"/>
        </w:rPr>
      </w:pPr>
      <w:r>
        <w:rPr>
          <w:rFonts w:ascii="Arial" w:cs="Arial" w:eastAsia="Arial" w:hAnsi="Arial"/>
          <w:sz w:val="18"/>
          <w:szCs w:val="18"/>
          <w:color w:val="auto"/>
        </w:rPr>
        <w:t>The Governance Committee solicits ideas for possible candidates from a number of sources — including members of the Board, our Chief Executive Officer and other senior level executive officers, individuals personally known to the members of the Board and independent director candidate search firms.</w:t>
      </w:r>
    </w:p>
    <w:p>
      <w:pPr>
        <w:spacing w:after="0" w:line="80" w:lineRule="exact"/>
        <w:rPr>
          <w:sz w:val="20"/>
          <w:szCs w:val="20"/>
          <w:color w:val="auto"/>
        </w:rPr>
      </w:pPr>
    </w:p>
    <w:p>
      <w:pPr>
        <w:ind w:left="140" w:right="3960"/>
        <w:spacing w:after="0" w:line="238" w:lineRule="auto"/>
        <w:rPr>
          <w:sz w:val="20"/>
          <w:szCs w:val="20"/>
          <w:color w:val="auto"/>
        </w:rPr>
      </w:pPr>
      <w:r>
        <w:rPr>
          <w:rFonts w:ascii="Arial" w:cs="Arial" w:eastAsia="Arial" w:hAnsi="Arial"/>
          <w:sz w:val="18"/>
          <w:szCs w:val="18"/>
          <w:color w:val="auto"/>
        </w:rPr>
        <w:t>In addition, any stockholder may nominate one or more persons for election as one of our directors at an annual meeting of stockholders if the stockholder complies with the notice, information and consent provisions contained in our Bylaws. See “Stockholders’ Proposals” in this proxy statement and our Bylaws, which may be found on our website at www.bwxt.com at “Investors — Corporate Governance.”</w:t>
      </w:r>
    </w:p>
    <w:p>
      <w:pPr>
        <w:spacing w:after="0" w:line="81" w:lineRule="exact"/>
        <w:rPr>
          <w:sz w:val="20"/>
          <w:szCs w:val="20"/>
          <w:color w:val="auto"/>
        </w:rPr>
      </w:pPr>
    </w:p>
    <w:p>
      <w:pPr>
        <w:ind w:left="140" w:right="4000"/>
        <w:spacing w:after="0" w:line="253" w:lineRule="auto"/>
        <w:rPr>
          <w:sz w:val="20"/>
          <w:szCs w:val="20"/>
          <w:color w:val="auto"/>
        </w:rPr>
      </w:pPr>
      <w:r>
        <w:rPr>
          <w:rFonts w:ascii="Arial" w:cs="Arial" w:eastAsia="Arial" w:hAnsi="Arial"/>
          <w:sz w:val="17"/>
          <w:szCs w:val="17"/>
          <w:color w:val="auto"/>
        </w:rPr>
        <w:t>The Governance Committee will evaluate properly identified candidates, including nominees recommended by stockholders. The Governance Committee also takes into account the contributions of incumbent directors as Board members and the benefits to us arising from the experience of incumbent directors on the Board. Although the Governance Committee will consider candidates identified by stockholders, the Governance Committee has sole discretion whether to recommend those candidates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201930</wp:posOffset>
            </wp:positionV>
            <wp:extent cx="7220585" cy="2675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20585" cy="2675890"/>
                    </a:xfrm>
                    <a:prstGeom prst="rect">
                      <a:avLst/>
                    </a:prstGeom>
                    <a:noFill/>
                  </pic:spPr>
                </pic:pic>
              </a:graphicData>
            </a:graphic>
          </wp:anchor>
        </w:drawing>
      </w:r>
    </w:p>
    <w:p>
      <w:pPr>
        <w:sectPr>
          <w:pgSz w:w="11900" w:h="16838" w:orient="portrait"/>
          <w:cols w:equalWidth="0" w:num="1">
            <w:col w:w="11340"/>
          </w:cols>
          <w:pgMar w:left="320" w:top="125" w:right="239" w:bottom="1440" w:gutter="0" w:footer="0" w:header="0"/>
        </w:sectPr>
      </w:pPr>
    </w:p>
    <w:p>
      <w:pPr>
        <w:spacing w:after="0" w:line="326"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FFFFFF"/>
        </w:rPr>
        <w:t>Safety and Security Committee</w:t>
      </w:r>
    </w:p>
    <w:p>
      <w:pPr>
        <w:spacing w:after="0" w:line="8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Board established this Committee effective January 1, 2017. This committee has general oversight responsibility regarding the safety and security of our business operations with specific focus on safety, security, regulatory and environmental matters. In the performance of its responsibilities, the Committee reviews reports and information from management and others. In addition, the Safety and Security Committee is responsible for overseeing and assessing the risks associated with the Company's cybersecurity program. The Safety and Security Committee has the authority to engage outside consultants or other advisers to assist it in the discharge of its responsibilities.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MEETINGS IN 2017: </w:t>
      </w:r>
      <w:r>
        <w:rPr>
          <w:rFonts w:ascii="Arial" w:cs="Arial" w:eastAsia="Arial" w:hAnsi="Arial"/>
          <w:sz w:val="18"/>
          <w:szCs w:val="18"/>
          <w:color w:val="auto"/>
        </w:rPr>
        <w:t>5</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MEMBERS:*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Admiral Mies</w:t>
      </w:r>
    </w:p>
    <w:p>
      <w:pPr>
        <w:spacing w:after="0" w:line="234" w:lineRule="auto"/>
        <w:rPr>
          <w:sz w:val="20"/>
          <w:szCs w:val="20"/>
          <w:color w:val="auto"/>
        </w:rPr>
      </w:pPr>
      <w:r>
        <w:rPr>
          <w:rFonts w:ascii="Arial" w:cs="Arial" w:eastAsia="Arial" w:hAnsi="Arial"/>
          <w:sz w:val="18"/>
          <w:szCs w:val="18"/>
          <w:color w:val="auto"/>
        </w:rPr>
        <w:t>Mr. Jaska</w:t>
      </w:r>
    </w:p>
    <w:p>
      <w:pPr>
        <w:spacing w:after="0" w:line="235" w:lineRule="auto"/>
        <w:rPr>
          <w:sz w:val="20"/>
          <w:szCs w:val="20"/>
          <w:color w:val="auto"/>
        </w:rPr>
      </w:pPr>
      <w:r>
        <w:rPr>
          <w:rFonts w:ascii="Arial" w:cs="Arial" w:eastAsia="Arial" w:hAnsi="Arial"/>
          <w:sz w:val="18"/>
          <w:szCs w:val="18"/>
          <w:color w:val="auto"/>
        </w:rPr>
        <w:t>Mr. Nardelli</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Mr. Pryor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CHAIR: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Admiral Mies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INDEPENDENT MEMBERS: </w:t>
      </w:r>
      <w:r>
        <w:rPr>
          <w:rFonts w:ascii="Arial" w:cs="Arial" w:eastAsia="Arial" w:hAnsi="Arial"/>
          <w:sz w:val="18"/>
          <w:szCs w:val="18"/>
          <w:color w:val="auto"/>
        </w:rPr>
        <w:t>4</w:t>
      </w:r>
    </w:p>
    <w:p>
      <w:pPr>
        <w:spacing w:after="0" w:line="226" w:lineRule="exact"/>
        <w:rPr>
          <w:sz w:val="20"/>
          <w:szCs w:val="20"/>
          <w:color w:val="auto"/>
        </w:rPr>
      </w:pPr>
    </w:p>
    <w:p>
      <w:pPr>
        <w:ind w:left="180" w:right="240" w:hanging="171"/>
        <w:spacing w:after="0" w:line="247" w:lineRule="auto"/>
        <w:tabs>
          <w:tab w:leader="none" w:pos="114" w:val="left"/>
        </w:tabs>
        <w:numPr>
          <w:ilvl w:val="0"/>
          <w:numId w:val="56"/>
        </w:numPr>
        <w:rPr>
          <w:rFonts w:ascii="Arial" w:cs="Arial" w:eastAsia="Arial" w:hAnsi="Arial"/>
          <w:sz w:val="14"/>
          <w:szCs w:val="14"/>
          <w:color w:val="auto"/>
        </w:rPr>
      </w:pPr>
      <w:r>
        <w:rPr>
          <w:rFonts w:ascii="Arial" w:cs="Arial" w:eastAsia="Arial" w:hAnsi="Arial"/>
          <w:sz w:val="14"/>
          <w:szCs w:val="14"/>
          <w:color w:val="auto"/>
        </w:rPr>
        <w:t>Mr. Krieg served as a Committee member for calendar year 2017. Effective March 2, 2018, Mr. Krieg transitioned off the Committee, and Mr. Nardelli was appointed to the Committee.</w:t>
      </w:r>
    </w:p>
    <w:p>
      <w:pPr>
        <w:spacing w:after="0" w:line="200" w:lineRule="exact"/>
        <w:rPr>
          <w:sz w:val="20"/>
          <w:szCs w:val="20"/>
          <w:color w:val="auto"/>
        </w:rPr>
      </w:pPr>
    </w:p>
    <w:p>
      <w:pPr>
        <w:sectPr>
          <w:pgSz w:w="11900" w:h="16838" w:orient="portrait"/>
          <w:cols w:equalWidth="0" w:num="2">
            <w:col w:w="7400" w:space="420"/>
            <w:col w:w="3520"/>
          </w:cols>
          <w:pgMar w:left="320" w:top="125" w:right="239" w:bottom="1440" w:gutter="0" w:footer="0" w:header="0"/>
          <w:type w:val="continuous"/>
        </w:sectPr>
      </w:pPr>
    </w:p>
    <w:p>
      <w:pPr>
        <w:spacing w:after="0" w:line="200" w:lineRule="exact"/>
        <w:rPr>
          <w:sz w:val="20"/>
          <w:szCs w:val="20"/>
          <w:color w:val="auto"/>
        </w:rPr>
      </w:pPr>
    </w:p>
    <w:p>
      <w:pPr>
        <w:spacing w:after="0" w:line="391" w:lineRule="exact"/>
        <w:rPr>
          <w:sz w:val="20"/>
          <w:szCs w:val="20"/>
          <w:color w:val="auto"/>
        </w:rPr>
      </w:pPr>
    </w:p>
    <w:p>
      <w:pPr>
        <w:ind w:left="8080"/>
        <w:spacing w:after="0"/>
        <w:rPr>
          <w:sz w:val="20"/>
          <w:szCs w:val="20"/>
          <w:color w:val="auto"/>
        </w:rPr>
      </w:pPr>
      <w:r>
        <w:rPr>
          <w:sz w:val="1"/>
          <w:szCs w:val="1"/>
          <w:color w:val="auto"/>
        </w:rPr>
        <w:drawing>
          <wp:inline distT="0" distB="0" distL="0" distR="0">
            <wp:extent cx="488950" cy="20574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88950" cy="205740"/>
                    </a:xfrm>
                    <a:prstGeom prst="rect">
                      <a:avLst/>
                    </a:prstGeom>
                    <a:noFill/>
                    <a:ln>
                      <a:noFill/>
                    </a:ln>
                  </pic:spPr>
                </pic:pic>
              </a:graphicData>
            </a:graphic>
          </wp:inline>
        </w:drawing>
      </w:r>
      <w:r>
        <w:rPr>
          <w:rFonts w:ascii="Arial" w:cs="Arial" w:eastAsia="Arial" w:hAnsi="Arial"/>
          <w:sz w:val="17"/>
          <w:szCs w:val="17"/>
          <w:color w:val="auto"/>
        </w:rPr>
        <w:t xml:space="preserve"> 2018 PROXY STATEMENT </w:t>
      </w:r>
      <w:r>
        <w:rPr>
          <w:rFonts w:ascii="Arial" w:cs="Arial" w:eastAsia="Arial" w:hAnsi="Arial"/>
          <w:sz w:val="17"/>
          <w:szCs w:val="17"/>
          <w:b w:val="1"/>
          <w:bCs w:val="1"/>
          <w:color w:val="2C2C2C"/>
        </w:rPr>
        <w:t>17</w:t>
      </w:r>
    </w:p>
    <w:p>
      <w:pPr>
        <w:sectPr>
          <w:pgSz w:w="11900" w:h="16838" w:orient="portrait"/>
          <w:cols w:equalWidth="0" w:num="1">
            <w:col w:w="11340"/>
          </w:cols>
          <w:pgMar w:left="320" w:top="125" w:right="239" w:bottom="1440" w:gutter="0" w:footer="0" w:header="0"/>
          <w:type w:val="continuous"/>
        </w:sectPr>
      </w:pPr>
    </w:p>
    <w:bookmarkStart w:id="26" w:name="page27"/>
    <w:bookmarkEnd w:id="26"/>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8200"/>
        <w:spacing w:after="0"/>
        <w:rPr>
          <w:sz w:val="20"/>
          <w:szCs w:val="20"/>
          <w:color w:val="auto"/>
        </w:rPr>
      </w:pPr>
      <w:r>
        <w:rPr>
          <w:rFonts w:ascii="Arial" w:cs="Arial" w:eastAsia="Arial" w:hAnsi="Arial"/>
          <w:sz w:val="14"/>
          <w:szCs w:val="14"/>
          <w:color w:val="auto"/>
        </w:rPr>
        <w:t>COMPENSATION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OF DIRECTORS</w:t>
      </w:r>
    </w:p>
    <w:p>
      <w:pPr>
        <w:spacing w:after="0" w:line="2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table below summarizes the compensation earned by or paid to our non-employee directors only for services as a member of our Board for the year ending December 31, 2017. The Compensation Committee of our Board, in coordination with its independent compensation consultant, conducts an annual benchmarking analysis of our Board's non-employee director compensation utilizing the custom peer group selected as our secondary benchmark for executive compensation purposes. Following this analysis in 2017, our Board, upon the recommendation of the Compensation Committee, determined to leave the 2017 compensation for non-employee directors unchanged after giving consideration to director refreshment and recruitment factors, except for the addition of an annual retainer for the chair of the Safety and Security Committee, which was formed on January 1, 2017. See "Fees Earned or Paid in Cash" below.</w:t>
      </w:r>
    </w:p>
    <w:p>
      <w:pPr>
        <w:spacing w:after="0" w:line="153" w:lineRule="exact"/>
        <w:rPr>
          <w:sz w:val="20"/>
          <w:szCs w:val="20"/>
          <w:color w:val="auto"/>
        </w:rPr>
      </w:pPr>
    </w:p>
    <w:p>
      <w:pPr>
        <w:ind w:right="1020"/>
        <w:spacing w:after="0" w:line="262" w:lineRule="auto"/>
        <w:rPr>
          <w:sz w:val="20"/>
          <w:szCs w:val="20"/>
          <w:color w:val="auto"/>
        </w:rPr>
      </w:pPr>
      <w:r>
        <w:rPr>
          <w:rFonts w:ascii="Arial" w:cs="Arial" w:eastAsia="Arial" w:hAnsi="Arial"/>
          <w:sz w:val="18"/>
          <w:szCs w:val="18"/>
          <w:color w:val="auto"/>
        </w:rPr>
        <w:t>Directors who are also our employees do not receive any compensation for their service as directors. For information regarding the compensation of our employee directors, see “Compensation of Executive Officers” on the following pages.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TABLE FOR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40" w:type="dxa"/>
            <w:vAlign w:val="bottom"/>
            <w:shd w:val="clear" w:color="auto" w:fill="525252"/>
          </w:tcPr>
          <w:p>
            <w:pPr>
              <w:spacing w:after="0"/>
              <w:rPr>
                <w:sz w:val="15"/>
                <w:szCs w:val="15"/>
                <w:color w:val="auto"/>
              </w:rPr>
            </w:pPr>
          </w:p>
        </w:tc>
        <w:tc>
          <w:tcPr>
            <w:tcW w:w="2560" w:type="dxa"/>
            <w:vAlign w:val="bottom"/>
            <w:gridSpan w:val="2"/>
            <w:shd w:val="clear" w:color="auto" w:fill="525252"/>
          </w:tcPr>
          <w:p>
            <w:pPr>
              <w:jc w:val="right"/>
              <w:ind w:right="332"/>
              <w:spacing w:after="0"/>
              <w:rPr>
                <w:sz w:val="20"/>
                <w:szCs w:val="20"/>
                <w:color w:val="auto"/>
              </w:rPr>
            </w:pPr>
            <w:r>
              <w:rPr>
                <w:rFonts w:ascii="Arial" w:cs="Arial" w:eastAsia="Arial" w:hAnsi="Arial"/>
                <w:sz w:val="14"/>
                <w:szCs w:val="14"/>
                <w:b w:val="1"/>
                <w:bCs w:val="1"/>
                <w:color w:val="FFFFFF"/>
              </w:rPr>
              <w:t>Fees Earned or</w:t>
            </w:r>
          </w:p>
        </w:tc>
        <w:tc>
          <w:tcPr>
            <w:tcW w:w="600" w:type="dxa"/>
            <w:vAlign w:val="bottom"/>
            <w:shd w:val="clear" w:color="auto" w:fill="525252"/>
          </w:tcPr>
          <w:p>
            <w:pPr>
              <w:spacing w:after="0"/>
              <w:rPr>
                <w:sz w:val="15"/>
                <w:szCs w:val="15"/>
                <w:color w:val="auto"/>
              </w:rPr>
            </w:pPr>
          </w:p>
        </w:tc>
        <w:tc>
          <w:tcPr>
            <w:tcW w:w="1280" w:type="dxa"/>
            <w:vAlign w:val="bottom"/>
            <w:shd w:val="clear" w:color="auto" w:fill="525252"/>
          </w:tcPr>
          <w:p>
            <w:pPr>
              <w:jc w:val="right"/>
              <w:ind w:right="593"/>
              <w:spacing w:after="0"/>
              <w:rPr>
                <w:sz w:val="20"/>
                <w:szCs w:val="20"/>
                <w:color w:val="auto"/>
              </w:rPr>
            </w:pPr>
            <w:r>
              <w:rPr>
                <w:rFonts w:ascii="Arial" w:cs="Arial" w:eastAsia="Arial" w:hAnsi="Arial"/>
                <w:sz w:val="14"/>
                <w:szCs w:val="14"/>
                <w:b w:val="1"/>
                <w:bCs w:val="1"/>
                <w:color w:val="FFFFFF"/>
              </w:rPr>
              <w:t>Stock</w:t>
            </w:r>
          </w:p>
        </w:tc>
        <w:tc>
          <w:tcPr>
            <w:tcW w:w="1760" w:type="dxa"/>
            <w:vAlign w:val="bottom"/>
            <w:shd w:val="clear" w:color="auto" w:fill="525252"/>
          </w:tcPr>
          <w:p>
            <w:pPr>
              <w:jc w:val="right"/>
              <w:ind w:right="473"/>
              <w:spacing w:after="0"/>
              <w:rPr>
                <w:sz w:val="20"/>
                <w:szCs w:val="20"/>
                <w:color w:val="auto"/>
              </w:rPr>
            </w:pPr>
            <w:r>
              <w:rPr>
                <w:rFonts w:ascii="Arial" w:cs="Arial" w:eastAsia="Arial" w:hAnsi="Arial"/>
                <w:sz w:val="14"/>
                <w:szCs w:val="14"/>
                <w:b w:val="1"/>
                <w:bCs w:val="1"/>
                <w:color w:val="FFFFFF"/>
              </w:rPr>
              <w:t>All Other</w:t>
            </w:r>
          </w:p>
        </w:tc>
        <w:tc>
          <w:tcPr>
            <w:tcW w:w="580" w:type="dxa"/>
            <w:vAlign w:val="bottom"/>
            <w:shd w:val="clear" w:color="auto" w:fill="525252"/>
          </w:tcPr>
          <w:p>
            <w:pPr>
              <w:spacing w:after="0"/>
              <w:rPr>
                <w:sz w:val="15"/>
                <w:szCs w:val="15"/>
                <w:color w:val="auto"/>
              </w:rPr>
            </w:pPr>
          </w:p>
        </w:tc>
        <w:tc>
          <w:tcPr>
            <w:tcW w:w="1300" w:type="dxa"/>
            <w:vAlign w:val="bottom"/>
            <w:shd w:val="clear" w:color="auto" w:fill="525252"/>
          </w:tcPr>
          <w:p>
            <w:pPr>
              <w:spacing w:after="0"/>
              <w:rPr>
                <w:sz w:val="15"/>
                <w:szCs w:val="15"/>
                <w:color w:val="auto"/>
              </w:rPr>
            </w:pPr>
          </w:p>
        </w:tc>
      </w:tr>
      <w:tr>
        <w:trPr>
          <w:trHeight w:val="202"/>
        </w:trPr>
        <w:tc>
          <w:tcPr>
            <w:tcW w:w="3340" w:type="dxa"/>
            <w:vAlign w:val="bottom"/>
            <w:shd w:val="clear" w:color="auto" w:fill="525252"/>
          </w:tcPr>
          <w:p>
            <w:pPr>
              <w:ind w:left="120"/>
              <w:spacing w:after="0"/>
              <w:rPr>
                <w:sz w:val="20"/>
                <w:szCs w:val="20"/>
                <w:color w:val="auto"/>
              </w:rPr>
            </w:pPr>
            <w:r>
              <w:rPr>
                <w:rFonts w:ascii="Arial" w:cs="Arial" w:eastAsia="Arial" w:hAnsi="Arial"/>
                <w:sz w:val="14"/>
                <w:szCs w:val="14"/>
                <w:b w:val="1"/>
                <w:bCs w:val="1"/>
                <w:color w:val="FFFFFF"/>
              </w:rPr>
              <w:t>Name of Non-Employee Director</w:t>
            </w:r>
          </w:p>
        </w:tc>
        <w:tc>
          <w:tcPr>
            <w:tcW w:w="1120" w:type="dxa"/>
            <w:vAlign w:val="bottom"/>
            <w:shd w:val="clear" w:color="auto" w:fill="525252"/>
          </w:tcPr>
          <w:p>
            <w:pPr>
              <w:spacing w:after="0"/>
              <w:rPr>
                <w:sz w:val="17"/>
                <w:szCs w:val="17"/>
                <w:color w:val="auto"/>
              </w:rPr>
            </w:pPr>
          </w:p>
        </w:tc>
        <w:tc>
          <w:tcPr>
            <w:tcW w:w="1440" w:type="dxa"/>
            <w:vAlign w:val="bottom"/>
            <w:shd w:val="clear" w:color="auto" w:fill="525252"/>
          </w:tcPr>
          <w:p>
            <w:pPr>
              <w:jc w:val="right"/>
              <w:ind w:right="352"/>
              <w:spacing w:after="0"/>
              <w:rPr>
                <w:sz w:val="20"/>
                <w:szCs w:val="20"/>
                <w:color w:val="auto"/>
              </w:rPr>
            </w:pPr>
            <w:r>
              <w:rPr>
                <w:rFonts w:ascii="Arial" w:cs="Arial" w:eastAsia="Arial" w:hAnsi="Arial"/>
                <w:sz w:val="14"/>
                <w:szCs w:val="14"/>
                <w:b w:val="1"/>
                <w:bCs w:val="1"/>
                <w:color w:val="FFFFFF"/>
                <w:w w:val="96"/>
              </w:rPr>
              <w:t xml:space="preserve">Paid in Cash </w:t>
            </w:r>
            <w:r>
              <w:rPr>
                <w:rFonts w:ascii="Arial" w:cs="Arial" w:eastAsia="Arial" w:hAnsi="Arial"/>
                <w:sz w:val="17"/>
                <w:szCs w:val="17"/>
                <w:b w:val="1"/>
                <w:bCs w:val="1"/>
                <w:color w:val="FFFFFF"/>
                <w:w w:val="96"/>
                <w:vertAlign w:val="superscript"/>
              </w:rPr>
              <w:t>(1)</w:t>
            </w:r>
          </w:p>
        </w:tc>
        <w:tc>
          <w:tcPr>
            <w:tcW w:w="600" w:type="dxa"/>
            <w:vAlign w:val="bottom"/>
            <w:shd w:val="clear" w:color="auto" w:fill="525252"/>
          </w:tcPr>
          <w:p>
            <w:pPr>
              <w:spacing w:after="0"/>
              <w:rPr>
                <w:sz w:val="17"/>
                <w:szCs w:val="17"/>
                <w:color w:val="auto"/>
              </w:rPr>
            </w:pPr>
          </w:p>
        </w:tc>
        <w:tc>
          <w:tcPr>
            <w:tcW w:w="1280" w:type="dxa"/>
            <w:vAlign w:val="bottom"/>
            <w:shd w:val="clear" w:color="auto" w:fill="525252"/>
          </w:tcPr>
          <w:p>
            <w:pPr>
              <w:jc w:val="right"/>
              <w:ind w:right="453"/>
              <w:spacing w:after="0"/>
              <w:rPr>
                <w:sz w:val="20"/>
                <w:szCs w:val="20"/>
                <w:color w:val="auto"/>
              </w:rPr>
            </w:pPr>
            <w:r>
              <w:rPr>
                <w:rFonts w:ascii="Arial" w:cs="Arial" w:eastAsia="Arial" w:hAnsi="Arial"/>
                <w:sz w:val="14"/>
                <w:szCs w:val="14"/>
                <w:b w:val="1"/>
                <w:bCs w:val="1"/>
                <w:color w:val="FFFFFF"/>
              </w:rPr>
              <w:t xml:space="preserve">Awards </w:t>
            </w:r>
            <w:r>
              <w:rPr>
                <w:rFonts w:ascii="Arial" w:cs="Arial" w:eastAsia="Arial" w:hAnsi="Arial"/>
                <w:sz w:val="17"/>
                <w:szCs w:val="17"/>
                <w:b w:val="1"/>
                <w:bCs w:val="1"/>
                <w:color w:val="FFFFFF"/>
                <w:vertAlign w:val="superscript"/>
              </w:rPr>
              <w:t>(2)</w:t>
            </w:r>
          </w:p>
        </w:tc>
        <w:tc>
          <w:tcPr>
            <w:tcW w:w="1760" w:type="dxa"/>
            <w:vAlign w:val="bottom"/>
            <w:shd w:val="clear" w:color="auto" w:fill="525252"/>
          </w:tcPr>
          <w:p>
            <w:pPr>
              <w:jc w:val="right"/>
              <w:ind w:right="213"/>
              <w:spacing w:after="0"/>
              <w:rPr>
                <w:sz w:val="20"/>
                <w:szCs w:val="20"/>
                <w:color w:val="auto"/>
              </w:rPr>
            </w:pPr>
            <w:r>
              <w:rPr>
                <w:rFonts w:ascii="Arial" w:cs="Arial" w:eastAsia="Arial" w:hAnsi="Arial"/>
                <w:sz w:val="14"/>
                <w:szCs w:val="14"/>
                <w:b w:val="1"/>
                <w:bCs w:val="1"/>
                <w:color w:val="FFFFFF"/>
              </w:rPr>
              <w:t xml:space="preserve">Compensation </w:t>
            </w:r>
            <w:r>
              <w:rPr>
                <w:rFonts w:ascii="Arial" w:cs="Arial" w:eastAsia="Arial" w:hAnsi="Arial"/>
                <w:sz w:val="17"/>
                <w:szCs w:val="17"/>
                <w:b w:val="1"/>
                <w:bCs w:val="1"/>
                <w:color w:val="FFFFFF"/>
                <w:vertAlign w:val="superscript"/>
              </w:rPr>
              <w:t>(3)</w:t>
            </w:r>
          </w:p>
        </w:tc>
        <w:tc>
          <w:tcPr>
            <w:tcW w:w="580" w:type="dxa"/>
            <w:vAlign w:val="bottom"/>
            <w:shd w:val="clear" w:color="auto" w:fill="525252"/>
          </w:tcPr>
          <w:p>
            <w:pPr>
              <w:spacing w:after="0"/>
              <w:rPr>
                <w:sz w:val="17"/>
                <w:szCs w:val="17"/>
                <w:color w:val="auto"/>
              </w:rPr>
            </w:pPr>
          </w:p>
        </w:tc>
        <w:tc>
          <w:tcPr>
            <w:tcW w:w="1300" w:type="dxa"/>
            <w:vAlign w:val="bottom"/>
            <w:shd w:val="clear" w:color="auto" w:fill="525252"/>
          </w:tcPr>
          <w:p>
            <w:pPr>
              <w:jc w:val="right"/>
              <w:ind w:right="712"/>
              <w:spacing w:after="0"/>
              <w:rPr>
                <w:sz w:val="20"/>
                <w:szCs w:val="20"/>
                <w:color w:val="auto"/>
              </w:rPr>
            </w:pPr>
            <w:r>
              <w:rPr>
                <w:rFonts w:ascii="Arial" w:cs="Arial" w:eastAsia="Arial" w:hAnsi="Arial"/>
                <w:sz w:val="14"/>
                <w:szCs w:val="14"/>
                <w:b w:val="1"/>
                <w:bCs w:val="1"/>
                <w:color w:val="FFFFFF"/>
              </w:rPr>
              <w:t>Total</w:t>
            </w:r>
          </w:p>
        </w:tc>
      </w:tr>
      <w:tr>
        <w:trPr>
          <w:trHeight w:val="270"/>
        </w:trPr>
        <w:tc>
          <w:tcPr>
            <w:tcW w:w="3340" w:type="dxa"/>
            <w:vAlign w:val="bottom"/>
            <w:shd w:val="clear" w:color="auto" w:fill="E0E0E0"/>
          </w:tcPr>
          <w:p>
            <w:pPr>
              <w:ind w:left="80"/>
              <w:spacing w:after="0"/>
              <w:rPr>
                <w:sz w:val="20"/>
                <w:szCs w:val="20"/>
                <w:color w:val="auto"/>
              </w:rPr>
            </w:pPr>
            <w:r>
              <w:rPr>
                <w:rFonts w:ascii="Arial" w:cs="Arial" w:eastAsia="Arial" w:hAnsi="Arial"/>
                <w:sz w:val="18"/>
                <w:szCs w:val="18"/>
                <w:color w:val="auto"/>
              </w:rPr>
              <w:t>Jan A. Bertsch</w:t>
            </w:r>
          </w:p>
        </w:tc>
        <w:tc>
          <w:tcPr>
            <w:tcW w:w="112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E0E0E0"/>
          </w:tcPr>
          <w:p>
            <w:pPr>
              <w:jc w:val="right"/>
              <w:ind w:right="312"/>
              <w:spacing w:after="0"/>
              <w:rPr>
                <w:sz w:val="20"/>
                <w:szCs w:val="20"/>
                <w:color w:val="auto"/>
              </w:rPr>
            </w:pPr>
            <w:r>
              <w:rPr>
                <w:rFonts w:ascii="Arial" w:cs="Arial" w:eastAsia="Arial" w:hAnsi="Arial"/>
                <w:sz w:val="18"/>
                <w:szCs w:val="18"/>
                <w:color w:val="auto"/>
              </w:rPr>
              <w:t>110,000</w:t>
            </w:r>
          </w:p>
        </w:tc>
        <w:tc>
          <w:tcPr>
            <w:tcW w:w="600" w:type="dxa"/>
            <w:vAlign w:val="bottom"/>
            <w:shd w:val="clear" w:color="auto" w:fill="E0E0E0"/>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E0E0E0"/>
          </w:tcPr>
          <w:p>
            <w:pPr>
              <w:jc w:val="right"/>
              <w:ind w:right="253"/>
              <w:spacing w:after="0"/>
              <w:rPr>
                <w:sz w:val="20"/>
                <w:szCs w:val="20"/>
                <w:color w:val="auto"/>
              </w:rPr>
            </w:pPr>
            <w:r>
              <w:rPr>
                <w:rFonts w:ascii="Arial" w:cs="Arial" w:eastAsia="Arial" w:hAnsi="Arial"/>
                <w:sz w:val="18"/>
                <w:szCs w:val="18"/>
                <w:color w:val="auto"/>
              </w:rPr>
              <w:t>119,968</w:t>
            </w:r>
          </w:p>
        </w:tc>
        <w:tc>
          <w:tcPr>
            <w:tcW w:w="1760" w:type="dxa"/>
            <w:vAlign w:val="bottom"/>
            <w:shd w:val="clear" w:color="auto" w:fill="E0E0E0"/>
          </w:tcPr>
          <w:p>
            <w:pPr>
              <w:jc w:val="right"/>
              <w:ind w:right="433"/>
              <w:spacing w:after="0"/>
              <w:rPr>
                <w:sz w:val="20"/>
                <w:szCs w:val="20"/>
                <w:color w:val="auto"/>
              </w:rPr>
            </w:pPr>
            <w:r>
              <w:rPr>
                <w:rFonts w:ascii="Arial" w:cs="Arial" w:eastAsia="Arial" w:hAnsi="Arial"/>
                <w:sz w:val="18"/>
                <w:szCs w:val="18"/>
                <w:color w:val="auto"/>
              </w:rPr>
              <w:t>$   6,431</w:t>
            </w:r>
          </w:p>
        </w:tc>
        <w:tc>
          <w:tcPr>
            <w:tcW w:w="580" w:type="dxa"/>
            <w:vAlign w:val="bottom"/>
            <w:shd w:val="clear" w:color="auto" w:fill="E0E0E0"/>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E0E0E0"/>
          </w:tcPr>
          <w:p>
            <w:pPr>
              <w:jc w:val="right"/>
              <w:ind w:right="352"/>
              <w:spacing w:after="0"/>
              <w:rPr>
                <w:sz w:val="20"/>
                <w:szCs w:val="20"/>
                <w:color w:val="auto"/>
              </w:rPr>
            </w:pPr>
            <w:r>
              <w:rPr>
                <w:rFonts w:ascii="Arial" w:cs="Arial" w:eastAsia="Arial" w:hAnsi="Arial"/>
                <w:sz w:val="18"/>
                <w:szCs w:val="18"/>
                <w:color w:val="auto"/>
              </w:rPr>
              <w:t>236,399</w:t>
            </w:r>
          </w:p>
        </w:tc>
      </w:tr>
      <w:tr>
        <w:trPr>
          <w:trHeight w:val="263"/>
        </w:trPr>
        <w:tc>
          <w:tcPr>
            <w:tcW w:w="3340" w:type="dxa"/>
            <w:vAlign w:val="bottom"/>
          </w:tcPr>
          <w:p>
            <w:pPr>
              <w:ind w:left="100"/>
              <w:spacing w:after="0"/>
              <w:rPr>
                <w:sz w:val="20"/>
                <w:szCs w:val="20"/>
                <w:color w:val="auto"/>
              </w:rPr>
            </w:pPr>
            <w:r>
              <w:rPr>
                <w:rFonts w:ascii="Arial" w:cs="Arial" w:eastAsia="Arial" w:hAnsi="Arial"/>
                <w:sz w:val="18"/>
                <w:szCs w:val="18"/>
                <w:color w:val="auto"/>
              </w:rPr>
              <w:t>Robert W. Goldman</w:t>
            </w:r>
          </w:p>
        </w:tc>
        <w:tc>
          <w:tcPr>
            <w:tcW w:w="1120" w:type="dxa"/>
            <w:vAlign w:val="bottom"/>
          </w:tcPr>
          <w:p>
            <w:pPr>
              <w:spacing w:after="0"/>
              <w:rPr>
                <w:sz w:val="22"/>
                <w:szCs w:val="22"/>
                <w:color w:val="auto"/>
              </w:rPr>
            </w:pPr>
          </w:p>
        </w:tc>
        <w:tc>
          <w:tcPr>
            <w:tcW w:w="1440" w:type="dxa"/>
            <w:vAlign w:val="bottom"/>
          </w:tcPr>
          <w:p>
            <w:pPr>
              <w:jc w:val="right"/>
              <w:ind w:right="312"/>
              <w:spacing w:after="0"/>
              <w:rPr>
                <w:sz w:val="20"/>
                <w:szCs w:val="20"/>
                <w:color w:val="auto"/>
              </w:rPr>
            </w:pPr>
            <w:r>
              <w:rPr>
                <w:rFonts w:ascii="Arial" w:cs="Arial" w:eastAsia="Arial" w:hAnsi="Arial"/>
                <w:sz w:val="18"/>
                <w:szCs w:val="18"/>
                <w:color w:val="auto"/>
              </w:rPr>
              <w:t>130,000</w:t>
            </w:r>
          </w:p>
        </w:tc>
        <w:tc>
          <w:tcPr>
            <w:tcW w:w="600" w:type="dxa"/>
            <w:vAlign w:val="bottom"/>
          </w:tcPr>
          <w:p>
            <w:pPr>
              <w:spacing w:after="0"/>
              <w:rPr>
                <w:sz w:val="22"/>
                <w:szCs w:val="22"/>
                <w:color w:val="auto"/>
              </w:rPr>
            </w:pPr>
          </w:p>
        </w:tc>
        <w:tc>
          <w:tcPr>
            <w:tcW w:w="1280" w:type="dxa"/>
            <w:vAlign w:val="bottom"/>
          </w:tcPr>
          <w:p>
            <w:pPr>
              <w:jc w:val="right"/>
              <w:ind w:right="253"/>
              <w:spacing w:after="0"/>
              <w:rPr>
                <w:sz w:val="20"/>
                <w:szCs w:val="20"/>
                <w:color w:val="auto"/>
              </w:rPr>
            </w:pPr>
            <w:r>
              <w:rPr>
                <w:rFonts w:ascii="Arial" w:cs="Arial" w:eastAsia="Arial" w:hAnsi="Arial"/>
                <w:sz w:val="18"/>
                <w:szCs w:val="18"/>
                <w:color w:val="auto"/>
              </w:rPr>
              <w:t>119,968</w:t>
            </w:r>
          </w:p>
        </w:tc>
        <w:tc>
          <w:tcPr>
            <w:tcW w:w="1760" w:type="dxa"/>
            <w:vAlign w:val="bottom"/>
          </w:tcPr>
          <w:p>
            <w:pPr>
              <w:jc w:val="right"/>
              <w:ind w:right="433"/>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2"/>
                <w:szCs w:val="22"/>
                <w:color w:val="auto"/>
              </w:rPr>
            </w:pPr>
          </w:p>
        </w:tc>
        <w:tc>
          <w:tcPr>
            <w:tcW w:w="1300" w:type="dxa"/>
            <w:vAlign w:val="bottom"/>
          </w:tcPr>
          <w:p>
            <w:pPr>
              <w:jc w:val="right"/>
              <w:ind w:right="352"/>
              <w:spacing w:after="0"/>
              <w:rPr>
                <w:sz w:val="20"/>
                <w:szCs w:val="20"/>
                <w:color w:val="auto"/>
              </w:rPr>
            </w:pPr>
            <w:r>
              <w:rPr>
                <w:rFonts w:ascii="Arial" w:cs="Arial" w:eastAsia="Arial" w:hAnsi="Arial"/>
                <w:sz w:val="18"/>
                <w:szCs w:val="18"/>
                <w:color w:val="auto"/>
              </w:rPr>
              <w:t>249,968</w:t>
            </w:r>
          </w:p>
        </w:tc>
      </w:tr>
      <w:tr>
        <w:trPr>
          <w:trHeight w:val="277"/>
        </w:trPr>
        <w:tc>
          <w:tcPr>
            <w:tcW w:w="3340" w:type="dxa"/>
            <w:vAlign w:val="bottom"/>
            <w:shd w:val="clear" w:color="auto" w:fill="E0E0E0"/>
          </w:tcPr>
          <w:p>
            <w:pPr>
              <w:ind w:left="80"/>
              <w:spacing w:after="0"/>
              <w:rPr>
                <w:sz w:val="20"/>
                <w:szCs w:val="20"/>
                <w:color w:val="auto"/>
              </w:rPr>
            </w:pPr>
            <w:r>
              <w:rPr>
                <w:rFonts w:ascii="Arial" w:cs="Arial" w:eastAsia="Arial" w:hAnsi="Arial"/>
                <w:sz w:val="18"/>
                <w:szCs w:val="18"/>
                <w:color w:val="auto"/>
              </w:rPr>
              <w:t>James A. Jaska</w:t>
            </w:r>
          </w:p>
        </w:tc>
        <w:tc>
          <w:tcPr>
            <w:tcW w:w="1120" w:type="dxa"/>
            <w:vAlign w:val="bottom"/>
            <w:shd w:val="clear" w:color="auto" w:fill="E0E0E0"/>
          </w:tcPr>
          <w:p>
            <w:pPr>
              <w:spacing w:after="0"/>
              <w:rPr>
                <w:sz w:val="24"/>
                <w:szCs w:val="24"/>
                <w:color w:val="auto"/>
              </w:rPr>
            </w:pPr>
          </w:p>
        </w:tc>
        <w:tc>
          <w:tcPr>
            <w:tcW w:w="1440" w:type="dxa"/>
            <w:vAlign w:val="bottom"/>
            <w:shd w:val="clear" w:color="auto" w:fill="E0E0E0"/>
          </w:tcPr>
          <w:p>
            <w:pPr>
              <w:jc w:val="right"/>
              <w:ind w:right="312"/>
              <w:spacing w:after="0"/>
              <w:rPr>
                <w:sz w:val="20"/>
                <w:szCs w:val="20"/>
                <w:color w:val="auto"/>
              </w:rPr>
            </w:pPr>
            <w:r>
              <w:rPr>
                <w:rFonts w:ascii="Arial" w:cs="Arial" w:eastAsia="Arial" w:hAnsi="Arial"/>
                <w:sz w:val="18"/>
                <w:szCs w:val="18"/>
                <w:color w:val="auto"/>
              </w:rPr>
              <w:t>90,000</w:t>
            </w:r>
          </w:p>
        </w:tc>
        <w:tc>
          <w:tcPr>
            <w:tcW w:w="600" w:type="dxa"/>
            <w:vAlign w:val="bottom"/>
            <w:shd w:val="clear" w:color="auto" w:fill="E0E0E0"/>
          </w:tcPr>
          <w:p>
            <w:pPr>
              <w:spacing w:after="0"/>
              <w:rPr>
                <w:sz w:val="24"/>
                <w:szCs w:val="24"/>
                <w:color w:val="auto"/>
              </w:rPr>
            </w:pPr>
          </w:p>
        </w:tc>
        <w:tc>
          <w:tcPr>
            <w:tcW w:w="1280" w:type="dxa"/>
            <w:vAlign w:val="bottom"/>
            <w:shd w:val="clear" w:color="auto" w:fill="E0E0E0"/>
          </w:tcPr>
          <w:p>
            <w:pPr>
              <w:jc w:val="right"/>
              <w:ind w:right="253"/>
              <w:spacing w:after="0"/>
              <w:rPr>
                <w:sz w:val="20"/>
                <w:szCs w:val="20"/>
                <w:color w:val="auto"/>
              </w:rPr>
            </w:pPr>
            <w:r>
              <w:rPr>
                <w:rFonts w:ascii="Arial" w:cs="Arial" w:eastAsia="Arial" w:hAnsi="Arial"/>
                <w:sz w:val="18"/>
                <w:szCs w:val="18"/>
                <w:color w:val="auto"/>
              </w:rPr>
              <w:t>119,968</w:t>
            </w:r>
          </w:p>
        </w:tc>
        <w:tc>
          <w:tcPr>
            <w:tcW w:w="1760" w:type="dxa"/>
            <w:vAlign w:val="bottom"/>
            <w:shd w:val="clear" w:color="auto" w:fill="E0E0E0"/>
          </w:tcPr>
          <w:p>
            <w:pPr>
              <w:jc w:val="right"/>
              <w:ind w:right="433"/>
              <w:spacing w:after="0"/>
              <w:rPr>
                <w:sz w:val="20"/>
                <w:szCs w:val="20"/>
                <w:color w:val="auto"/>
              </w:rPr>
            </w:pPr>
            <w:r>
              <w:rPr>
                <w:rFonts w:ascii="Arial" w:cs="Arial" w:eastAsia="Arial" w:hAnsi="Arial"/>
                <w:sz w:val="18"/>
                <w:szCs w:val="18"/>
                <w:color w:val="auto"/>
              </w:rPr>
              <w:t>1,790</w:t>
            </w:r>
          </w:p>
        </w:tc>
        <w:tc>
          <w:tcPr>
            <w:tcW w:w="580" w:type="dxa"/>
            <w:vAlign w:val="bottom"/>
            <w:shd w:val="clear" w:color="auto" w:fill="E0E0E0"/>
          </w:tcPr>
          <w:p>
            <w:pPr>
              <w:spacing w:after="0"/>
              <w:rPr>
                <w:sz w:val="24"/>
                <w:szCs w:val="24"/>
                <w:color w:val="auto"/>
              </w:rPr>
            </w:pPr>
          </w:p>
        </w:tc>
        <w:tc>
          <w:tcPr>
            <w:tcW w:w="1300" w:type="dxa"/>
            <w:vAlign w:val="bottom"/>
            <w:shd w:val="clear" w:color="auto" w:fill="E0E0E0"/>
          </w:tcPr>
          <w:p>
            <w:pPr>
              <w:jc w:val="right"/>
              <w:ind w:right="352"/>
              <w:spacing w:after="0"/>
              <w:rPr>
                <w:sz w:val="20"/>
                <w:szCs w:val="20"/>
                <w:color w:val="auto"/>
              </w:rPr>
            </w:pPr>
            <w:r>
              <w:rPr>
                <w:rFonts w:ascii="Arial" w:cs="Arial" w:eastAsia="Arial" w:hAnsi="Arial"/>
                <w:sz w:val="18"/>
                <w:szCs w:val="18"/>
                <w:color w:val="auto"/>
              </w:rPr>
              <w:t>211,758</w:t>
            </w:r>
          </w:p>
        </w:tc>
      </w:tr>
      <w:tr>
        <w:trPr>
          <w:trHeight w:val="263"/>
        </w:trPr>
        <w:tc>
          <w:tcPr>
            <w:tcW w:w="3340" w:type="dxa"/>
            <w:vAlign w:val="bottom"/>
          </w:tcPr>
          <w:p>
            <w:pPr>
              <w:ind w:left="100"/>
              <w:spacing w:after="0"/>
              <w:rPr>
                <w:sz w:val="20"/>
                <w:szCs w:val="20"/>
                <w:color w:val="auto"/>
              </w:rPr>
            </w:pPr>
            <w:r>
              <w:rPr>
                <w:rFonts w:ascii="Arial" w:cs="Arial" w:eastAsia="Arial" w:hAnsi="Arial"/>
                <w:sz w:val="18"/>
                <w:szCs w:val="18"/>
                <w:color w:val="auto"/>
              </w:rPr>
              <w:t>Kenneth J. Krieg</w:t>
            </w:r>
          </w:p>
        </w:tc>
        <w:tc>
          <w:tcPr>
            <w:tcW w:w="1120" w:type="dxa"/>
            <w:vAlign w:val="bottom"/>
          </w:tcPr>
          <w:p>
            <w:pPr>
              <w:spacing w:after="0"/>
              <w:rPr>
                <w:sz w:val="22"/>
                <w:szCs w:val="22"/>
                <w:color w:val="auto"/>
              </w:rPr>
            </w:pPr>
          </w:p>
        </w:tc>
        <w:tc>
          <w:tcPr>
            <w:tcW w:w="1440" w:type="dxa"/>
            <w:vAlign w:val="bottom"/>
          </w:tcPr>
          <w:p>
            <w:pPr>
              <w:jc w:val="right"/>
              <w:ind w:right="312"/>
              <w:spacing w:after="0"/>
              <w:rPr>
                <w:sz w:val="20"/>
                <w:szCs w:val="20"/>
                <w:color w:val="auto"/>
              </w:rPr>
            </w:pPr>
            <w:r>
              <w:rPr>
                <w:rFonts w:ascii="Arial" w:cs="Arial" w:eastAsia="Arial" w:hAnsi="Arial"/>
                <w:sz w:val="18"/>
                <w:szCs w:val="18"/>
                <w:color w:val="auto"/>
              </w:rPr>
              <w:t>90,000</w:t>
            </w:r>
          </w:p>
        </w:tc>
        <w:tc>
          <w:tcPr>
            <w:tcW w:w="600" w:type="dxa"/>
            <w:vAlign w:val="bottom"/>
          </w:tcPr>
          <w:p>
            <w:pPr>
              <w:spacing w:after="0"/>
              <w:rPr>
                <w:sz w:val="22"/>
                <w:szCs w:val="22"/>
                <w:color w:val="auto"/>
              </w:rPr>
            </w:pPr>
          </w:p>
        </w:tc>
        <w:tc>
          <w:tcPr>
            <w:tcW w:w="1280" w:type="dxa"/>
            <w:vAlign w:val="bottom"/>
          </w:tcPr>
          <w:p>
            <w:pPr>
              <w:jc w:val="right"/>
              <w:ind w:right="253"/>
              <w:spacing w:after="0"/>
              <w:rPr>
                <w:sz w:val="20"/>
                <w:szCs w:val="20"/>
                <w:color w:val="auto"/>
              </w:rPr>
            </w:pPr>
            <w:r>
              <w:rPr>
                <w:rFonts w:ascii="Arial" w:cs="Arial" w:eastAsia="Arial" w:hAnsi="Arial"/>
                <w:sz w:val="18"/>
                <w:szCs w:val="18"/>
                <w:color w:val="auto"/>
              </w:rPr>
              <w:t>119,968</w:t>
            </w:r>
          </w:p>
        </w:tc>
        <w:tc>
          <w:tcPr>
            <w:tcW w:w="1760" w:type="dxa"/>
            <w:vAlign w:val="bottom"/>
          </w:tcPr>
          <w:p>
            <w:pPr>
              <w:jc w:val="right"/>
              <w:ind w:right="433"/>
              <w:spacing w:after="0"/>
              <w:rPr>
                <w:sz w:val="20"/>
                <w:szCs w:val="20"/>
                <w:color w:val="auto"/>
              </w:rPr>
            </w:pPr>
            <w:r>
              <w:rPr>
                <w:rFonts w:ascii="Arial" w:cs="Arial" w:eastAsia="Arial" w:hAnsi="Arial"/>
                <w:sz w:val="18"/>
                <w:szCs w:val="18"/>
                <w:color w:val="auto"/>
              </w:rPr>
              <w:t>1,790</w:t>
            </w:r>
          </w:p>
        </w:tc>
        <w:tc>
          <w:tcPr>
            <w:tcW w:w="580" w:type="dxa"/>
            <w:vAlign w:val="bottom"/>
          </w:tcPr>
          <w:p>
            <w:pPr>
              <w:spacing w:after="0"/>
              <w:rPr>
                <w:sz w:val="22"/>
                <w:szCs w:val="22"/>
                <w:color w:val="auto"/>
              </w:rPr>
            </w:pPr>
          </w:p>
        </w:tc>
        <w:tc>
          <w:tcPr>
            <w:tcW w:w="1300" w:type="dxa"/>
            <w:vAlign w:val="bottom"/>
          </w:tcPr>
          <w:p>
            <w:pPr>
              <w:jc w:val="right"/>
              <w:ind w:right="352"/>
              <w:spacing w:after="0"/>
              <w:rPr>
                <w:sz w:val="20"/>
                <w:szCs w:val="20"/>
                <w:color w:val="auto"/>
              </w:rPr>
            </w:pPr>
            <w:r>
              <w:rPr>
                <w:rFonts w:ascii="Arial" w:cs="Arial" w:eastAsia="Arial" w:hAnsi="Arial"/>
                <w:sz w:val="18"/>
                <w:szCs w:val="18"/>
                <w:color w:val="auto"/>
              </w:rPr>
              <w:t>211,758</w:t>
            </w:r>
          </w:p>
        </w:tc>
      </w:tr>
      <w:tr>
        <w:trPr>
          <w:trHeight w:val="277"/>
        </w:trPr>
        <w:tc>
          <w:tcPr>
            <w:tcW w:w="3340" w:type="dxa"/>
            <w:vAlign w:val="bottom"/>
            <w:shd w:val="clear" w:color="auto" w:fill="E0E0E0"/>
          </w:tcPr>
          <w:p>
            <w:pPr>
              <w:ind w:left="120"/>
              <w:spacing w:after="0"/>
              <w:rPr>
                <w:sz w:val="20"/>
                <w:szCs w:val="20"/>
                <w:color w:val="auto"/>
              </w:rPr>
            </w:pPr>
            <w:r>
              <w:rPr>
                <w:rFonts w:ascii="Arial" w:cs="Arial" w:eastAsia="Arial" w:hAnsi="Arial"/>
                <w:sz w:val="18"/>
                <w:szCs w:val="18"/>
                <w:color w:val="auto"/>
              </w:rPr>
              <w:t>Robb A. LeMasters</w:t>
            </w:r>
          </w:p>
        </w:tc>
        <w:tc>
          <w:tcPr>
            <w:tcW w:w="1120" w:type="dxa"/>
            <w:vAlign w:val="bottom"/>
            <w:shd w:val="clear" w:color="auto" w:fill="E0E0E0"/>
          </w:tcPr>
          <w:p>
            <w:pPr>
              <w:spacing w:after="0"/>
              <w:rPr>
                <w:sz w:val="24"/>
                <w:szCs w:val="24"/>
                <w:color w:val="auto"/>
              </w:rPr>
            </w:pPr>
          </w:p>
        </w:tc>
        <w:tc>
          <w:tcPr>
            <w:tcW w:w="1440" w:type="dxa"/>
            <w:vAlign w:val="bottom"/>
            <w:shd w:val="clear" w:color="auto" w:fill="E0E0E0"/>
          </w:tcPr>
          <w:p>
            <w:pPr>
              <w:jc w:val="right"/>
              <w:ind w:right="312"/>
              <w:spacing w:after="0"/>
              <w:rPr>
                <w:sz w:val="20"/>
                <w:szCs w:val="20"/>
                <w:color w:val="auto"/>
              </w:rPr>
            </w:pPr>
            <w:r>
              <w:rPr>
                <w:rFonts w:ascii="Arial" w:cs="Arial" w:eastAsia="Arial" w:hAnsi="Arial"/>
                <w:sz w:val="18"/>
                <w:szCs w:val="18"/>
                <w:color w:val="auto"/>
              </w:rPr>
              <w:t>90,000</w:t>
            </w:r>
          </w:p>
        </w:tc>
        <w:tc>
          <w:tcPr>
            <w:tcW w:w="600" w:type="dxa"/>
            <w:vAlign w:val="bottom"/>
            <w:shd w:val="clear" w:color="auto" w:fill="E0E0E0"/>
          </w:tcPr>
          <w:p>
            <w:pPr>
              <w:spacing w:after="0"/>
              <w:rPr>
                <w:sz w:val="24"/>
                <w:szCs w:val="24"/>
                <w:color w:val="auto"/>
              </w:rPr>
            </w:pPr>
          </w:p>
        </w:tc>
        <w:tc>
          <w:tcPr>
            <w:tcW w:w="1280" w:type="dxa"/>
            <w:vAlign w:val="bottom"/>
            <w:shd w:val="clear" w:color="auto" w:fill="E0E0E0"/>
          </w:tcPr>
          <w:p>
            <w:pPr>
              <w:jc w:val="right"/>
              <w:ind w:right="253"/>
              <w:spacing w:after="0"/>
              <w:rPr>
                <w:sz w:val="20"/>
                <w:szCs w:val="20"/>
                <w:color w:val="auto"/>
              </w:rPr>
            </w:pPr>
            <w:r>
              <w:rPr>
                <w:rFonts w:ascii="Arial" w:cs="Arial" w:eastAsia="Arial" w:hAnsi="Arial"/>
                <w:sz w:val="18"/>
                <w:szCs w:val="18"/>
                <w:color w:val="auto"/>
              </w:rPr>
              <w:t>119,968</w:t>
            </w:r>
          </w:p>
        </w:tc>
        <w:tc>
          <w:tcPr>
            <w:tcW w:w="1760" w:type="dxa"/>
            <w:vAlign w:val="bottom"/>
            <w:shd w:val="clear" w:color="auto" w:fill="E0E0E0"/>
          </w:tcPr>
          <w:p>
            <w:pPr>
              <w:jc w:val="right"/>
              <w:ind w:right="433"/>
              <w:spacing w:after="0"/>
              <w:rPr>
                <w:sz w:val="20"/>
                <w:szCs w:val="20"/>
                <w:color w:val="auto"/>
              </w:rPr>
            </w:pPr>
            <w:r>
              <w:rPr>
                <w:rFonts w:ascii="Arial" w:cs="Arial" w:eastAsia="Arial" w:hAnsi="Arial"/>
                <w:sz w:val="18"/>
                <w:szCs w:val="18"/>
                <w:color w:val="auto"/>
              </w:rPr>
              <w:t>4,442</w:t>
            </w:r>
          </w:p>
        </w:tc>
        <w:tc>
          <w:tcPr>
            <w:tcW w:w="580" w:type="dxa"/>
            <w:vAlign w:val="bottom"/>
            <w:shd w:val="clear" w:color="auto" w:fill="E0E0E0"/>
          </w:tcPr>
          <w:p>
            <w:pPr>
              <w:spacing w:after="0"/>
              <w:rPr>
                <w:sz w:val="24"/>
                <w:szCs w:val="24"/>
                <w:color w:val="auto"/>
              </w:rPr>
            </w:pPr>
          </w:p>
        </w:tc>
        <w:tc>
          <w:tcPr>
            <w:tcW w:w="1300" w:type="dxa"/>
            <w:vAlign w:val="bottom"/>
            <w:shd w:val="clear" w:color="auto" w:fill="E0E0E0"/>
          </w:tcPr>
          <w:p>
            <w:pPr>
              <w:jc w:val="right"/>
              <w:ind w:right="352"/>
              <w:spacing w:after="0"/>
              <w:rPr>
                <w:sz w:val="20"/>
                <w:szCs w:val="20"/>
                <w:color w:val="auto"/>
              </w:rPr>
            </w:pPr>
            <w:r>
              <w:rPr>
                <w:rFonts w:ascii="Arial" w:cs="Arial" w:eastAsia="Arial" w:hAnsi="Arial"/>
                <w:sz w:val="18"/>
                <w:szCs w:val="18"/>
                <w:color w:val="auto"/>
              </w:rPr>
              <w:t>214,410</w:t>
            </w:r>
          </w:p>
        </w:tc>
      </w:tr>
      <w:tr>
        <w:trPr>
          <w:trHeight w:val="263"/>
        </w:trPr>
        <w:tc>
          <w:tcPr>
            <w:tcW w:w="3340" w:type="dxa"/>
            <w:vAlign w:val="bottom"/>
          </w:tcPr>
          <w:p>
            <w:pPr>
              <w:ind w:left="100"/>
              <w:spacing w:after="0"/>
              <w:rPr>
                <w:sz w:val="20"/>
                <w:szCs w:val="20"/>
                <w:color w:val="auto"/>
              </w:rPr>
            </w:pPr>
            <w:r>
              <w:rPr>
                <w:rFonts w:ascii="Arial" w:cs="Arial" w:eastAsia="Arial" w:hAnsi="Arial"/>
                <w:sz w:val="18"/>
                <w:szCs w:val="18"/>
                <w:color w:val="auto"/>
              </w:rPr>
              <w:t>Richard W. Mies</w:t>
            </w:r>
          </w:p>
        </w:tc>
        <w:tc>
          <w:tcPr>
            <w:tcW w:w="1120" w:type="dxa"/>
            <w:vAlign w:val="bottom"/>
          </w:tcPr>
          <w:p>
            <w:pPr>
              <w:spacing w:after="0"/>
              <w:rPr>
                <w:sz w:val="22"/>
                <w:szCs w:val="22"/>
                <w:color w:val="auto"/>
              </w:rPr>
            </w:pPr>
          </w:p>
        </w:tc>
        <w:tc>
          <w:tcPr>
            <w:tcW w:w="1440" w:type="dxa"/>
            <w:vAlign w:val="bottom"/>
          </w:tcPr>
          <w:p>
            <w:pPr>
              <w:jc w:val="right"/>
              <w:ind w:right="312"/>
              <w:spacing w:after="0"/>
              <w:rPr>
                <w:sz w:val="20"/>
                <w:szCs w:val="20"/>
                <w:color w:val="auto"/>
              </w:rPr>
            </w:pPr>
            <w:r>
              <w:rPr>
                <w:rFonts w:ascii="Arial" w:cs="Arial" w:eastAsia="Arial" w:hAnsi="Arial"/>
                <w:sz w:val="18"/>
                <w:szCs w:val="18"/>
                <w:color w:val="auto"/>
              </w:rPr>
              <w:t>105,000</w:t>
            </w:r>
          </w:p>
        </w:tc>
        <w:tc>
          <w:tcPr>
            <w:tcW w:w="600" w:type="dxa"/>
            <w:vAlign w:val="bottom"/>
          </w:tcPr>
          <w:p>
            <w:pPr>
              <w:spacing w:after="0"/>
              <w:rPr>
                <w:sz w:val="22"/>
                <w:szCs w:val="22"/>
                <w:color w:val="auto"/>
              </w:rPr>
            </w:pPr>
          </w:p>
        </w:tc>
        <w:tc>
          <w:tcPr>
            <w:tcW w:w="1280" w:type="dxa"/>
            <w:vAlign w:val="bottom"/>
          </w:tcPr>
          <w:p>
            <w:pPr>
              <w:jc w:val="right"/>
              <w:ind w:right="253"/>
              <w:spacing w:after="0"/>
              <w:rPr>
                <w:sz w:val="20"/>
                <w:szCs w:val="20"/>
                <w:color w:val="auto"/>
              </w:rPr>
            </w:pPr>
            <w:r>
              <w:rPr>
                <w:rFonts w:ascii="Arial" w:cs="Arial" w:eastAsia="Arial" w:hAnsi="Arial"/>
                <w:sz w:val="18"/>
                <w:szCs w:val="18"/>
                <w:color w:val="auto"/>
              </w:rPr>
              <w:t>119,968</w:t>
            </w:r>
          </w:p>
        </w:tc>
        <w:tc>
          <w:tcPr>
            <w:tcW w:w="1760" w:type="dxa"/>
            <w:vAlign w:val="bottom"/>
          </w:tcPr>
          <w:p>
            <w:pPr>
              <w:jc w:val="right"/>
              <w:ind w:right="433"/>
              <w:spacing w:after="0"/>
              <w:rPr>
                <w:sz w:val="20"/>
                <w:szCs w:val="20"/>
                <w:color w:val="auto"/>
              </w:rPr>
            </w:pPr>
            <w:r>
              <w:rPr>
                <w:rFonts w:ascii="Arial" w:cs="Arial" w:eastAsia="Arial" w:hAnsi="Arial"/>
                <w:sz w:val="18"/>
                <w:szCs w:val="18"/>
                <w:color w:val="auto"/>
              </w:rPr>
              <w:t>13,316</w:t>
            </w:r>
          </w:p>
        </w:tc>
        <w:tc>
          <w:tcPr>
            <w:tcW w:w="580" w:type="dxa"/>
            <w:vAlign w:val="bottom"/>
          </w:tcPr>
          <w:p>
            <w:pPr>
              <w:spacing w:after="0"/>
              <w:rPr>
                <w:sz w:val="22"/>
                <w:szCs w:val="22"/>
                <w:color w:val="auto"/>
              </w:rPr>
            </w:pPr>
          </w:p>
        </w:tc>
        <w:tc>
          <w:tcPr>
            <w:tcW w:w="1300" w:type="dxa"/>
            <w:vAlign w:val="bottom"/>
          </w:tcPr>
          <w:p>
            <w:pPr>
              <w:jc w:val="right"/>
              <w:ind w:right="352"/>
              <w:spacing w:after="0"/>
              <w:rPr>
                <w:sz w:val="20"/>
                <w:szCs w:val="20"/>
                <w:color w:val="auto"/>
              </w:rPr>
            </w:pPr>
            <w:r>
              <w:rPr>
                <w:rFonts w:ascii="Arial" w:cs="Arial" w:eastAsia="Arial" w:hAnsi="Arial"/>
                <w:sz w:val="18"/>
                <w:szCs w:val="18"/>
                <w:color w:val="auto"/>
              </w:rPr>
              <w:t>238,284</w:t>
            </w:r>
          </w:p>
        </w:tc>
      </w:tr>
      <w:tr>
        <w:trPr>
          <w:trHeight w:val="277"/>
        </w:trPr>
        <w:tc>
          <w:tcPr>
            <w:tcW w:w="3340" w:type="dxa"/>
            <w:vAlign w:val="bottom"/>
            <w:shd w:val="clear" w:color="auto" w:fill="E0E0E0"/>
          </w:tcPr>
          <w:p>
            <w:pPr>
              <w:ind w:left="120"/>
              <w:spacing w:after="0"/>
              <w:rPr>
                <w:sz w:val="20"/>
                <w:szCs w:val="20"/>
                <w:color w:val="auto"/>
              </w:rPr>
            </w:pPr>
            <w:r>
              <w:rPr>
                <w:rFonts w:ascii="Arial" w:cs="Arial" w:eastAsia="Arial" w:hAnsi="Arial"/>
                <w:sz w:val="18"/>
                <w:szCs w:val="18"/>
                <w:color w:val="auto"/>
              </w:rPr>
              <w:t>Robert L. Nardelli</w:t>
            </w:r>
          </w:p>
        </w:tc>
        <w:tc>
          <w:tcPr>
            <w:tcW w:w="1120" w:type="dxa"/>
            <w:vAlign w:val="bottom"/>
            <w:shd w:val="clear" w:color="auto" w:fill="E0E0E0"/>
          </w:tcPr>
          <w:p>
            <w:pPr>
              <w:spacing w:after="0"/>
              <w:rPr>
                <w:sz w:val="24"/>
                <w:szCs w:val="24"/>
                <w:color w:val="auto"/>
              </w:rPr>
            </w:pPr>
          </w:p>
        </w:tc>
        <w:tc>
          <w:tcPr>
            <w:tcW w:w="1440" w:type="dxa"/>
            <w:vAlign w:val="bottom"/>
            <w:shd w:val="clear" w:color="auto" w:fill="E0E0E0"/>
          </w:tcPr>
          <w:p>
            <w:pPr>
              <w:jc w:val="right"/>
              <w:ind w:right="312"/>
              <w:spacing w:after="0"/>
              <w:rPr>
                <w:sz w:val="20"/>
                <w:szCs w:val="20"/>
                <w:color w:val="auto"/>
              </w:rPr>
            </w:pPr>
            <w:r>
              <w:rPr>
                <w:rFonts w:ascii="Arial" w:cs="Arial" w:eastAsia="Arial" w:hAnsi="Arial"/>
                <w:sz w:val="18"/>
                <w:szCs w:val="18"/>
                <w:color w:val="auto"/>
              </w:rPr>
              <w:t>90,000</w:t>
            </w:r>
          </w:p>
        </w:tc>
        <w:tc>
          <w:tcPr>
            <w:tcW w:w="600" w:type="dxa"/>
            <w:vAlign w:val="bottom"/>
            <w:shd w:val="clear" w:color="auto" w:fill="E0E0E0"/>
          </w:tcPr>
          <w:p>
            <w:pPr>
              <w:spacing w:after="0"/>
              <w:rPr>
                <w:sz w:val="24"/>
                <w:szCs w:val="24"/>
                <w:color w:val="auto"/>
              </w:rPr>
            </w:pPr>
          </w:p>
        </w:tc>
        <w:tc>
          <w:tcPr>
            <w:tcW w:w="1280" w:type="dxa"/>
            <w:vAlign w:val="bottom"/>
            <w:shd w:val="clear" w:color="auto" w:fill="E0E0E0"/>
          </w:tcPr>
          <w:p>
            <w:pPr>
              <w:jc w:val="right"/>
              <w:ind w:right="253"/>
              <w:spacing w:after="0"/>
              <w:rPr>
                <w:sz w:val="20"/>
                <w:szCs w:val="20"/>
                <w:color w:val="auto"/>
              </w:rPr>
            </w:pPr>
            <w:r>
              <w:rPr>
                <w:rFonts w:ascii="Arial" w:cs="Arial" w:eastAsia="Arial" w:hAnsi="Arial"/>
                <w:sz w:val="18"/>
                <w:szCs w:val="18"/>
                <w:color w:val="auto"/>
              </w:rPr>
              <w:t>119,968</w:t>
            </w:r>
          </w:p>
        </w:tc>
        <w:tc>
          <w:tcPr>
            <w:tcW w:w="1760" w:type="dxa"/>
            <w:vAlign w:val="bottom"/>
            <w:shd w:val="clear" w:color="auto" w:fill="E0E0E0"/>
          </w:tcPr>
          <w:p>
            <w:pPr>
              <w:jc w:val="right"/>
              <w:ind w:right="433"/>
              <w:spacing w:after="0"/>
              <w:rPr>
                <w:sz w:val="20"/>
                <w:szCs w:val="20"/>
                <w:color w:val="auto"/>
              </w:rPr>
            </w:pPr>
            <w:r>
              <w:rPr>
                <w:rFonts w:ascii="Arial" w:cs="Arial" w:eastAsia="Arial" w:hAnsi="Arial"/>
                <w:sz w:val="18"/>
                <w:szCs w:val="18"/>
                <w:color w:val="auto"/>
              </w:rPr>
              <w:t>6,431</w:t>
            </w:r>
          </w:p>
        </w:tc>
        <w:tc>
          <w:tcPr>
            <w:tcW w:w="580" w:type="dxa"/>
            <w:vAlign w:val="bottom"/>
            <w:shd w:val="clear" w:color="auto" w:fill="E0E0E0"/>
          </w:tcPr>
          <w:p>
            <w:pPr>
              <w:spacing w:after="0"/>
              <w:rPr>
                <w:sz w:val="24"/>
                <w:szCs w:val="24"/>
                <w:color w:val="auto"/>
              </w:rPr>
            </w:pPr>
          </w:p>
        </w:tc>
        <w:tc>
          <w:tcPr>
            <w:tcW w:w="1300" w:type="dxa"/>
            <w:vAlign w:val="bottom"/>
            <w:shd w:val="clear" w:color="auto" w:fill="E0E0E0"/>
          </w:tcPr>
          <w:p>
            <w:pPr>
              <w:jc w:val="right"/>
              <w:ind w:right="352"/>
              <w:spacing w:after="0"/>
              <w:rPr>
                <w:sz w:val="20"/>
                <w:szCs w:val="20"/>
                <w:color w:val="auto"/>
              </w:rPr>
            </w:pPr>
            <w:r>
              <w:rPr>
                <w:rFonts w:ascii="Arial" w:cs="Arial" w:eastAsia="Arial" w:hAnsi="Arial"/>
                <w:sz w:val="18"/>
                <w:szCs w:val="18"/>
                <w:color w:val="auto"/>
              </w:rPr>
              <w:t>216,399</w:t>
            </w:r>
          </w:p>
        </w:tc>
      </w:tr>
      <w:tr>
        <w:trPr>
          <w:trHeight w:val="263"/>
        </w:trPr>
        <w:tc>
          <w:tcPr>
            <w:tcW w:w="3340" w:type="dxa"/>
            <w:vAlign w:val="bottom"/>
          </w:tcPr>
          <w:p>
            <w:pPr>
              <w:ind w:left="100"/>
              <w:spacing w:after="0"/>
              <w:rPr>
                <w:sz w:val="20"/>
                <w:szCs w:val="20"/>
                <w:color w:val="auto"/>
              </w:rPr>
            </w:pPr>
            <w:r>
              <w:rPr>
                <w:rFonts w:ascii="Arial" w:cs="Arial" w:eastAsia="Arial" w:hAnsi="Arial"/>
                <w:sz w:val="18"/>
                <w:szCs w:val="18"/>
                <w:color w:val="auto"/>
              </w:rPr>
              <w:t>Barbara A. Niland</w:t>
            </w:r>
          </w:p>
        </w:tc>
        <w:tc>
          <w:tcPr>
            <w:tcW w:w="1120" w:type="dxa"/>
            <w:vAlign w:val="bottom"/>
          </w:tcPr>
          <w:p>
            <w:pPr>
              <w:spacing w:after="0"/>
              <w:rPr>
                <w:sz w:val="22"/>
                <w:szCs w:val="22"/>
                <w:color w:val="auto"/>
              </w:rPr>
            </w:pPr>
          </w:p>
        </w:tc>
        <w:tc>
          <w:tcPr>
            <w:tcW w:w="1440" w:type="dxa"/>
            <w:vAlign w:val="bottom"/>
          </w:tcPr>
          <w:p>
            <w:pPr>
              <w:jc w:val="right"/>
              <w:ind w:right="312"/>
              <w:spacing w:after="0"/>
              <w:rPr>
                <w:sz w:val="20"/>
                <w:szCs w:val="20"/>
                <w:color w:val="auto"/>
              </w:rPr>
            </w:pPr>
            <w:r>
              <w:rPr>
                <w:rFonts w:ascii="Arial" w:cs="Arial" w:eastAsia="Arial" w:hAnsi="Arial"/>
                <w:sz w:val="18"/>
                <w:szCs w:val="18"/>
                <w:color w:val="auto"/>
              </w:rPr>
              <w:t>90,000</w:t>
            </w:r>
          </w:p>
        </w:tc>
        <w:tc>
          <w:tcPr>
            <w:tcW w:w="600" w:type="dxa"/>
            <w:vAlign w:val="bottom"/>
          </w:tcPr>
          <w:p>
            <w:pPr>
              <w:spacing w:after="0"/>
              <w:rPr>
                <w:sz w:val="22"/>
                <w:szCs w:val="22"/>
                <w:color w:val="auto"/>
              </w:rPr>
            </w:pPr>
          </w:p>
        </w:tc>
        <w:tc>
          <w:tcPr>
            <w:tcW w:w="1280" w:type="dxa"/>
            <w:vAlign w:val="bottom"/>
          </w:tcPr>
          <w:p>
            <w:pPr>
              <w:jc w:val="right"/>
              <w:ind w:right="253"/>
              <w:spacing w:after="0"/>
              <w:rPr>
                <w:sz w:val="20"/>
                <w:szCs w:val="20"/>
                <w:color w:val="auto"/>
              </w:rPr>
            </w:pPr>
            <w:r>
              <w:rPr>
                <w:rFonts w:ascii="Arial" w:cs="Arial" w:eastAsia="Arial" w:hAnsi="Arial"/>
                <w:sz w:val="18"/>
                <w:szCs w:val="18"/>
                <w:color w:val="auto"/>
              </w:rPr>
              <w:t>119,968</w:t>
            </w:r>
          </w:p>
        </w:tc>
        <w:tc>
          <w:tcPr>
            <w:tcW w:w="1760" w:type="dxa"/>
            <w:vAlign w:val="bottom"/>
          </w:tcPr>
          <w:p>
            <w:pPr>
              <w:jc w:val="right"/>
              <w:ind w:right="433"/>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2"/>
                <w:szCs w:val="22"/>
                <w:color w:val="auto"/>
              </w:rPr>
            </w:pPr>
          </w:p>
        </w:tc>
        <w:tc>
          <w:tcPr>
            <w:tcW w:w="1300" w:type="dxa"/>
            <w:vAlign w:val="bottom"/>
          </w:tcPr>
          <w:p>
            <w:pPr>
              <w:jc w:val="right"/>
              <w:ind w:right="352"/>
              <w:spacing w:after="0"/>
              <w:rPr>
                <w:sz w:val="20"/>
                <w:szCs w:val="20"/>
                <w:color w:val="auto"/>
              </w:rPr>
            </w:pPr>
            <w:r>
              <w:rPr>
                <w:rFonts w:ascii="Arial" w:cs="Arial" w:eastAsia="Arial" w:hAnsi="Arial"/>
                <w:sz w:val="18"/>
                <w:szCs w:val="18"/>
                <w:color w:val="auto"/>
              </w:rPr>
              <w:t>209,968</w:t>
            </w:r>
          </w:p>
        </w:tc>
      </w:tr>
      <w:tr>
        <w:trPr>
          <w:trHeight w:val="277"/>
        </w:trPr>
        <w:tc>
          <w:tcPr>
            <w:tcW w:w="3340" w:type="dxa"/>
            <w:vAlign w:val="bottom"/>
            <w:shd w:val="clear" w:color="auto" w:fill="E0E0E0"/>
          </w:tcPr>
          <w:p>
            <w:pPr>
              <w:ind w:left="120"/>
              <w:spacing w:after="0"/>
              <w:rPr>
                <w:sz w:val="20"/>
                <w:szCs w:val="20"/>
                <w:color w:val="auto"/>
              </w:rPr>
            </w:pPr>
            <w:r>
              <w:rPr>
                <w:rFonts w:ascii="Arial" w:cs="Arial" w:eastAsia="Arial" w:hAnsi="Arial"/>
                <w:sz w:val="18"/>
                <w:szCs w:val="18"/>
                <w:color w:val="auto"/>
              </w:rPr>
              <w:t>Charles W. Pryor, Jr.</w:t>
            </w:r>
          </w:p>
        </w:tc>
        <w:tc>
          <w:tcPr>
            <w:tcW w:w="1120" w:type="dxa"/>
            <w:vAlign w:val="bottom"/>
            <w:shd w:val="clear" w:color="auto" w:fill="E0E0E0"/>
          </w:tcPr>
          <w:p>
            <w:pPr>
              <w:spacing w:after="0"/>
              <w:rPr>
                <w:sz w:val="24"/>
                <w:szCs w:val="24"/>
                <w:color w:val="auto"/>
              </w:rPr>
            </w:pPr>
          </w:p>
        </w:tc>
        <w:tc>
          <w:tcPr>
            <w:tcW w:w="1440" w:type="dxa"/>
            <w:vAlign w:val="bottom"/>
            <w:shd w:val="clear" w:color="auto" w:fill="E0E0E0"/>
          </w:tcPr>
          <w:p>
            <w:pPr>
              <w:jc w:val="right"/>
              <w:ind w:right="312"/>
              <w:spacing w:after="0"/>
              <w:rPr>
                <w:sz w:val="20"/>
                <w:szCs w:val="20"/>
                <w:color w:val="auto"/>
              </w:rPr>
            </w:pPr>
            <w:r>
              <w:rPr>
                <w:rFonts w:ascii="Arial" w:cs="Arial" w:eastAsia="Arial" w:hAnsi="Arial"/>
                <w:sz w:val="18"/>
                <w:szCs w:val="18"/>
                <w:color w:val="auto"/>
              </w:rPr>
              <w:t>105,000</w:t>
            </w:r>
          </w:p>
        </w:tc>
        <w:tc>
          <w:tcPr>
            <w:tcW w:w="600" w:type="dxa"/>
            <w:vAlign w:val="bottom"/>
            <w:shd w:val="clear" w:color="auto" w:fill="E0E0E0"/>
          </w:tcPr>
          <w:p>
            <w:pPr>
              <w:spacing w:after="0"/>
              <w:rPr>
                <w:sz w:val="24"/>
                <w:szCs w:val="24"/>
                <w:color w:val="auto"/>
              </w:rPr>
            </w:pPr>
          </w:p>
        </w:tc>
        <w:tc>
          <w:tcPr>
            <w:tcW w:w="1280" w:type="dxa"/>
            <w:vAlign w:val="bottom"/>
            <w:shd w:val="clear" w:color="auto" w:fill="E0E0E0"/>
          </w:tcPr>
          <w:p>
            <w:pPr>
              <w:jc w:val="right"/>
              <w:ind w:right="253"/>
              <w:spacing w:after="0"/>
              <w:rPr>
                <w:sz w:val="20"/>
                <w:szCs w:val="20"/>
                <w:color w:val="auto"/>
              </w:rPr>
            </w:pPr>
            <w:r>
              <w:rPr>
                <w:rFonts w:ascii="Arial" w:cs="Arial" w:eastAsia="Arial" w:hAnsi="Arial"/>
                <w:sz w:val="18"/>
                <w:szCs w:val="18"/>
                <w:color w:val="auto"/>
              </w:rPr>
              <w:t>119,968</w:t>
            </w:r>
          </w:p>
        </w:tc>
        <w:tc>
          <w:tcPr>
            <w:tcW w:w="1760" w:type="dxa"/>
            <w:vAlign w:val="bottom"/>
            <w:shd w:val="clear" w:color="auto" w:fill="E0E0E0"/>
          </w:tcPr>
          <w:p>
            <w:pPr>
              <w:jc w:val="right"/>
              <w:ind w:right="433"/>
              <w:spacing w:after="0"/>
              <w:rPr>
                <w:sz w:val="20"/>
                <w:szCs w:val="20"/>
                <w:color w:val="auto"/>
              </w:rPr>
            </w:pPr>
            <w:r>
              <w:rPr>
                <w:rFonts w:ascii="Arial" w:cs="Arial" w:eastAsia="Arial" w:hAnsi="Arial"/>
                <w:sz w:val="18"/>
                <w:szCs w:val="18"/>
                <w:color w:val="auto"/>
              </w:rPr>
              <w:t>2,346</w:t>
            </w:r>
          </w:p>
        </w:tc>
        <w:tc>
          <w:tcPr>
            <w:tcW w:w="580" w:type="dxa"/>
            <w:vAlign w:val="bottom"/>
            <w:shd w:val="clear" w:color="auto" w:fill="E0E0E0"/>
          </w:tcPr>
          <w:p>
            <w:pPr>
              <w:spacing w:after="0"/>
              <w:rPr>
                <w:sz w:val="24"/>
                <w:szCs w:val="24"/>
                <w:color w:val="auto"/>
              </w:rPr>
            </w:pPr>
          </w:p>
        </w:tc>
        <w:tc>
          <w:tcPr>
            <w:tcW w:w="1300" w:type="dxa"/>
            <w:vAlign w:val="bottom"/>
            <w:shd w:val="clear" w:color="auto" w:fill="E0E0E0"/>
          </w:tcPr>
          <w:p>
            <w:pPr>
              <w:jc w:val="right"/>
              <w:ind w:right="352"/>
              <w:spacing w:after="0"/>
              <w:rPr>
                <w:sz w:val="20"/>
                <w:szCs w:val="20"/>
                <w:color w:val="auto"/>
              </w:rPr>
            </w:pPr>
            <w:r>
              <w:rPr>
                <w:rFonts w:ascii="Arial" w:cs="Arial" w:eastAsia="Arial" w:hAnsi="Arial"/>
                <w:sz w:val="18"/>
                <w:szCs w:val="18"/>
                <w:color w:val="auto"/>
              </w:rPr>
              <w:t>227,314</w:t>
            </w:r>
          </w:p>
        </w:tc>
      </w:tr>
    </w:tbl>
    <w:p>
      <w:pPr>
        <w:spacing w:after="0" w:line="99" w:lineRule="exact"/>
        <w:rPr>
          <w:sz w:val="20"/>
          <w:szCs w:val="20"/>
          <w:color w:val="auto"/>
        </w:rPr>
      </w:pPr>
    </w:p>
    <w:p>
      <w:pPr>
        <w:ind w:left="460" w:hanging="330"/>
        <w:spacing w:after="0"/>
        <w:tabs>
          <w:tab w:leader="none" w:pos="460" w:val="left"/>
        </w:tabs>
        <w:numPr>
          <w:ilvl w:val="0"/>
          <w:numId w:val="57"/>
        </w:numPr>
        <w:rPr>
          <w:rFonts w:ascii="Arial" w:cs="Arial" w:eastAsia="Arial" w:hAnsi="Arial"/>
          <w:sz w:val="14"/>
          <w:szCs w:val="14"/>
          <w:i w:val="1"/>
          <w:iCs w:val="1"/>
          <w:color w:val="auto"/>
        </w:rPr>
      </w:pPr>
      <w:r>
        <w:rPr>
          <w:rFonts w:ascii="Arial" w:cs="Arial" w:eastAsia="Arial" w:hAnsi="Arial"/>
          <w:sz w:val="14"/>
          <w:szCs w:val="14"/>
          <w:i w:val="1"/>
          <w:iCs w:val="1"/>
          <w:color w:val="auto"/>
        </w:rPr>
        <w:t>See “Fees Earned or Paid in Cash” below for a discussion of the amounts reported in this column.</w:t>
      </w:r>
    </w:p>
    <w:p>
      <w:pPr>
        <w:spacing w:after="0" w:line="15" w:lineRule="exact"/>
        <w:rPr>
          <w:rFonts w:ascii="Arial" w:cs="Arial" w:eastAsia="Arial" w:hAnsi="Arial"/>
          <w:sz w:val="14"/>
          <w:szCs w:val="14"/>
          <w:i w:val="1"/>
          <w:iCs w:val="1"/>
          <w:color w:val="auto"/>
        </w:rPr>
      </w:pPr>
    </w:p>
    <w:p>
      <w:pPr>
        <w:ind w:left="460" w:hanging="330"/>
        <w:spacing w:after="0"/>
        <w:tabs>
          <w:tab w:leader="none" w:pos="460" w:val="left"/>
        </w:tabs>
        <w:numPr>
          <w:ilvl w:val="0"/>
          <w:numId w:val="57"/>
        </w:numPr>
        <w:rPr>
          <w:rFonts w:ascii="Arial" w:cs="Arial" w:eastAsia="Arial" w:hAnsi="Arial"/>
          <w:sz w:val="14"/>
          <w:szCs w:val="14"/>
          <w:i w:val="1"/>
          <w:iCs w:val="1"/>
          <w:color w:val="auto"/>
        </w:rPr>
      </w:pPr>
      <w:r>
        <w:rPr>
          <w:rFonts w:ascii="Arial" w:cs="Arial" w:eastAsia="Arial" w:hAnsi="Arial"/>
          <w:sz w:val="14"/>
          <w:szCs w:val="14"/>
          <w:i w:val="1"/>
          <w:iCs w:val="1"/>
          <w:color w:val="auto"/>
        </w:rPr>
        <w:t>See “Stock Awards” below for a discussion of the amounts reported in this column.</w:t>
      </w:r>
    </w:p>
    <w:p>
      <w:pPr>
        <w:spacing w:after="0" w:line="1" w:lineRule="exact"/>
        <w:rPr>
          <w:rFonts w:ascii="Arial" w:cs="Arial" w:eastAsia="Arial" w:hAnsi="Arial"/>
          <w:sz w:val="14"/>
          <w:szCs w:val="14"/>
          <w:i w:val="1"/>
          <w:iCs w:val="1"/>
          <w:color w:val="auto"/>
        </w:rPr>
      </w:pPr>
    </w:p>
    <w:p>
      <w:pPr>
        <w:ind w:left="460" w:hanging="330"/>
        <w:spacing w:after="0"/>
        <w:tabs>
          <w:tab w:leader="none" w:pos="460" w:val="left"/>
        </w:tabs>
        <w:numPr>
          <w:ilvl w:val="0"/>
          <w:numId w:val="57"/>
        </w:numPr>
        <w:rPr>
          <w:rFonts w:ascii="Arial" w:cs="Arial" w:eastAsia="Arial" w:hAnsi="Arial"/>
          <w:sz w:val="14"/>
          <w:szCs w:val="14"/>
          <w:i w:val="1"/>
          <w:iCs w:val="1"/>
          <w:color w:val="auto"/>
        </w:rPr>
      </w:pPr>
      <w:r>
        <w:rPr>
          <w:rFonts w:ascii="Arial" w:cs="Arial" w:eastAsia="Arial" w:hAnsi="Arial"/>
          <w:sz w:val="14"/>
          <w:szCs w:val="14"/>
          <w:i w:val="1"/>
          <w:iCs w:val="1"/>
          <w:color w:val="auto"/>
        </w:rPr>
        <w:t>See “All Other Compensation” below for a discussion of the amounts reported in this column.</w:t>
      </w:r>
    </w:p>
    <w:p>
      <w:pPr>
        <w:spacing w:after="0" w:line="239"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During 2017, non-employee director compensation generally consisted of cash and equity. The compensation of our non-employee directors under our current non-employee director compensation program is described in more detail below.</w:t>
      </w:r>
    </w:p>
    <w:p>
      <w:pPr>
        <w:spacing w:after="0" w:line="39"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Fees Earned or Paid in Cash</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our current director compensation program, non-employee directors are eligible to receive an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retainer of $90,000, paid in quarterly installments and pro-rated for partial terms.</w:t>
      </w:r>
    </w:p>
    <w:p>
      <w:pPr>
        <w:spacing w:after="0" w:line="4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chairs of Board committees and the Lead Independent Director receive additional annual retainers, paid in quarterly installments as follows (pro-rated for partial terms):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The chair of the Audit and Finance Committee: $20,000;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chair of each of the Compensation, Governance, and Safety and Security Committees: $15,000; and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Lead Independent Director: $25,000.</w:t>
      </w:r>
    </w:p>
    <w:p>
      <w:pPr>
        <w:spacing w:after="0" w:line="90"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Under our Supplemental Executive Retirement Plan (as amended and restated, “SERP”), directors may elect to defer the payment of up to 100% of their annual retainer and fees. Amounts elected to be deferred are credited as a bookkeeping entry into a notional account, which we refer to as a deferral account. The balance of a director’s deferral account consists of deferral contributions made by the director and hypothetical credited gains or losses attributable to investments elected by the director, or by our Compensation Committee if the director fails to make investment elections. Directors are 100% vested in their deferral accounts at all times. Ms. Bertsch, Admiral Mies and Messrs. Krieg, LeMasters and Nardelli elected to defer 100% of their retainer in 2017. No other director made a deferral election with respect to their retainer in 2017. Amounts reported in the Director Compensation Table include amounts deferred in 2017.</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2C2C2C"/>
        </w:rPr>
        <w:t xml:space="preserve">18 </w:t>
      </w:r>
      <w:r>
        <w:rPr>
          <w:sz w:val="1"/>
          <w:szCs w:val="1"/>
          <w:color w:val="auto"/>
        </w:rPr>
        <w:drawing>
          <wp:inline distT="0" distB="0" distL="0" distR="0">
            <wp:extent cx="445770" cy="18034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45770" cy="180340"/>
                    </a:xfrm>
                    <a:prstGeom prst="rect">
                      <a:avLst/>
                    </a:prstGeom>
                    <a:noFill/>
                    <a:ln>
                      <a:noFill/>
                    </a:ln>
                  </pic:spPr>
                </pic:pic>
              </a:graphicData>
            </a:graphic>
          </wp:inline>
        </w:drawing>
      </w:r>
      <w:r>
        <w:rPr>
          <w:rFonts w:ascii="Arial" w:cs="Arial" w:eastAsia="Arial" w:hAnsi="Arial"/>
          <w:sz w:val="18"/>
          <w:szCs w:val="18"/>
          <w:color w:val="auto"/>
        </w:rPr>
        <w:t xml:space="preserve"> 2018 PROXY STATEMENT</w:t>
      </w:r>
    </w:p>
    <w:p>
      <w:pPr>
        <w:sectPr>
          <w:pgSz w:w="11900" w:h="16838" w:orient="portrait"/>
          <w:cols w:equalWidth="0" w:num="1">
            <w:col w:w="11420"/>
          </w:cols>
          <w:pgMar w:left="240" w:top="125" w:right="239" w:bottom="1440" w:gutter="0" w:footer="0" w:header="0"/>
        </w:sectPr>
      </w:pPr>
    </w:p>
    <w:bookmarkStart w:id="27" w:name="page28"/>
    <w:bookmarkEnd w:id="27"/>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960"/>
        <w:spacing w:after="0"/>
        <w:rPr>
          <w:sz w:val="20"/>
          <w:szCs w:val="20"/>
          <w:color w:val="auto"/>
        </w:rPr>
      </w:pPr>
      <w:r>
        <w:rPr>
          <w:rFonts w:ascii="Arial" w:cs="Arial" w:eastAsia="Arial" w:hAnsi="Arial"/>
          <w:sz w:val="14"/>
          <w:szCs w:val="14"/>
          <w:color w:val="auto"/>
        </w:rPr>
        <w:t>COMPENSATION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Stock Awards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addition to the cash payments provided to our directors, each non -employee director was entitled to receive a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restricted stock units equal to $120,000 (prorated by quarter for partial terms) divided by the closing price of our common stock on the grant date, rounded down to the nearest whole share. The awards of restricted stock units were granted under our 2010 Long-Term Incentive Plan as amended and restated (the “2010 LTIP”) and vested immediately on the date of grant. As a result, all of our non-employee directors own stock in our company.</w:t>
      </w:r>
    </w:p>
    <w:p>
      <w:pPr>
        <w:spacing w:after="0" w:line="6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amounts reported in the “Stock Awards” column represent the grant date fair value computed in accordance with FASB ASC Topic 718. Grant date fair values are determined using the closing price of our common stock on the date of grant. Each non-employee director received an annual equity grant of 2,396 shares on May 4, 2017 with a grant date fair value of $119,968 based on the closing price of $50.07 per share. There were no unvested stock awards or unexercised option awards (whether or not exercisable) held by the non-employee directors as of December 31, 2017. No option awards were granted to directors in 2017.</w:t>
      </w:r>
    </w:p>
    <w:p>
      <w:pPr>
        <w:spacing w:after="0" w:line="70"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Under our 2010 LTIP, directors may elect to defer payment of all or a portion of their stock awards. Ms. Bertsch, Admiral Mies and Messrs. Jaska, Krieg, LeMasters, Nardelli and Pryor each elected to defer 100% of their 2017 stock awards. Amounts reported in the Director Compensation Table include amounts deferred in 2017.</w:t>
      </w:r>
    </w:p>
    <w:p>
      <w:pPr>
        <w:spacing w:after="0" w:line="126" w:lineRule="exact"/>
        <w:rPr>
          <w:sz w:val="20"/>
          <w:szCs w:val="20"/>
          <w:color w:val="auto"/>
        </w:rPr>
      </w:pPr>
    </w:p>
    <w:p>
      <w:pPr>
        <w:ind w:right="380"/>
        <w:spacing w:after="0" w:line="269" w:lineRule="auto"/>
        <w:rPr>
          <w:sz w:val="20"/>
          <w:szCs w:val="20"/>
          <w:color w:val="auto"/>
        </w:rPr>
      </w:pPr>
      <w:r>
        <w:rPr>
          <w:rFonts w:ascii="Arial" w:cs="Arial" w:eastAsia="Arial" w:hAnsi="Arial"/>
          <w:sz w:val="18"/>
          <w:szCs w:val="18"/>
          <w:b w:val="1"/>
          <w:bCs w:val="1"/>
          <w:i w:val="1"/>
          <w:iCs w:val="1"/>
          <w:color w:val="auto"/>
        </w:rPr>
        <w:t>All Other Compensation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amounts listed in this column represent the value of dividend equivalents credited to vested restricted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units that have been deferred pursuant to the terms of the 2010 LTIP. Dividend equivalents credited to deferred restricted stock units are subject to the same deferral period as the restricted stock units with respect to which the dividend equivalents are paid.</w:t>
      </w:r>
    </w:p>
    <w:p>
      <w:pPr>
        <w:spacing w:after="0" w:line="218" w:lineRule="exact"/>
        <w:rPr>
          <w:sz w:val="20"/>
          <w:szCs w:val="20"/>
          <w:color w:val="auto"/>
        </w:rPr>
      </w:pPr>
    </w:p>
    <w:p>
      <w:pPr>
        <w:jc w:val="right"/>
        <w:spacing w:after="0"/>
        <w:rPr>
          <w:sz w:val="20"/>
          <w:szCs w:val="20"/>
          <w:color w:val="auto"/>
        </w:rPr>
      </w:pPr>
      <w:r>
        <w:rPr>
          <w:sz w:val="1"/>
          <w:szCs w:val="1"/>
          <w:color w:val="auto"/>
        </w:rPr>
        <w:drawing>
          <wp:inline distT="0" distB="0" distL="0" distR="0">
            <wp:extent cx="488950" cy="20574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88950" cy="205740"/>
                    </a:xfrm>
                    <a:prstGeom prst="rect">
                      <a:avLst/>
                    </a:prstGeom>
                    <a:noFill/>
                    <a:ln>
                      <a:noFill/>
                    </a:ln>
                  </pic:spPr>
                </pic:pic>
              </a:graphicData>
            </a:graphic>
          </wp:inline>
        </w:drawing>
      </w:r>
      <w:r>
        <w:rPr>
          <w:rFonts w:ascii="Arial" w:cs="Arial" w:eastAsia="Arial" w:hAnsi="Arial"/>
          <w:sz w:val="18"/>
          <w:szCs w:val="18"/>
          <w:color w:val="auto"/>
        </w:rPr>
        <w:t xml:space="preserve"> 2018 PROXY STATEMENT </w:t>
      </w:r>
      <w:r>
        <w:rPr>
          <w:rFonts w:ascii="Arial" w:cs="Arial" w:eastAsia="Arial" w:hAnsi="Arial"/>
          <w:sz w:val="18"/>
          <w:szCs w:val="18"/>
          <w:b w:val="1"/>
          <w:bCs w:val="1"/>
          <w:color w:val="2C2C2C"/>
        </w:rPr>
        <w:t>19</w:t>
      </w:r>
    </w:p>
    <w:p>
      <w:pPr>
        <w:sectPr>
          <w:pgSz w:w="11900" w:h="16838" w:orient="portrait"/>
          <w:cols w:equalWidth="0" w:num="1">
            <w:col w:w="11420"/>
          </w:cols>
          <w:pgMar w:left="240" w:top="125" w:right="239" w:bottom="1440" w:gutter="0" w:footer="0" w:header="0"/>
        </w:sectPr>
      </w:pPr>
    </w:p>
    <w:bookmarkStart w:id="28" w:name="page29"/>
    <w:bookmarkEnd w:id="28"/>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8360"/>
        <w:spacing w:after="0"/>
        <w:rPr>
          <w:sz w:val="20"/>
          <w:szCs w:val="20"/>
          <w:color w:val="auto"/>
        </w:rPr>
      </w:pPr>
      <w:r>
        <w:rPr>
          <w:rFonts w:ascii="Arial" w:cs="Arial" w:eastAsia="Arial" w:hAnsi="Arial"/>
          <w:sz w:val="14"/>
          <w:szCs w:val="14"/>
          <w:color w:val="auto"/>
        </w:rPr>
        <w:t>NAMED EXECUTIVE PROFILES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NAMED EXECUTIVE PROFILES</w:t>
      </w:r>
    </w:p>
    <w:p>
      <w:pPr>
        <w:spacing w:after="0" w:line="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following profiles provide summary information regarding the experience of our Chief Executive Officer, our Chief Financial Officer and our three other most highly compensated executive officers who were employed by BWXT as of December 31, 2017. The Named Executive profiles provide biographical information, including age as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94615</wp:posOffset>
            </wp:positionV>
            <wp:extent cx="1252220" cy="14833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52220" cy="148336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p>
      <w:pPr>
        <w:spacing w:after="0" w:line="244" w:lineRule="exact"/>
        <w:rPr>
          <w:sz w:val="20"/>
          <w:szCs w:val="20"/>
          <w:color w:val="auto"/>
        </w:rPr>
      </w:pPr>
    </w:p>
    <w:p>
      <w:pPr>
        <w:ind w:left="2880"/>
        <w:spacing w:after="0"/>
        <w:rPr>
          <w:sz w:val="20"/>
          <w:szCs w:val="20"/>
          <w:color w:val="auto"/>
        </w:rPr>
      </w:pPr>
      <w:r>
        <w:rPr>
          <w:rFonts w:ascii="Arial" w:cs="Arial" w:eastAsia="Arial" w:hAnsi="Arial"/>
          <w:sz w:val="14"/>
          <w:szCs w:val="14"/>
          <w:b w:val="1"/>
          <w:bCs w:val="1"/>
          <w:color w:val="auto"/>
        </w:rPr>
        <w:t>Professional Highlights:</w:t>
      </w:r>
    </w:p>
    <w:p>
      <w:pPr>
        <w:spacing w:after="0" w:line="19" w:lineRule="exact"/>
        <w:rPr>
          <w:sz w:val="20"/>
          <w:szCs w:val="20"/>
          <w:color w:val="auto"/>
        </w:rPr>
      </w:pPr>
    </w:p>
    <w:p>
      <w:pPr>
        <w:ind w:left="2880" w:right="20" w:firstLine="5"/>
        <w:spacing w:after="0" w:line="241" w:lineRule="auto"/>
        <w:tabs>
          <w:tab w:leader="none" w:pos="3042" w:val="left"/>
        </w:tabs>
        <w:numPr>
          <w:ilvl w:val="0"/>
          <w:numId w:val="58"/>
        </w:numPr>
        <w:rPr>
          <w:rFonts w:ascii="Arial" w:cs="Arial" w:eastAsia="Arial" w:hAnsi="Arial"/>
          <w:sz w:val="14"/>
          <w:szCs w:val="14"/>
          <w:color w:val="auto"/>
        </w:rPr>
      </w:pPr>
      <w:r>
        <w:rPr>
          <w:rFonts w:ascii="Arial" w:cs="Arial" w:eastAsia="Arial" w:hAnsi="Arial"/>
          <w:sz w:val="14"/>
          <w:szCs w:val="14"/>
          <w:color w:val="auto"/>
        </w:rPr>
        <w:t>Mr. Geveden currently serves as President and Chief Executive Officer since January 1, 2017, and also served as our Chief Operating Officer from October 2015 until December 2016.</w:t>
      </w:r>
    </w:p>
    <w:p>
      <w:pPr>
        <w:spacing w:after="0" w:line="1" w:lineRule="exact"/>
        <w:rPr>
          <w:rFonts w:ascii="Arial" w:cs="Arial" w:eastAsia="Arial" w:hAnsi="Arial"/>
          <w:sz w:val="14"/>
          <w:szCs w:val="14"/>
          <w:color w:val="auto"/>
        </w:rPr>
      </w:pPr>
    </w:p>
    <w:p>
      <w:pPr>
        <w:ind w:left="2880" w:right="20" w:firstLine="5"/>
        <w:spacing w:after="0" w:line="243" w:lineRule="auto"/>
        <w:tabs>
          <w:tab w:leader="none" w:pos="3042" w:val="left"/>
        </w:tabs>
        <w:numPr>
          <w:ilvl w:val="0"/>
          <w:numId w:val="58"/>
        </w:numPr>
        <w:rPr>
          <w:rFonts w:ascii="Arial" w:cs="Arial" w:eastAsia="Arial" w:hAnsi="Arial"/>
          <w:sz w:val="14"/>
          <w:szCs w:val="14"/>
          <w:color w:val="auto"/>
        </w:rPr>
      </w:pPr>
      <w:r>
        <w:rPr>
          <w:rFonts w:ascii="Arial" w:cs="Arial" w:eastAsia="Arial" w:hAnsi="Arial"/>
          <w:sz w:val="14"/>
          <w:szCs w:val="14"/>
          <w:color w:val="auto"/>
        </w:rPr>
        <w:t>Previously, Mr. Geveden was Executive Vice President at Teledyne Technologies Incorporated ("Teledyne"), a provider of electronic subsystems and instrumentation for aerospace, defense and other uses. There he led two of Teledyne's four operating segments since 2013, and concurrently served as President of Teledyne DALSA, Inc., a Teledyne subsidiary, since 2014. Mr. Geveden also served as President and Chief Executive Officer of Teledyne Scientific and Imaging, LLC (2011 to 2013) and President of both Teledyne Brown Engineering, Inc. and Teledyne's Engineered Systems Segment (2007 to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663700" cy="2660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663700" cy="266065"/>
                    </a:xfrm>
                    <a:prstGeom prst="rect">
                      <a:avLst/>
                    </a:prstGeom>
                    <a:noFill/>
                  </pic:spPr>
                </pic:pic>
              </a:graphicData>
            </a:graphic>
          </wp:anchor>
        </w:drawing>
      </w:r>
    </w:p>
    <w:p>
      <w:pPr>
        <w:spacing w:after="0" w:line="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REX D. GEVEDEN</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166370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663700" cy="171450"/>
                    </a:xfrm>
                    <a:prstGeom prst="rect">
                      <a:avLst/>
                    </a:prstGeom>
                    <a:noFill/>
                  </pic:spPr>
                </pic:pic>
              </a:graphicData>
            </a:graphic>
          </wp:anchor>
        </w:drawing>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Tenure with BWXT: 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1663700" cy="2400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663700" cy="240030"/>
                    </a:xfrm>
                    <a:prstGeom prst="rect">
                      <a:avLst/>
                    </a:prstGeom>
                    <a:noFill/>
                  </pic:spPr>
                </pic:pic>
              </a:graphicData>
            </a:graphic>
          </wp:anchor>
        </w:drawing>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President, Chief Executive Officer</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117475</wp:posOffset>
            </wp:positionV>
            <wp:extent cx="1252220" cy="14833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52220" cy="1483360"/>
                    </a:xfrm>
                    <a:prstGeom prst="rect">
                      <a:avLst/>
                    </a:prstGeom>
                    <a:noFill/>
                  </pic:spPr>
                </pic:pic>
              </a:graphicData>
            </a:graphic>
          </wp:anchor>
        </w:drawing>
      </w:r>
    </w:p>
    <w:p>
      <w:pPr>
        <w:spacing w:after="0" w:line="260" w:lineRule="exact"/>
        <w:rPr>
          <w:sz w:val="20"/>
          <w:szCs w:val="20"/>
          <w:color w:val="auto"/>
        </w:rPr>
      </w:pPr>
    </w:p>
    <w:p>
      <w:pPr>
        <w:ind w:left="2880"/>
        <w:spacing w:after="0"/>
        <w:rPr>
          <w:sz w:val="20"/>
          <w:szCs w:val="20"/>
          <w:color w:val="auto"/>
        </w:rPr>
      </w:pPr>
      <w:r>
        <w:rPr>
          <w:rFonts w:ascii="Arial" w:cs="Arial" w:eastAsia="Arial" w:hAnsi="Arial"/>
          <w:sz w:val="14"/>
          <w:szCs w:val="14"/>
          <w:b w:val="1"/>
          <w:bCs w:val="1"/>
          <w:color w:val="auto"/>
        </w:rPr>
        <w:t>Professional Highlights:</w:t>
      </w:r>
    </w:p>
    <w:p>
      <w:pPr>
        <w:spacing w:after="0" w:line="19" w:lineRule="exact"/>
        <w:rPr>
          <w:sz w:val="20"/>
          <w:szCs w:val="20"/>
          <w:color w:val="auto"/>
        </w:rPr>
      </w:pPr>
    </w:p>
    <w:p>
      <w:pPr>
        <w:ind w:left="2880" w:right="140" w:firstLine="5"/>
        <w:spacing w:after="0" w:line="241" w:lineRule="auto"/>
        <w:tabs>
          <w:tab w:leader="none" w:pos="3042" w:val="left"/>
        </w:tabs>
        <w:numPr>
          <w:ilvl w:val="0"/>
          <w:numId w:val="59"/>
        </w:numPr>
        <w:rPr>
          <w:rFonts w:ascii="Arial" w:cs="Arial" w:eastAsia="Arial" w:hAnsi="Arial"/>
          <w:sz w:val="14"/>
          <w:szCs w:val="14"/>
          <w:color w:val="auto"/>
        </w:rPr>
      </w:pPr>
      <w:r>
        <w:rPr>
          <w:rFonts w:ascii="Arial" w:cs="Arial" w:eastAsia="Arial" w:hAnsi="Arial"/>
          <w:sz w:val="14"/>
          <w:szCs w:val="14"/>
          <w:color w:val="auto"/>
        </w:rPr>
        <w:t>Mr. Black was appointed as Senior Vice President and Chief Financial Officer upon the completion of our spin-off in</w:t>
      </w:r>
    </w:p>
    <w:p>
      <w:pPr>
        <w:ind w:left="2880" w:right="260"/>
        <w:spacing w:after="0" w:line="241" w:lineRule="auto"/>
        <w:rPr>
          <w:rFonts w:ascii="Arial" w:cs="Arial" w:eastAsia="Arial" w:hAnsi="Arial"/>
          <w:sz w:val="14"/>
          <w:szCs w:val="14"/>
          <w:color w:val="auto"/>
        </w:rPr>
      </w:pPr>
      <w:r>
        <w:rPr>
          <w:rFonts w:ascii="Arial" w:cs="Arial" w:eastAsia="Arial" w:hAnsi="Arial"/>
          <w:sz w:val="14"/>
          <w:szCs w:val="14"/>
          <w:color w:val="auto"/>
        </w:rPr>
        <w:t>June 2015 and prior to that served as our Vice President and Chief Accounting Officer since July 2010.</w:t>
      </w:r>
    </w:p>
    <w:p>
      <w:pPr>
        <w:ind w:left="2880" w:right="180" w:firstLine="5"/>
        <w:spacing w:after="0" w:line="250" w:lineRule="auto"/>
        <w:tabs>
          <w:tab w:leader="none" w:pos="3042" w:val="left"/>
        </w:tabs>
        <w:numPr>
          <w:ilvl w:val="0"/>
          <w:numId w:val="59"/>
        </w:numPr>
        <w:rPr>
          <w:rFonts w:ascii="Arial" w:cs="Arial" w:eastAsia="Arial" w:hAnsi="Arial"/>
          <w:sz w:val="14"/>
          <w:szCs w:val="14"/>
          <w:color w:val="auto"/>
        </w:rPr>
      </w:pPr>
      <w:r>
        <w:rPr>
          <w:rFonts w:ascii="Arial" w:cs="Arial" w:eastAsia="Arial" w:hAnsi="Arial"/>
          <w:sz w:val="14"/>
          <w:szCs w:val="14"/>
          <w:color w:val="auto"/>
        </w:rPr>
        <w:t>Previously, Mr. Black served as our Vice President and Controller (2007 to 2010) and Vice President and Controller of our Government Group (2003 to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594995</wp:posOffset>
            </wp:positionV>
            <wp:extent cx="1663700" cy="2400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66370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DAVID S. BLACK</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Age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166370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663700" cy="171450"/>
                    </a:xfrm>
                    <a:prstGeom prst="rect">
                      <a:avLst/>
                    </a:prstGeom>
                    <a:noFill/>
                  </pic:spPr>
                </pic:pic>
              </a:graphicData>
            </a:graphic>
          </wp:anchor>
        </w:drawing>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Tenure with BWXT: 27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1663700" cy="2660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663700" cy="266065"/>
                    </a:xfrm>
                    <a:prstGeom prst="rect">
                      <a:avLst/>
                    </a:prstGeom>
                    <a:noFill/>
                  </pic:spPr>
                </pic:pic>
              </a:graphicData>
            </a:graphic>
          </wp:anchor>
        </w:drawing>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Senior Vice President and Chief</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117475</wp:posOffset>
            </wp:positionV>
            <wp:extent cx="1252220" cy="14833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52220" cy="1483360"/>
                    </a:xfrm>
                    <a:prstGeom prst="rect">
                      <a:avLst/>
                    </a:prstGeom>
                    <a:noFill/>
                  </pic:spPr>
                </pic:pic>
              </a:graphicData>
            </a:graphic>
          </wp:anchor>
        </w:drawing>
      </w:r>
    </w:p>
    <w:p>
      <w:pPr>
        <w:spacing w:after="0" w:line="260" w:lineRule="exact"/>
        <w:rPr>
          <w:sz w:val="20"/>
          <w:szCs w:val="20"/>
          <w:color w:val="auto"/>
        </w:rPr>
      </w:pPr>
    </w:p>
    <w:p>
      <w:pPr>
        <w:ind w:left="2880"/>
        <w:spacing w:after="0"/>
        <w:rPr>
          <w:sz w:val="20"/>
          <w:szCs w:val="20"/>
          <w:color w:val="auto"/>
        </w:rPr>
      </w:pPr>
      <w:r>
        <w:rPr>
          <w:rFonts w:ascii="Arial" w:cs="Arial" w:eastAsia="Arial" w:hAnsi="Arial"/>
          <w:sz w:val="14"/>
          <w:szCs w:val="14"/>
          <w:b w:val="1"/>
          <w:bCs w:val="1"/>
          <w:color w:val="auto"/>
        </w:rPr>
        <w:t>Professional Highlights:</w:t>
      </w:r>
    </w:p>
    <w:p>
      <w:pPr>
        <w:spacing w:after="0" w:line="19" w:lineRule="exact"/>
        <w:rPr>
          <w:sz w:val="20"/>
          <w:szCs w:val="20"/>
          <w:color w:val="auto"/>
        </w:rPr>
      </w:pPr>
    </w:p>
    <w:p>
      <w:pPr>
        <w:ind w:left="2880" w:right="40" w:firstLine="5"/>
        <w:spacing w:after="0" w:line="241" w:lineRule="auto"/>
        <w:tabs>
          <w:tab w:leader="none" w:pos="3042" w:val="left"/>
        </w:tabs>
        <w:numPr>
          <w:ilvl w:val="0"/>
          <w:numId w:val="60"/>
        </w:numPr>
        <w:rPr>
          <w:rFonts w:ascii="Arial" w:cs="Arial" w:eastAsia="Arial" w:hAnsi="Arial"/>
          <w:sz w:val="14"/>
          <w:szCs w:val="14"/>
          <w:color w:val="auto"/>
        </w:rPr>
      </w:pPr>
      <w:r>
        <w:rPr>
          <w:rFonts w:ascii="Arial" w:cs="Arial" w:eastAsia="Arial" w:hAnsi="Arial"/>
          <w:sz w:val="14"/>
          <w:szCs w:val="14"/>
          <w:color w:val="auto"/>
        </w:rPr>
        <w:t>Mr. Fees is the Executive Chairman of our Board of Directors and has served in that capacity since the June 2015 spin-off. Previously, he served as our non-Executive Chairman since July 2010.</w:t>
      </w:r>
    </w:p>
    <w:p>
      <w:pPr>
        <w:spacing w:after="0" w:line="1" w:lineRule="exact"/>
        <w:rPr>
          <w:rFonts w:ascii="Arial" w:cs="Arial" w:eastAsia="Arial" w:hAnsi="Arial"/>
          <w:sz w:val="14"/>
          <w:szCs w:val="14"/>
          <w:color w:val="auto"/>
        </w:rPr>
      </w:pPr>
    </w:p>
    <w:p>
      <w:pPr>
        <w:ind w:left="2880" w:firstLine="5"/>
        <w:spacing w:after="0" w:line="245" w:lineRule="auto"/>
        <w:tabs>
          <w:tab w:leader="none" w:pos="3042" w:val="left"/>
        </w:tabs>
        <w:numPr>
          <w:ilvl w:val="0"/>
          <w:numId w:val="60"/>
        </w:numPr>
        <w:rPr>
          <w:rFonts w:ascii="Arial" w:cs="Arial" w:eastAsia="Arial" w:hAnsi="Arial"/>
          <w:sz w:val="14"/>
          <w:szCs w:val="14"/>
          <w:color w:val="auto"/>
        </w:rPr>
      </w:pPr>
      <w:r>
        <w:rPr>
          <w:rFonts w:ascii="Arial" w:cs="Arial" w:eastAsia="Arial" w:hAnsi="Arial"/>
          <w:sz w:val="14"/>
          <w:szCs w:val="14"/>
          <w:color w:val="auto"/>
        </w:rPr>
        <w:t>From October 2008 to July 2010, he was Chief Executive Officer and a director of McDermott, our former parent company, where he led the company and McDermott’s board through the separation of the company into two publicly traded companies by the spin-off of BWXT to McDermott’s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1663700" cy="2400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66370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JOHN A. FEES</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1663700" cy="3429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663700" cy="342900"/>
                    </a:xfrm>
                    <a:prstGeom prst="rect">
                      <a:avLst/>
                    </a:prstGeom>
                    <a:noFill/>
                  </pic:spPr>
                </pic:pic>
              </a:graphicData>
            </a:graphic>
          </wp:anchor>
        </w:drawing>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Tenure with BWXT:</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39 years (including as a non-</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employee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166370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663700" cy="171450"/>
                    </a:xfrm>
                    <a:prstGeom prst="rect">
                      <a:avLst/>
                    </a:prstGeom>
                    <a:noFill/>
                  </pic:spPr>
                </pic:pic>
              </a:graphicData>
            </a:graphic>
          </wp:anchor>
        </w:drawing>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Executive Chairman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jc w:val="both"/>
        <w:ind w:left="7" w:right="80" w:firstLine="155"/>
        <w:spacing w:after="0" w:line="241" w:lineRule="auto"/>
        <w:tabs>
          <w:tab w:leader="none" w:pos="331" w:val="left"/>
        </w:tabs>
        <w:numPr>
          <w:ilvl w:val="0"/>
          <w:numId w:val="61"/>
        </w:numPr>
        <w:rPr>
          <w:rFonts w:ascii="Arial" w:cs="Arial" w:eastAsia="Arial" w:hAnsi="Arial"/>
          <w:sz w:val="14"/>
          <w:szCs w:val="14"/>
          <w:color w:val="auto"/>
        </w:rPr>
      </w:pPr>
      <w:r>
        <w:rPr>
          <w:rFonts w:ascii="Arial" w:cs="Arial" w:eastAsia="Arial" w:hAnsi="Arial"/>
          <w:sz w:val="14"/>
          <w:szCs w:val="14"/>
          <w:color w:val="auto"/>
        </w:rPr>
        <w:t>Mr. Geveden is a former Associate Administrator of NASA, where he was responsible for all technical operations within the agency's $16 billion portfolio and served in various other positions with NASA in a career spanning 17 years.</w:t>
      </w:r>
    </w:p>
    <w:p>
      <w:pPr>
        <w:spacing w:after="0" w:line="1" w:lineRule="exact"/>
        <w:rPr>
          <w:rFonts w:ascii="Arial" w:cs="Arial" w:eastAsia="Arial" w:hAnsi="Arial"/>
          <w:sz w:val="14"/>
          <w:szCs w:val="14"/>
          <w:color w:val="auto"/>
        </w:rPr>
      </w:pPr>
    </w:p>
    <w:p>
      <w:pPr>
        <w:ind w:left="7" w:right="80" w:firstLine="155"/>
        <w:spacing w:after="0" w:line="258" w:lineRule="auto"/>
        <w:tabs>
          <w:tab w:leader="none" w:pos="331" w:val="left"/>
        </w:tabs>
        <w:numPr>
          <w:ilvl w:val="0"/>
          <w:numId w:val="61"/>
        </w:numPr>
        <w:rPr>
          <w:rFonts w:ascii="Arial" w:cs="Arial" w:eastAsia="Arial" w:hAnsi="Arial"/>
          <w:sz w:val="14"/>
          <w:szCs w:val="14"/>
          <w:color w:val="auto"/>
        </w:rPr>
      </w:pPr>
      <w:r>
        <w:rPr>
          <w:rFonts w:ascii="Arial" w:cs="Arial" w:eastAsia="Arial" w:hAnsi="Arial"/>
          <w:sz w:val="14"/>
          <w:szCs w:val="14"/>
          <w:color w:val="auto"/>
        </w:rPr>
        <w:t>Mr. Geveden has been nominated to serve on the board of directors of TTM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7" w:right="40" w:firstLine="155"/>
        <w:spacing w:after="0" w:line="245" w:lineRule="auto"/>
        <w:tabs>
          <w:tab w:leader="none" w:pos="331" w:val="left"/>
        </w:tabs>
        <w:numPr>
          <w:ilvl w:val="0"/>
          <w:numId w:val="62"/>
        </w:numPr>
        <w:rPr>
          <w:rFonts w:ascii="Arial" w:cs="Arial" w:eastAsia="Arial" w:hAnsi="Arial"/>
          <w:sz w:val="14"/>
          <w:szCs w:val="14"/>
          <w:color w:val="auto"/>
        </w:rPr>
      </w:pPr>
      <w:r>
        <w:rPr>
          <w:rFonts w:ascii="Arial" w:cs="Arial" w:eastAsia="Arial" w:hAnsi="Arial"/>
          <w:sz w:val="14"/>
          <w:szCs w:val="14"/>
          <w:color w:val="auto"/>
        </w:rPr>
        <w:t>He joined BWXT in 1991 as General Accounting Manager for the Nuclear Environmental Services Division. Other positions he held with BWXT include Financial Services Manager for the ASD Service Center Division, Controller for BWXT Federal Services, Inc., and Controller for BWXT Services,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 w:right="100" w:hanging="7"/>
        <w:spacing w:after="0" w:line="241" w:lineRule="auto"/>
        <w:tabs>
          <w:tab w:leader="none" w:pos="169" w:val="left"/>
        </w:tabs>
        <w:numPr>
          <w:ilvl w:val="0"/>
          <w:numId w:val="63"/>
        </w:numPr>
        <w:rPr>
          <w:rFonts w:ascii="Arial" w:cs="Arial" w:eastAsia="Arial" w:hAnsi="Arial"/>
          <w:sz w:val="14"/>
          <w:szCs w:val="14"/>
          <w:color w:val="auto"/>
        </w:rPr>
      </w:pPr>
      <w:r>
        <w:rPr>
          <w:rFonts w:ascii="Arial" w:cs="Arial" w:eastAsia="Arial" w:hAnsi="Arial"/>
          <w:sz w:val="14"/>
          <w:szCs w:val="14"/>
          <w:color w:val="auto"/>
        </w:rPr>
        <w:t>Prior to becoming McDermott’s Chief Executive Officer in 2008, Mr. Fees led a distinguished career at BWXT for over 31 years. During his time with BWXT, Mr. Fees held numerous management and executive positions within BWXT when it was a McDermott subsidiary.</w:t>
      </w:r>
    </w:p>
    <w:p>
      <w:pPr>
        <w:spacing w:after="0" w:line="1" w:lineRule="exact"/>
        <w:rPr>
          <w:rFonts w:ascii="Arial" w:cs="Arial" w:eastAsia="Arial" w:hAnsi="Arial"/>
          <w:sz w:val="14"/>
          <w:szCs w:val="14"/>
          <w:color w:val="auto"/>
        </w:rPr>
      </w:pPr>
    </w:p>
    <w:p>
      <w:pPr>
        <w:ind w:left="7" w:right="500" w:hanging="7"/>
        <w:spacing w:after="0" w:line="258" w:lineRule="auto"/>
        <w:tabs>
          <w:tab w:leader="none" w:pos="169" w:val="left"/>
        </w:tabs>
        <w:numPr>
          <w:ilvl w:val="0"/>
          <w:numId w:val="63"/>
        </w:numPr>
        <w:rPr>
          <w:rFonts w:ascii="Arial" w:cs="Arial" w:eastAsia="Arial" w:hAnsi="Arial"/>
          <w:sz w:val="14"/>
          <w:szCs w:val="14"/>
          <w:color w:val="auto"/>
        </w:rPr>
      </w:pPr>
      <w:r>
        <w:rPr>
          <w:rFonts w:ascii="Arial" w:cs="Arial" w:eastAsia="Arial" w:hAnsi="Arial"/>
          <w:sz w:val="14"/>
          <w:szCs w:val="14"/>
          <w:color w:val="auto"/>
        </w:rPr>
        <w:t>Mr. Fees serves on the board of directors of Brookfield Infrastructure Partners.</w:t>
      </w:r>
    </w:p>
    <w:p>
      <w:pPr>
        <w:spacing w:after="0" w:line="2540" w:lineRule="exact"/>
        <w:rPr>
          <w:sz w:val="20"/>
          <w:szCs w:val="20"/>
          <w:color w:val="auto"/>
        </w:rPr>
      </w:pPr>
    </w:p>
    <w:p>
      <w:pPr>
        <w:sectPr>
          <w:pgSz w:w="11900" w:h="16838" w:orient="portrait"/>
          <w:cols w:equalWidth="0" w:num="2">
            <w:col w:w="7020" w:space="173"/>
            <w:col w:w="4127"/>
          </w:cols>
          <w:pgMar w:left="240" w:top="125" w:right="339" w:bottom="1440" w:gutter="0" w:footer="0" w:header="0"/>
          <w:type w:val="continuous"/>
        </w:sectPr>
      </w:pP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2C2C2C"/>
        </w:rPr>
        <w:t xml:space="preserve">20 </w:t>
      </w:r>
      <w:r>
        <w:rPr>
          <w:sz w:val="1"/>
          <w:szCs w:val="1"/>
          <w:color w:val="auto"/>
        </w:rPr>
        <w:drawing>
          <wp:inline distT="0" distB="0" distL="0" distR="0">
            <wp:extent cx="445770" cy="18034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45770" cy="180340"/>
                    </a:xfrm>
                    <a:prstGeom prst="rect">
                      <a:avLst/>
                    </a:prstGeom>
                    <a:noFill/>
                    <a:ln>
                      <a:noFill/>
                    </a:ln>
                  </pic:spPr>
                </pic:pic>
              </a:graphicData>
            </a:graphic>
          </wp:inline>
        </w:drawing>
      </w:r>
      <w:r>
        <w:rPr>
          <w:rFonts w:ascii="Arial" w:cs="Arial" w:eastAsia="Arial" w:hAnsi="Arial"/>
          <w:sz w:val="17"/>
          <w:szCs w:val="17"/>
          <w:color w:val="auto"/>
        </w:rPr>
        <w:t xml:space="preserve"> 2018 PROXY STATEMENT</w:t>
      </w:r>
    </w:p>
    <w:p>
      <w:pPr>
        <w:sectPr>
          <w:pgSz w:w="11900" w:h="16838" w:orient="portrait"/>
          <w:cols w:equalWidth="0" w:num="1">
            <w:col w:w="11320"/>
          </w:cols>
          <w:pgMar w:left="240" w:top="125" w:right="339" w:bottom="1440" w:gutter="0" w:footer="0" w:header="0"/>
          <w:type w:val="continuous"/>
        </w:sectPr>
      </w:pPr>
    </w:p>
    <w:bookmarkStart w:id="29" w:name="page30"/>
    <w:bookmarkEnd w:id="29"/>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left="960"/>
        <w:spacing w:after="0"/>
        <w:rPr>
          <w:sz w:val="20"/>
          <w:szCs w:val="20"/>
          <w:color w:val="auto"/>
        </w:rPr>
      </w:pPr>
      <w:r>
        <w:rPr>
          <w:rFonts w:ascii="Arial" w:cs="Arial" w:eastAsia="Arial" w:hAnsi="Arial"/>
          <w:sz w:val="14"/>
          <w:szCs w:val="14"/>
          <w:color w:val="auto"/>
        </w:rPr>
        <w:t>NAMED EXECUTIVE PROFILES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657860</wp:posOffset>
            </wp:positionV>
            <wp:extent cx="1252220" cy="14833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52220" cy="148336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920"/>
        <w:spacing w:after="0"/>
        <w:rPr>
          <w:sz w:val="20"/>
          <w:szCs w:val="20"/>
          <w:color w:val="auto"/>
        </w:rPr>
      </w:pPr>
      <w:r>
        <w:rPr>
          <w:rFonts w:ascii="Arial" w:cs="Arial" w:eastAsia="Arial" w:hAnsi="Arial"/>
          <w:sz w:val="14"/>
          <w:szCs w:val="14"/>
          <w:b w:val="1"/>
          <w:bCs w:val="1"/>
          <w:color w:val="auto"/>
        </w:rPr>
        <w:t>Professional Highlights:</w:t>
      </w:r>
    </w:p>
    <w:p>
      <w:pPr>
        <w:spacing w:after="0" w:line="19" w:lineRule="exact"/>
        <w:rPr>
          <w:sz w:val="20"/>
          <w:szCs w:val="20"/>
          <w:color w:val="auto"/>
        </w:rPr>
      </w:pPr>
    </w:p>
    <w:p>
      <w:pPr>
        <w:ind w:left="2920" w:right="60" w:hanging="8"/>
        <w:spacing w:after="0" w:line="241" w:lineRule="auto"/>
        <w:tabs>
          <w:tab w:leader="none" w:pos="3082" w:val="left"/>
        </w:tabs>
        <w:numPr>
          <w:ilvl w:val="0"/>
          <w:numId w:val="64"/>
        </w:numPr>
        <w:rPr>
          <w:rFonts w:ascii="Arial" w:cs="Arial" w:eastAsia="Arial" w:hAnsi="Arial"/>
          <w:sz w:val="14"/>
          <w:szCs w:val="14"/>
          <w:color w:val="auto"/>
        </w:rPr>
      </w:pPr>
      <w:r>
        <w:rPr>
          <w:rFonts w:ascii="Arial" w:cs="Arial" w:eastAsia="Arial" w:hAnsi="Arial"/>
          <w:sz w:val="14"/>
          <w:szCs w:val="14"/>
          <w:color w:val="auto"/>
        </w:rPr>
        <w:t>Mr. Canafax currently serves as Senior Vice President and General Counsel since July 2010, and, except for a period from August 2012 to May 2013, as our Corporate Secretary. Mr. Canafax has also served as our Chief Compliance Officer since 2013.</w:t>
      </w:r>
    </w:p>
    <w:p>
      <w:pPr>
        <w:spacing w:after="0" w:line="1" w:lineRule="exact"/>
        <w:rPr>
          <w:rFonts w:ascii="Arial" w:cs="Arial" w:eastAsia="Arial" w:hAnsi="Arial"/>
          <w:sz w:val="14"/>
          <w:szCs w:val="14"/>
          <w:color w:val="auto"/>
        </w:rPr>
      </w:pPr>
    </w:p>
    <w:p>
      <w:pPr>
        <w:jc w:val="both"/>
        <w:ind w:left="2920" w:hanging="8"/>
        <w:spacing w:after="0" w:line="250" w:lineRule="auto"/>
        <w:tabs>
          <w:tab w:leader="none" w:pos="3082" w:val="left"/>
        </w:tabs>
        <w:numPr>
          <w:ilvl w:val="0"/>
          <w:numId w:val="64"/>
        </w:numPr>
        <w:rPr>
          <w:rFonts w:ascii="Arial" w:cs="Arial" w:eastAsia="Arial" w:hAnsi="Arial"/>
          <w:sz w:val="14"/>
          <w:szCs w:val="14"/>
          <w:color w:val="auto"/>
        </w:rPr>
      </w:pPr>
      <w:r>
        <w:rPr>
          <w:rFonts w:ascii="Arial" w:cs="Arial" w:eastAsia="Arial" w:hAnsi="Arial"/>
          <w:sz w:val="14"/>
          <w:szCs w:val="14"/>
          <w:color w:val="auto"/>
        </w:rPr>
        <w:t>Previously, Mr. Canafax served as Assistant General Counsel - Transactions and Compliance at McDermott International, Inc. from 2007 until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492125</wp:posOffset>
            </wp:positionV>
            <wp:extent cx="1663700" cy="2660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66370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JAMES D. CANAFAX</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92075</wp:posOffset>
            </wp:positionV>
            <wp:extent cx="166370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663700" cy="171450"/>
                    </a:xfrm>
                    <a:prstGeom prst="rect">
                      <a:avLst/>
                    </a:prstGeom>
                    <a:noFill/>
                  </pic:spPr>
                </pic:pic>
              </a:graphicData>
            </a:graphic>
          </wp:anchor>
        </w:drawing>
      </w:r>
    </w:p>
    <w:p>
      <w:pPr>
        <w:spacing w:after="0" w:line="143"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Tenure with BWXT: 16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135255</wp:posOffset>
            </wp:positionV>
            <wp:extent cx="1663700" cy="3429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663700" cy="342900"/>
                    </a:xfrm>
                    <a:prstGeom prst="rect">
                      <a:avLst/>
                    </a:prstGeom>
                    <a:noFill/>
                  </pic:spPr>
                </pic:pic>
              </a:graphicData>
            </a:graphic>
          </wp:anchor>
        </w:drawing>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Senior Vice President, General</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Counsel, Chief Compliance Officer</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117475</wp:posOffset>
            </wp:positionV>
            <wp:extent cx="1252220" cy="14833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52220" cy="1483360"/>
                    </a:xfrm>
                    <a:prstGeom prst="rect">
                      <a:avLst/>
                    </a:prstGeom>
                    <a:noFill/>
                  </pic:spPr>
                </pic:pic>
              </a:graphicData>
            </a:graphic>
          </wp:anchor>
        </w:drawing>
      </w:r>
    </w:p>
    <w:p>
      <w:pPr>
        <w:spacing w:after="0" w:line="260" w:lineRule="exact"/>
        <w:rPr>
          <w:sz w:val="20"/>
          <w:szCs w:val="20"/>
          <w:color w:val="auto"/>
        </w:rPr>
      </w:pPr>
    </w:p>
    <w:p>
      <w:pPr>
        <w:ind w:left="2920"/>
        <w:spacing w:after="0"/>
        <w:rPr>
          <w:sz w:val="20"/>
          <w:szCs w:val="20"/>
          <w:color w:val="auto"/>
        </w:rPr>
      </w:pPr>
      <w:r>
        <w:rPr>
          <w:rFonts w:ascii="Arial" w:cs="Arial" w:eastAsia="Arial" w:hAnsi="Arial"/>
          <w:sz w:val="14"/>
          <w:szCs w:val="14"/>
          <w:b w:val="1"/>
          <w:bCs w:val="1"/>
          <w:color w:val="auto"/>
        </w:rPr>
        <w:t>Professional Highlights:</w:t>
      </w:r>
    </w:p>
    <w:p>
      <w:pPr>
        <w:spacing w:after="0" w:line="19" w:lineRule="exact"/>
        <w:rPr>
          <w:sz w:val="20"/>
          <w:szCs w:val="20"/>
          <w:color w:val="auto"/>
        </w:rPr>
      </w:pPr>
    </w:p>
    <w:p>
      <w:pPr>
        <w:ind w:left="2920" w:right="80" w:hanging="8"/>
        <w:spacing w:after="0" w:line="241" w:lineRule="auto"/>
        <w:tabs>
          <w:tab w:leader="none" w:pos="3082" w:val="left"/>
        </w:tabs>
        <w:numPr>
          <w:ilvl w:val="0"/>
          <w:numId w:val="65"/>
        </w:numPr>
        <w:rPr>
          <w:rFonts w:ascii="Arial" w:cs="Arial" w:eastAsia="Arial" w:hAnsi="Arial"/>
          <w:sz w:val="14"/>
          <w:szCs w:val="14"/>
          <w:color w:val="auto"/>
        </w:rPr>
      </w:pPr>
      <w:r>
        <w:rPr>
          <w:rFonts w:ascii="Arial" w:cs="Arial" w:eastAsia="Arial" w:hAnsi="Arial"/>
          <w:sz w:val="14"/>
          <w:szCs w:val="14"/>
          <w:color w:val="auto"/>
        </w:rPr>
        <w:t>Mr. Henry has served as the President of our subsidiary, BWXT Nuclear Operations Group, Inc. ("BWXT NOG"), overseeing our Nuclear Operations Group segment since June 2014 and prior to that time served as Chief Operating Officer of</w:t>
      </w:r>
    </w:p>
    <w:p>
      <w:pPr>
        <w:spacing w:after="0" w:line="1" w:lineRule="exact"/>
        <w:rPr>
          <w:rFonts w:ascii="Arial" w:cs="Arial" w:eastAsia="Arial" w:hAnsi="Arial"/>
          <w:sz w:val="14"/>
          <w:szCs w:val="14"/>
          <w:color w:val="auto"/>
        </w:rPr>
      </w:pPr>
    </w:p>
    <w:p>
      <w:pPr>
        <w:ind w:left="2920"/>
        <w:spacing w:after="0"/>
        <w:rPr>
          <w:rFonts w:ascii="Arial" w:cs="Arial" w:eastAsia="Arial" w:hAnsi="Arial"/>
          <w:sz w:val="14"/>
          <w:szCs w:val="14"/>
          <w:color w:val="auto"/>
        </w:rPr>
      </w:pPr>
      <w:r>
        <w:rPr>
          <w:rFonts w:ascii="Arial" w:cs="Arial" w:eastAsia="Arial" w:hAnsi="Arial"/>
          <w:sz w:val="14"/>
          <w:szCs w:val="14"/>
          <w:color w:val="auto"/>
        </w:rPr>
        <w:t>BWXT NOG.</w:t>
      </w:r>
    </w:p>
    <w:p>
      <w:pPr>
        <w:spacing w:after="0" w:line="1" w:lineRule="exact"/>
        <w:rPr>
          <w:rFonts w:ascii="Arial" w:cs="Arial" w:eastAsia="Arial" w:hAnsi="Arial"/>
          <w:sz w:val="14"/>
          <w:szCs w:val="14"/>
          <w:color w:val="auto"/>
        </w:rPr>
      </w:pPr>
    </w:p>
    <w:p>
      <w:pPr>
        <w:ind w:left="2920" w:right="280" w:hanging="8"/>
        <w:spacing w:after="0" w:line="241" w:lineRule="auto"/>
        <w:tabs>
          <w:tab w:leader="none" w:pos="3082" w:val="left"/>
        </w:tabs>
        <w:numPr>
          <w:ilvl w:val="0"/>
          <w:numId w:val="65"/>
        </w:numPr>
        <w:rPr>
          <w:rFonts w:ascii="Arial" w:cs="Arial" w:eastAsia="Arial" w:hAnsi="Arial"/>
          <w:sz w:val="14"/>
          <w:szCs w:val="14"/>
          <w:color w:val="auto"/>
        </w:rPr>
      </w:pPr>
      <w:r>
        <w:rPr>
          <w:rFonts w:ascii="Arial" w:cs="Arial" w:eastAsia="Arial" w:hAnsi="Arial"/>
          <w:sz w:val="14"/>
          <w:szCs w:val="14"/>
          <w:color w:val="auto"/>
        </w:rPr>
        <w:t>Mr. Henry previously served as President of Nuclear Fuel Services, Inc., one of our subsidiaries, from 2011 to 2014.</w:t>
      </w:r>
    </w:p>
    <w:p>
      <w:pPr>
        <w:ind w:left="2920" w:right="500" w:hanging="8"/>
        <w:spacing w:after="0" w:line="258" w:lineRule="auto"/>
        <w:tabs>
          <w:tab w:leader="none" w:pos="3082" w:val="left"/>
        </w:tabs>
        <w:numPr>
          <w:ilvl w:val="0"/>
          <w:numId w:val="65"/>
        </w:numPr>
        <w:rPr>
          <w:rFonts w:ascii="Arial" w:cs="Arial" w:eastAsia="Arial" w:hAnsi="Arial"/>
          <w:sz w:val="14"/>
          <w:szCs w:val="14"/>
          <w:color w:val="auto"/>
        </w:rPr>
      </w:pPr>
      <w:r>
        <w:rPr>
          <w:rFonts w:ascii="Arial" w:cs="Arial" w:eastAsia="Arial" w:hAnsi="Arial"/>
          <w:sz w:val="14"/>
          <w:szCs w:val="14"/>
          <w:color w:val="auto"/>
        </w:rPr>
        <w:t>He has more than 20 years of extensive management experience in engineering and nuclear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386080</wp:posOffset>
            </wp:positionV>
            <wp:extent cx="1663700" cy="2660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66370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Joseph G. Henry</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92075</wp:posOffset>
            </wp:positionV>
            <wp:extent cx="166370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663700" cy="171450"/>
                    </a:xfrm>
                    <a:prstGeom prst="rect">
                      <a:avLst/>
                    </a:prstGeom>
                    <a:noFill/>
                  </pic:spPr>
                </pic:pic>
              </a:graphicData>
            </a:graphic>
          </wp:anchor>
        </w:drawing>
      </w:r>
    </w:p>
    <w:p>
      <w:pPr>
        <w:spacing w:after="0" w:line="143"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Tenure with BWXT: 10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135255</wp:posOffset>
            </wp:positionV>
            <wp:extent cx="1663700" cy="2400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663700" cy="240030"/>
                    </a:xfrm>
                    <a:prstGeom prst="rect">
                      <a:avLst/>
                    </a:prstGeom>
                    <a:noFill/>
                  </pic:spPr>
                </pic:pic>
              </a:graphicData>
            </a:graphic>
          </wp:anchor>
        </w:drawing>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President, BWXT Nuclear Operations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2720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0" w:firstLine="162"/>
        <w:spacing w:after="0" w:line="241" w:lineRule="auto"/>
        <w:tabs>
          <w:tab w:leader="none" w:pos="324" w:val="left"/>
        </w:tabs>
        <w:numPr>
          <w:ilvl w:val="0"/>
          <w:numId w:val="66"/>
        </w:numPr>
        <w:rPr>
          <w:rFonts w:ascii="Arial" w:cs="Arial" w:eastAsia="Arial" w:hAnsi="Arial"/>
          <w:sz w:val="14"/>
          <w:szCs w:val="14"/>
          <w:color w:val="auto"/>
        </w:rPr>
      </w:pPr>
      <w:r>
        <w:rPr>
          <w:rFonts w:ascii="Arial" w:cs="Arial" w:eastAsia="Arial" w:hAnsi="Arial"/>
          <w:sz w:val="14"/>
          <w:szCs w:val="14"/>
          <w:color w:val="auto"/>
        </w:rPr>
        <w:t>Prior to our spin-off from McDermott, Mr. Canafax had been affiliated with McDermott since July 2001, where he served in various positions in the legal department.</w:t>
      </w:r>
    </w:p>
    <w:p>
      <w:pPr>
        <w:spacing w:after="0" w:line="1" w:lineRule="exact"/>
        <w:rPr>
          <w:rFonts w:ascii="Arial" w:cs="Arial" w:eastAsia="Arial" w:hAnsi="Arial"/>
          <w:sz w:val="14"/>
          <w:szCs w:val="14"/>
          <w:color w:val="auto"/>
        </w:rPr>
      </w:pPr>
    </w:p>
    <w:p>
      <w:pPr>
        <w:ind w:right="600" w:firstLine="162"/>
        <w:spacing w:after="0" w:line="258" w:lineRule="auto"/>
        <w:tabs>
          <w:tab w:leader="none" w:pos="324" w:val="left"/>
        </w:tabs>
        <w:numPr>
          <w:ilvl w:val="0"/>
          <w:numId w:val="66"/>
        </w:numPr>
        <w:rPr>
          <w:rFonts w:ascii="Arial" w:cs="Arial" w:eastAsia="Arial" w:hAnsi="Arial"/>
          <w:sz w:val="14"/>
          <w:szCs w:val="14"/>
          <w:color w:val="auto"/>
        </w:rPr>
      </w:pPr>
      <w:r>
        <w:rPr>
          <w:rFonts w:ascii="Arial" w:cs="Arial" w:eastAsia="Arial" w:hAnsi="Arial"/>
          <w:sz w:val="14"/>
          <w:szCs w:val="14"/>
          <w:color w:val="auto"/>
        </w:rPr>
        <w:t>Previously Mr. Canafax was an attorney with a New Orleans, Louisiana law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 w:firstLine="162"/>
        <w:spacing w:after="0" w:line="241" w:lineRule="auto"/>
        <w:tabs>
          <w:tab w:leader="none" w:pos="324" w:val="left"/>
        </w:tabs>
        <w:numPr>
          <w:ilvl w:val="0"/>
          <w:numId w:val="67"/>
        </w:numPr>
        <w:rPr>
          <w:rFonts w:ascii="Arial" w:cs="Arial" w:eastAsia="Arial" w:hAnsi="Arial"/>
          <w:sz w:val="14"/>
          <w:szCs w:val="14"/>
          <w:color w:val="auto"/>
        </w:rPr>
      </w:pPr>
      <w:r>
        <w:rPr>
          <w:rFonts w:ascii="Arial" w:cs="Arial" w:eastAsia="Arial" w:hAnsi="Arial"/>
          <w:sz w:val="14"/>
          <w:szCs w:val="14"/>
          <w:color w:val="auto"/>
        </w:rPr>
        <w:t>Mr. Henry is a retired Two-Star Admiral with the U.S. Navy, where he developed and executed the Navy's personnel strategy as the Navy's Director of Personnel Plans &amp; Policy.</w:t>
      </w:r>
    </w:p>
    <w:p>
      <w:pPr>
        <w:spacing w:after="0" w:line="1" w:lineRule="exact"/>
        <w:rPr>
          <w:rFonts w:ascii="Arial" w:cs="Arial" w:eastAsia="Arial" w:hAnsi="Arial"/>
          <w:sz w:val="14"/>
          <w:szCs w:val="14"/>
          <w:color w:val="auto"/>
        </w:rPr>
      </w:pPr>
    </w:p>
    <w:p>
      <w:pPr>
        <w:ind w:left="320" w:hanging="158"/>
        <w:spacing w:after="0" w:line="187" w:lineRule="auto"/>
        <w:tabs>
          <w:tab w:leader="none" w:pos="320" w:val="left"/>
        </w:tabs>
        <w:numPr>
          <w:ilvl w:val="0"/>
          <w:numId w:val="67"/>
        </w:numPr>
        <w:rPr>
          <w:rFonts w:ascii="Arial" w:cs="Arial" w:eastAsia="Arial" w:hAnsi="Arial"/>
          <w:sz w:val="18"/>
          <w:szCs w:val="18"/>
          <w:color w:val="auto"/>
        </w:rPr>
      </w:pPr>
      <w:r>
        <w:rPr>
          <w:rFonts w:ascii="Arial" w:cs="Arial" w:eastAsia="Arial" w:hAnsi="Arial"/>
          <w:sz w:val="14"/>
          <w:szCs w:val="14"/>
          <w:color w:val="auto"/>
        </w:rPr>
        <w:t>He also served as Commander of the nation's east coast</w:t>
      </w:r>
    </w:p>
    <w:p>
      <w:pPr>
        <w:spacing w:after="0" w:line="1" w:lineRule="exact"/>
        <w:rPr>
          <w:sz w:val="20"/>
          <w:szCs w:val="20"/>
          <w:color w:val="auto"/>
        </w:rPr>
      </w:pPr>
    </w:p>
    <w:p>
      <w:pPr>
        <w:ind w:right="80" w:firstLine="324"/>
        <w:spacing w:after="0" w:line="250" w:lineRule="auto"/>
        <w:rPr>
          <w:sz w:val="20"/>
          <w:szCs w:val="20"/>
          <w:color w:val="auto"/>
        </w:rPr>
      </w:pPr>
      <w:r>
        <w:rPr>
          <w:rFonts w:ascii="Arial" w:cs="Arial" w:eastAsia="Arial" w:hAnsi="Arial"/>
          <w:sz w:val="14"/>
          <w:szCs w:val="14"/>
          <w:color w:val="auto"/>
        </w:rPr>
        <w:t>Trident Submarines and commanded two nuclear submarines: the USS Key West SSN 722 and the USS Kentucky SSBN 737.</w:t>
      </w:r>
    </w:p>
    <w:p>
      <w:pPr>
        <w:spacing w:after="0" w:line="2477" w:lineRule="exact"/>
        <w:rPr>
          <w:sz w:val="20"/>
          <w:szCs w:val="20"/>
          <w:color w:val="auto"/>
        </w:rPr>
      </w:pPr>
    </w:p>
    <w:p>
      <w:pPr>
        <w:sectPr>
          <w:pgSz w:w="11900" w:h="16838" w:orient="portrait"/>
          <w:cols w:equalWidth="0" w:num="2">
            <w:col w:w="7000" w:space="220"/>
            <w:col w:w="4200"/>
          </w:cols>
          <w:pgMar w:left="240" w:top="125" w:right="23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EXECUTIVE OFFICER PROFILES</w:t>
      </w:r>
    </w:p>
    <w:p>
      <w:pPr>
        <w:spacing w:after="0" w:line="201"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Set forth below is the name, age as of the Annual Meeting, the principal positions held with BWXT or our subsidiaries, and other business experience information for each of our current executive officers other than our Named Executives. Unless otherwise indicated, all positions described below are positions with BWXT.</w:t>
      </w:r>
    </w:p>
    <w:p>
      <w:pPr>
        <w:spacing w:after="0" w:line="12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 xml:space="preserve">Jason S. Kerr, </w:t>
      </w:r>
      <w:r>
        <w:rPr>
          <w:rFonts w:ascii="Arial" w:cs="Arial" w:eastAsia="Arial" w:hAnsi="Arial"/>
          <w:sz w:val="18"/>
          <w:szCs w:val="18"/>
          <w:color w:val="auto"/>
        </w:rPr>
        <w:t>41, has served as our Vice President and Chief Accounting Officer since our June 2015 spin-off. Previously, Mr. Kerr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our Controller since April 2014, and as Assistant Controller since joining the Company in November 2010. Prior to joining the Company, Mr. Kerr served as a Senior Manager with Deloitte &amp; Touche LLP, a public accounting firm. Mr. Kerr is a certified public accountant with significant experience serving multi-national corporations, primarily in the manufacturing industry.</w:t>
      </w:r>
    </w:p>
    <w:p>
      <w:pPr>
        <w:spacing w:after="0" w:line="136"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b w:val="1"/>
          <w:bCs w:val="1"/>
          <w:color w:val="auto"/>
        </w:rPr>
        <w:t xml:space="preserve">Richard W. Loving, </w:t>
      </w:r>
      <w:r>
        <w:rPr>
          <w:rFonts w:ascii="Arial" w:cs="Arial" w:eastAsia="Arial" w:hAnsi="Arial"/>
          <w:sz w:val="18"/>
          <w:szCs w:val="18"/>
          <w:color w:val="auto"/>
        </w:rPr>
        <w:t>62, has served as our Senior Vice President, Human Resources, since July 2016. Prior to joining BWXT, Mr. Loving</w:t>
      </w:r>
      <w:r>
        <w:rPr>
          <w:rFonts w:ascii="Arial" w:cs="Arial" w:eastAsia="Arial" w:hAnsi="Arial"/>
          <w:sz w:val="18"/>
          <w:szCs w:val="18"/>
          <w:b w:val="1"/>
          <w:bCs w:val="1"/>
          <w:color w:val="auto"/>
        </w:rPr>
        <w:t xml:space="preserve"> </w:t>
      </w:r>
      <w:r>
        <w:rPr>
          <w:rFonts w:ascii="Arial" w:cs="Arial" w:eastAsia="Arial" w:hAnsi="Arial"/>
          <w:sz w:val="18"/>
          <w:szCs w:val="18"/>
          <w:color w:val="auto"/>
        </w:rPr>
        <w:t>served for 8 years as Senior Director, International Human Resources for McDermott International, Inc. ("McDermott"), responsible for the global delivery of human resources programs and services. He also served as Senior Director, Human Resources for the Middle East, India and Caspian regions for J. Ray McDermott, S.A. Dubai, U.A.E. and as McDermott's Global Director of Human Resources Business Services. Prior to joining McDermott, Mr. Loving held numerous management positions within BWXT for over 29 years when it was a McDermott subsidiary.</w:t>
      </w:r>
    </w:p>
    <w:p>
      <w:pPr>
        <w:spacing w:after="0" w:line="233" w:lineRule="exact"/>
        <w:rPr>
          <w:sz w:val="20"/>
          <w:szCs w:val="20"/>
          <w:color w:val="auto"/>
        </w:rPr>
      </w:pPr>
    </w:p>
    <w:p>
      <w:pPr>
        <w:jc w:val="right"/>
        <w:spacing w:after="0"/>
        <w:rPr>
          <w:sz w:val="20"/>
          <w:szCs w:val="20"/>
          <w:color w:val="auto"/>
        </w:rPr>
      </w:pPr>
      <w:r>
        <w:rPr>
          <w:sz w:val="1"/>
          <w:szCs w:val="1"/>
          <w:color w:val="auto"/>
        </w:rPr>
        <w:drawing>
          <wp:inline distT="0" distB="0" distL="0" distR="0">
            <wp:extent cx="488950" cy="20574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88950" cy="205740"/>
                    </a:xfrm>
                    <a:prstGeom prst="rect">
                      <a:avLst/>
                    </a:prstGeom>
                    <a:noFill/>
                    <a:ln>
                      <a:noFill/>
                    </a:ln>
                  </pic:spPr>
                </pic:pic>
              </a:graphicData>
            </a:graphic>
          </wp:inline>
        </w:drawing>
      </w:r>
      <w:r>
        <w:rPr>
          <w:rFonts w:ascii="Arial" w:cs="Arial" w:eastAsia="Arial" w:hAnsi="Arial"/>
          <w:sz w:val="18"/>
          <w:szCs w:val="18"/>
          <w:color w:val="auto"/>
        </w:rPr>
        <w:t xml:space="preserve"> 2018 PROXY STATEMENT </w:t>
      </w:r>
      <w:r>
        <w:rPr>
          <w:rFonts w:ascii="Arial" w:cs="Arial" w:eastAsia="Arial" w:hAnsi="Arial"/>
          <w:sz w:val="18"/>
          <w:szCs w:val="18"/>
          <w:b w:val="1"/>
          <w:bCs w:val="1"/>
          <w:color w:val="2C2C2C"/>
        </w:rPr>
        <w:t>21</w:t>
      </w:r>
    </w:p>
    <w:p>
      <w:pPr>
        <w:sectPr>
          <w:pgSz w:w="11900" w:h="16838" w:orient="portrait"/>
          <w:cols w:equalWidth="0" w:num="1">
            <w:col w:w="11420"/>
          </w:cols>
          <w:pgMar w:left="240" w:top="125" w:right="239" w:bottom="1440" w:gutter="0" w:footer="0" w:header="0"/>
          <w:type w:val="continuous"/>
        </w:sectPr>
      </w:pPr>
    </w:p>
    <w:bookmarkStart w:id="30" w:name="page31"/>
    <w:bookmarkEnd w:id="30"/>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6020"/>
        <w:spacing w:after="0"/>
        <w:rPr>
          <w:sz w:val="20"/>
          <w:szCs w:val="20"/>
          <w:color w:val="auto"/>
        </w:rPr>
      </w:pPr>
      <w:r>
        <w:rPr>
          <w:rFonts w:ascii="Arial" w:cs="Arial" w:eastAsia="Arial" w:hAnsi="Arial"/>
          <w:sz w:val="14"/>
          <w:szCs w:val="14"/>
          <w:color w:val="auto"/>
        </w:rPr>
        <w:t>PROPOSAL 2: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PROPOSAL 2: ADVISORY VOTE ON EXECUTIVE COMPENSATION</w:t>
      </w:r>
    </w:p>
    <w:p>
      <w:pPr>
        <w:spacing w:after="0" w:line="201" w:lineRule="exact"/>
        <w:rPr>
          <w:sz w:val="20"/>
          <w:szCs w:val="20"/>
          <w:color w:val="auto"/>
        </w:rPr>
      </w:pPr>
    </w:p>
    <w:p>
      <w:pPr>
        <w:jc w:val="both"/>
        <w:ind w:left="40" w:right="20"/>
        <w:spacing w:after="0"/>
        <w:rPr>
          <w:sz w:val="20"/>
          <w:szCs w:val="20"/>
          <w:color w:val="auto"/>
        </w:rPr>
      </w:pPr>
      <w:r>
        <w:rPr>
          <w:rFonts w:ascii="Arial" w:cs="Arial" w:eastAsia="Arial" w:hAnsi="Arial"/>
          <w:sz w:val="18"/>
          <w:szCs w:val="18"/>
          <w:color w:val="auto"/>
        </w:rPr>
        <w:t>In accordance with Section 14A of the Securities Exchange Act of 1934, as amended (the “Exchange Act”), we are asking stockholders to approve an advisory resolution on our executive compensation as reported in this proxy statement. Our Board has adopted a policy to hold annual advisory votes on executive compensation.</w:t>
      </w:r>
    </w:p>
    <w:p>
      <w:pPr>
        <w:spacing w:after="0" w:line="68" w:lineRule="exact"/>
        <w:rPr>
          <w:sz w:val="20"/>
          <w:szCs w:val="20"/>
          <w:color w:val="auto"/>
        </w:rPr>
      </w:pPr>
    </w:p>
    <w:p>
      <w:pPr>
        <w:jc w:val="both"/>
        <w:ind w:left="40" w:right="20"/>
        <w:spacing w:after="0"/>
        <w:rPr>
          <w:sz w:val="20"/>
          <w:szCs w:val="20"/>
          <w:color w:val="auto"/>
        </w:rPr>
      </w:pPr>
      <w:r>
        <w:rPr>
          <w:rFonts w:ascii="Arial" w:cs="Arial" w:eastAsia="Arial" w:hAnsi="Arial"/>
          <w:sz w:val="18"/>
          <w:szCs w:val="18"/>
          <w:color w:val="auto"/>
        </w:rPr>
        <w:t>It is our belief that our ability to hire, retain and motivate employees is essential to the success of the company and its stockholders. Therefore, we generally seek to provide reasonable and competitive compensation for our executives with a substantial portion in the form of performance-based compensation.</w:t>
      </w: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Accordingly, we submit the following resolution to stockholders at the Annual Meeting:</w:t>
      </w:r>
    </w:p>
    <w:p>
      <w:pPr>
        <w:spacing w:after="0" w:line="55" w:lineRule="exact"/>
        <w:rPr>
          <w:sz w:val="20"/>
          <w:szCs w:val="20"/>
          <w:color w:val="auto"/>
        </w:rPr>
      </w:pPr>
    </w:p>
    <w:p>
      <w:pPr>
        <w:jc w:val="both"/>
        <w:ind w:left="360"/>
        <w:spacing w:after="0" w:line="253" w:lineRule="auto"/>
        <w:rPr>
          <w:sz w:val="20"/>
          <w:szCs w:val="20"/>
          <w:color w:val="auto"/>
        </w:rPr>
      </w:pPr>
      <w:r>
        <w:rPr>
          <w:rFonts w:ascii="Arial" w:cs="Arial" w:eastAsia="Arial" w:hAnsi="Arial"/>
          <w:sz w:val="18"/>
          <w:szCs w:val="18"/>
          <w:b w:val="1"/>
          <w:bCs w:val="1"/>
          <w:i w:val="1"/>
          <w:iCs w:val="1"/>
          <w:color w:val="auto"/>
        </w:rPr>
        <w:t>RESOLVED, that the stockholders of BWX Technologies, Inc. approve, on an advisory basis, the compensation of executives, as such compensation is disclosed pursuant to Item 402 of Regulation S-K in this proxy statement under the sections entitled “Compensation Discussion and Analysis” and “Compensation of Executive Officers.”</w:t>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EFFECT OF PROPOSAL</w:t>
      </w:r>
    </w:p>
    <w:p>
      <w:pPr>
        <w:spacing w:after="0" w:line="72" w:lineRule="exact"/>
        <w:rPr>
          <w:sz w:val="20"/>
          <w:szCs w:val="20"/>
          <w:color w:val="auto"/>
        </w:rPr>
      </w:pPr>
    </w:p>
    <w:p>
      <w:pPr>
        <w:jc w:val="both"/>
        <w:ind w:left="40"/>
        <w:spacing w:after="0" w:line="237" w:lineRule="auto"/>
        <w:rPr>
          <w:sz w:val="20"/>
          <w:szCs w:val="20"/>
          <w:color w:val="auto"/>
        </w:rPr>
      </w:pPr>
      <w:r>
        <w:rPr>
          <w:rFonts w:ascii="Arial" w:cs="Arial" w:eastAsia="Arial" w:hAnsi="Arial"/>
          <w:sz w:val="18"/>
          <w:szCs w:val="18"/>
          <w:color w:val="auto"/>
        </w:rPr>
        <w:t>Although the resolution to approve our executive compensation is non-binding, it serves as an opportunity for us, our Board and Compensation Committee to gain valuable stockholder feedback on our executive compensation decisions and practices. Even in years when the resolution is approved, the Board and Compensation Committee retain discretion to change executive compensation from time to time if they conclude that such a change would be in the best interests of the Company and its stockholders. Our Board and its Compensation Committee value the opinions of stockholders on important matters such as executive compensation and will carefully consider the results of this advisory vote when evaluating our executive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578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57885"/>
                    </a:xfrm>
                    <a:prstGeom prst="rect">
                      <a:avLst/>
                    </a:prstGeom>
                    <a:noFill/>
                  </pic:spPr>
                </pic:pic>
              </a:graphicData>
            </a:graphic>
          </wp:anchor>
        </w:drawing>
      </w:r>
    </w:p>
    <w:p>
      <w:pPr>
        <w:spacing w:after="0" w:line="23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RECOMMENDATION AND VOTE REQUIRED</w:t>
      </w:r>
    </w:p>
    <w:p>
      <w:pPr>
        <w:spacing w:after="0" w:line="77" w:lineRule="exact"/>
        <w:rPr>
          <w:sz w:val="20"/>
          <w:szCs w:val="20"/>
          <w:color w:val="auto"/>
        </w:rPr>
      </w:pPr>
    </w:p>
    <w:p>
      <w:pPr>
        <w:ind w:left="200" w:right="60"/>
        <w:spacing w:after="0" w:line="262" w:lineRule="auto"/>
        <w:rPr>
          <w:sz w:val="20"/>
          <w:szCs w:val="20"/>
          <w:color w:val="auto"/>
        </w:rPr>
      </w:pPr>
      <w:r>
        <w:rPr>
          <w:rFonts w:ascii="Arial" w:cs="Arial" w:eastAsia="Arial" w:hAnsi="Arial"/>
          <w:sz w:val="17"/>
          <w:szCs w:val="17"/>
          <w:b w:val="1"/>
          <w:bCs w:val="1"/>
          <w:color w:val="auto"/>
        </w:rPr>
        <w:t>Our Board recommends that stockholders vote “FOR” the approval of executive compensation. The proxy holders will vote all proxies received for approval of this proposal unless instructed otherwise. Approval of this proposal requires the affirmative vote of a majority of our shares of common stock present in person or represented by proxy at the Annual Meeting and entitled to vote on this proposal. Because abstentions are counted as present for purposes of the vote on this matter but are not votes “FOR” this proposal, they have the same effect as votes “AGAINST” this proposal. Broker non-votes will not have any effect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259080</wp:posOffset>
            </wp:positionV>
            <wp:extent cx="72720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DISCUSSION AND ANALYSIS</w:t>
      </w:r>
    </w:p>
    <w:p>
      <w:pPr>
        <w:spacing w:after="0" w:line="201" w:lineRule="exact"/>
        <w:rPr>
          <w:sz w:val="20"/>
          <w:szCs w:val="20"/>
          <w:color w:val="auto"/>
        </w:rPr>
      </w:pPr>
    </w:p>
    <w:p>
      <w:pPr>
        <w:ind w:right="560"/>
        <w:spacing w:after="0" w:line="256" w:lineRule="auto"/>
        <w:rPr>
          <w:sz w:val="20"/>
          <w:szCs w:val="20"/>
          <w:color w:val="auto"/>
        </w:rPr>
      </w:pPr>
      <w:r>
        <w:rPr>
          <w:rFonts w:ascii="Arial" w:cs="Arial" w:eastAsia="Arial" w:hAnsi="Arial"/>
          <w:sz w:val="18"/>
          <w:szCs w:val="18"/>
          <w:color w:val="auto"/>
        </w:rPr>
        <w:t>This Compensation Discussion and Analysis (the “CD&amp;A”) provides detailed information and analysis regarding the compensation of our Named Executive Officers (our “Named Executives”) as reported in the Summary Compensation Table and other tables located in the “Compensation of Executive Officers” section of this proxy statement.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This CD&amp;A is divided into four sections:</w:t>
      </w:r>
    </w:p>
    <w:p>
      <w:pPr>
        <w:spacing w:after="0" w:line="68" w:lineRule="exact"/>
        <w:rPr>
          <w:sz w:val="20"/>
          <w:szCs w:val="20"/>
          <w:color w:val="auto"/>
        </w:rPr>
      </w:pPr>
    </w:p>
    <w:p>
      <w:pPr>
        <w:ind w:left="340" w:right="520"/>
        <w:spacing w:after="0" w:line="287" w:lineRule="auto"/>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i w:val="1"/>
          <w:iCs w:val="1"/>
          <w:color w:val="auto"/>
        </w:rPr>
        <w:t>Executive Summary</w:t>
      </w:r>
      <w:r>
        <w:rPr>
          <w:rFonts w:ascii="Arial" w:cs="Arial" w:eastAsia="Arial" w:hAnsi="Arial"/>
          <w:sz w:val="18"/>
          <w:szCs w:val="18"/>
          <w:color w:val="auto"/>
        </w:rPr>
        <w:t>. In this section, we highlight our company performance, key compensation decisions and outcomes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2017.</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i w:val="1"/>
          <w:iCs w:val="1"/>
          <w:color w:val="auto"/>
        </w:rPr>
        <w:t>Compensation Structure</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this section, we review our 2017 compensation philosophy, elements and processes.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i w:val="1"/>
          <w:iCs w:val="1"/>
          <w:color w:val="auto"/>
        </w:rPr>
        <w:t>Compensation Analysis and Outcomes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this section, we review the elements of 2017 total direct compensation, including:</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annual base salary, annual incentive compensation and long-term incentive compensation.</w:t>
      </w:r>
    </w:p>
    <w:p>
      <w:pPr>
        <w:spacing w:after="0" w:line="68"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i w:val="1"/>
          <w:iCs w:val="1"/>
          <w:color w:val="auto"/>
        </w:rPr>
        <w:t>Other Benefits and Practices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this section, we review perquisites, post-employment arrangements and other compensation-related practices.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C2C2C"/>
        </w:rPr>
        <w:t xml:space="preserve">22 </w:t>
      </w:r>
      <w:r>
        <w:rPr>
          <w:sz w:val="1"/>
          <w:szCs w:val="1"/>
          <w:color w:val="auto"/>
        </w:rPr>
        <w:drawing>
          <wp:inline distT="0" distB="0" distL="0" distR="0">
            <wp:extent cx="445770" cy="18034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45770" cy="180340"/>
                    </a:xfrm>
                    <a:prstGeom prst="rect">
                      <a:avLst/>
                    </a:prstGeom>
                    <a:noFill/>
                    <a:ln>
                      <a:noFill/>
                    </a:ln>
                  </pic:spPr>
                </pic:pic>
              </a:graphicData>
            </a:graphic>
          </wp:inline>
        </w:drawing>
      </w:r>
      <w:r>
        <w:rPr>
          <w:rFonts w:ascii="Arial" w:cs="Arial" w:eastAsia="Arial" w:hAnsi="Arial"/>
          <w:sz w:val="18"/>
          <w:szCs w:val="18"/>
          <w:color w:val="auto"/>
        </w:rPr>
        <w:t xml:space="preserve"> 2018 PROXY STATEMENT</w:t>
      </w:r>
    </w:p>
    <w:p>
      <w:pPr>
        <w:sectPr>
          <w:pgSz w:w="11900" w:h="16838" w:orient="portrait"/>
          <w:cols w:equalWidth="0" w:num="1">
            <w:col w:w="11400"/>
          </w:cols>
          <w:pgMar w:left="240" w:top="125" w:right="259" w:bottom="1440" w:gutter="0" w:footer="0" w:header="0"/>
        </w:sectPr>
      </w:pPr>
    </w:p>
    <w:bookmarkStart w:id="31" w:name="page32"/>
    <w:bookmarkEnd w:id="31"/>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960"/>
        <w:spacing w:after="0"/>
        <w:rPr>
          <w:sz w:val="20"/>
          <w:szCs w:val="20"/>
          <w:color w:val="auto"/>
        </w:rPr>
      </w:pPr>
      <w:r>
        <w:rPr>
          <w:rFonts w:ascii="Arial" w:cs="Arial" w:eastAsia="Arial" w:hAnsi="Arial"/>
          <w:sz w:val="14"/>
          <w:szCs w:val="14"/>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 EXECUTIVE SUMMARY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OPERATIONAL HIGHLIGHTS</w:t>
      </w:r>
    </w:p>
    <w:p>
      <w:pPr>
        <w:spacing w:after="0" w:line="139" w:lineRule="exact"/>
        <w:rPr>
          <w:sz w:val="20"/>
          <w:szCs w:val="20"/>
          <w:color w:val="auto"/>
        </w:rPr>
      </w:pPr>
    </w:p>
    <w:p>
      <w:pPr>
        <w:ind w:left="180" w:hanging="172"/>
        <w:spacing w:after="0"/>
        <w:tabs>
          <w:tab w:leader="none" w:pos="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Consolidated revenue was up 8.8% to $1.69 billion compared to the prior year, and all segment-level revenue guidance was achieved.</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Operating income and Non-GAAP operating income increased 29.1% and 12.7%, respectively, compared to the prior year.</w:t>
      </w:r>
    </w:p>
    <w:p>
      <w:pPr>
        <w:spacing w:after="0" w:line="117" w:lineRule="exact"/>
        <w:rPr>
          <w:rFonts w:ascii="Arial" w:cs="Arial" w:eastAsia="Arial" w:hAnsi="Arial"/>
          <w:sz w:val="18"/>
          <w:szCs w:val="18"/>
          <w:color w:val="auto"/>
        </w:rPr>
      </w:pPr>
    </w:p>
    <w:p>
      <w:pPr>
        <w:ind w:left="180" w:right="460" w:hanging="172"/>
        <w:spacing w:after="0" w:line="262" w:lineRule="auto"/>
        <w:tabs>
          <w:tab w:leader="none" w:pos="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Earnings per share and Non-GAAP earnings per share were $1.47 and $2.05, respectively, an increase of 16.5% on a Non-GAAP basis compared to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56515</wp:posOffset>
            </wp:positionV>
            <wp:extent cx="7058025" cy="22212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58025" cy="222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40" w:right="160" w:hanging="9"/>
        <w:spacing w:after="0" w:line="279" w:lineRule="auto"/>
        <w:tabs>
          <w:tab w:leader="none" w:pos="352" w:val="left"/>
        </w:tabs>
        <w:numPr>
          <w:ilvl w:val="1"/>
          <w:numId w:val="69"/>
        </w:numPr>
        <w:rPr>
          <w:rFonts w:ascii="Arial" w:cs="Arial" w:eastAsia="Arial" w:hAnsi="Arial"/>
          <w:sz w:val="14"/>
          <w:szCs w:val="14"/>
          <w:i w:val="1"/>
          <w:iCs w:val="1"/>
          <w:color w:val="auto"/>
        </w:rPr>
      </w:pPr>
      <w:r>
        <w:rPr>
          <w:rFonts w:ascii="Arial" w:cs="Arial" w:eastAsia="Arial" w:hAnsi="Arial"/>
          <w:sz w:val="14"/>
          <w:szCs w:val="14"/>
          <w:i w:val="1"/>
          <w:iCs w:val="1"/>
          <w:color w:val="auto"/>
        </w:rPr>
        <w:t>Please refer to Appendix A, "Reconciliation of Reported (GAAP) to Adjusted (Non-GAAP) Results," for a reconciliation of adjusted results, including adjusted operating income and adjusted earnings per share, to reported results for 2016 and 2017.</w:t>
      </w:r>
    </w:p>
    <w:p>
      <w:pPr>
        <w:spacing w:after="0" w:line="200" w:lineRule="exact"/>
        <w:rPr>
          <w:rFonts w:ascii="Arial" w:cs="Arial" w:eastAsia="Arial" w:hAnsi="Arial"/>
          <w:sz w:val="14"/>
          <w:szCs w:val="14"/>
          <w:i w:val="1"/>
          <w:iCs w:val="1"/>
          <w:color w:val="auto"/>
        </w:rPr>
      </w:pPr>
    </w:p>
    <w:p>
      <w:pPr>
        <w:spacing w:after="0" w:line="217" w:lineRule="exact"/>
        <w:rPr>
          <w:rFonts w:ascii="Arial" w:cs="Arial" w:eastAsia="Arial" w:hAnsi="Arial"/>
          <w:sz w:val="14"/>
          <w:szCs w:val="14"/>
          <w:i w:val="1"/>
          <w:iCs w:val="1"/>
          <w:color w:val="auto"/>
        </w:rPr>
      </w:pPr>
    </w:p>
    <w:p>
      <w:pPr>
        <w:ind w:left="180" w:right="140" w:hanging="172"/>
        <w:spacing w:after="0" w:line="262" w:lineRule="auto"/>
        <w:tabs>
          <w:tab w:leader="none" w:pos="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BWXT completed the integration of GE Hitachi Nuclear Energy Canada Inc. joint venture acquired in December 2016, now known as BWXT Nuclear Energy Canada Inc.</w:t>
      </w:r>
    </w:p>
    <w:p>
      <w:pPr>
        <w:spacing w:after="0" w:line="88" w:lineRule="exact"/>
        <w:rPr>
          <w:rFonts w:ascii="Arial" w:cs="Arial" w:eastAsia="Arial" w:hAnsi="Arial"/>
          <w:sz w:val="18"/>
          <w:szCs w:val="18"/>
          <w:color w:val="auto"/>
        </w:rPr>
      </w:pPr>
    </w:p>
    <w:p>
      <w:pPr>
        <w:ind w:left="180" w:hanging="172"/>
        <w:spacing w:after="0"/>
        <w:tabs>
          <w:tab w:leader="none" w:pos="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Year-ending backlog as of December 31, 2017 was a near-record $4 billion.</w:t>
      </w:r>
    </w:p>
    <w:p>
      <w:pPr>
        <w:spacing w:after="0" w:line="117" w:lineRule="exact"/>
        <w:rPr>
          <w:rFonts w:ascii="Arial" w:cs="Arial" w:eastAsia="Arial" w:hAnsi="Arial"/>
          <w:sz w:val="18"/>
          <w:szCs w:val="18"/>
          <w:color w:val="auto"/>
        </w:rPr>
      </w:pPr>
    </w:p>
    <w:p>
      <w:pPr>
        <w:ind w:left="180" w:right="280" w:hanging="172"/>
        <w:spacing w:after="0" w:line="262" w:lineRule="auto"/>
        <w:tabs>
          <w:tab w:leader="none" w:pos="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Announced the transition of John A. Fees from Executive Chairman to Non-Executive Chairman and the retirement of Robert W. Goldman from the Board, both effective at the Annual Meeting.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TOTAL STOCKHOLDER RETURN</w:t>
      </w:r>
    </w:p>
    <w:p>
      <w:pPr>
        <w:spacing w:after="0" w:line="139" w:lineRule="exact"/>
        <w:rPr>
          <w:sz w:val="20"/>
          <w:szCs w:val="20"/>
          <w:color w:val="auto"/>
        </w:rPr>
      </w:pPr>
    </w:p>
    <w:p>
      <w:pPr>
        <w:ind w:right="600"/>
        <w:spacing w:after="0" w:line="256" w:lineRule="auto"/>
        <w:rPr>
          <w:sz w:val="20"/>
          <w:szCs w:val="20"/>
          <w:color w:val="auto"/>
        </w:rPr>
      </w:pPr>
      <w:r>
        <w:rPr>
          <w:rFonts w:ascii="Arial" w:cs="Arial" w:eastAsia="Arial" w:hAnsi="Arial"/>
          <w:sz w:val="18"/>
          <w:szCs w:val="18"/>
          <w:color w:val="auto"/>
        </w:rPr>
        <w:t>Our achievements in 2017 resulted in significant value creation for our stockholders. The following graph depicts the cumulative total stockholder return of BWXT for the one, three and five years ended December 31, 2017 relative to those of the S&amp;P 500 Index, the S&amp;P Aerospace and Defense Select Index ("S&amp;P A&amp;D Select") and our custom compensation peer group for 2017 (listed on page 39).</w:t>
      </w:r>
    </w:p>
    <w:p>
      <w:pPr>
        <w:spacing w:after="0" w:line="15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1-Year, 3-Year and 5-Year Total Shareholder Return as of December 31, 2017</w:t>
      </w:r>
      <w:r>
        <w:rPr>
          <w:rFonts w:ascii="Arial" w:cs="Arial" w:eastAsia="Arial" w:hAnsi="Arial"/>
          <w:sz w:val="21"/>
          <w:szCs w:val="21"/>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50165</wp:posOffset>
            </wp:positionV>
            <wp:extent cx="3713480" cy="18180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713480" cy="1818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20" w:right="260" w:hanging="585"/>
        <w:spacing w:after="0" w:line="260" w:lineRule="auto"/>
        <w:tabs>
          <w:tab w:leader="none" w:pos="620" w:val="left"/>
        </w:tabs>
        <w:numPr>
          <w:ilvl w:val="0"/>
          <w:numId w:val="70"/>
        </w:numPr>
        <w:rPr>
          <w:rFonts w:ascii="Arial" w:cs="Arial" w:eastAsia="Arial" w:hAnsi="Arial"/>
          <w:sz w:val="14"/>
          <w:szCs w:val="14"/>
          <w:i w:val="1"/>
          <w:iCs w:val="1"/>
          <w:color w:val="auto"/>
        </w:rPr>
      </w:pPr>
      <w:r>
        <w:rPr>
          <w:rFonts w:ascii="Arial" w:cs="Arial" w:eastAsia="Arial" w:hAnsi="Arial"/>
          <w:sz w:val="14"/>
          <w:szCs w:val="14"/>
          <w:i w:val="1"/>
          <w:iCs w:val="1"/>
          <w:color w:val="auto"/>
        </w:rPr>
        <w:t>Measured by dividing (i) the sum of the cumulative amount of dividends for the measurement period, assuming dividend reinvestment, and the difference between the applicable share price at the end and the beginning of the measurement period by (ii) the share price at the beginning of the measurement period. Results for the compensation peer group do not include B/E Aerospace, which was acquired in April 2017.</w:t>
      </w:r>
    </w:p>
    <w:p>
      <w:pPr>
        <w:sectPr>
          <w:pgSz w:w="11900" w:h="16838" w:orient="portrait"/>
          <w:cols w:equalWidth="0" w:num="1">
            <w:col w:w="11420"/>
          </w:cols>
          <w:pgMar w:left="240" w:top="125" w:right="239" w:bottom="1440" w:gutter="0" w:footer="0" w:header="0"/>
        </w:sectPr>
      </w:pPr>
    </w:p>
    <w:p>
      <w:pPr>
        <w:spacing w:after="0" w:line="242" w:lineRule="exact"/>
        <w:rPr>
          <w:sz w:val="20"/>
          <w:szCs w:val="20"/>
          <w:color w:val="auto"/>
        </w:rPr>
      </w:pPr>
    </w:p>
    <w:p>
      <w:pPr>
        <w:ind w:left="8160"/>
        <w:spacing w:after="0"/>
        <w:rPr>
          <w:sz w:val="20"/>
          <w:szCs w:val="20"/>
          <w:color w:val="auto"/>
        </w:rPr>
      </w:pPr>
      <w:r>
        <w:rPr>
          <w:sz w:val="1"/>
          <w:szCs w:val="1"/>
          <w:color w:val="auto"/>
        </w:rPr>
        <w:drawing>
          <wp:inline distT="0" distB="0" distL="0" distR="0">
            <wp:extent cx="488950" cy="20574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88950" cy="205740"/>
                    </a:xfrm>
                    <a:prstGeom prst="rect">
                      <a:avLst/>
                    </a:prstGeom>
                    <a:noFill/>
                    <a:ln>
                      <a:noFill/>
                    </a:ln>
                  </pic:spPr>
                </pic:pic>
              </a:graphicData>
            </a:graphic>
          </wp:inline>
        </w:drawing>
      </w:r>
      <w:r>
        <w:rPr>
          <w:rFonts w:ascii="Arial" w:cs="Arial" w:eastAsia="Arial" w:hAnsi="Arial"/>
          <w:sz w:val="17"/>
          <w:szCs w:val="17"/>
          <w:color w:val="auto"/>
        </w:rPr>
        <w:t xml:space="preserve"> 2018 PROXY STATEMENT </w:t>
      </w:r>
      <w:r>
        <w:rPr>
          <w:rFonts w:ascii="Arial" w:cs="Arial" w:eastAsia="Arial" w:hAnsi="Arial"/>
          <w:sz w:val="17"/>
          <w:szCs w:val="17"/>
          <w:b w:val="1"/>
          <w:bCs w:val="1"/>
          <w:color w:val="2C2C2C"/>
        </w:rPr>
        <w:t>23</w:t>
      </w:r>
    </w:p>
    <w:p>
      <w:pPr>
        <w:sectPr>
          <w:pgSz w:w="11900" w:h="16838" w:orient="portrait"/>
          <w:cols w:equalWidth="0" w:num="1">
            <w:col w:w="11420"/>
          </w:cols>
          <w:pgMar w:left="240" w:top="125" w:right="239" w:bottom="1440" w:gutter="0" w:footer="0" w:header="0"/>
          <w:type w:val="continuous"/>
        </w:sectPr>
      </w:pPr>
    </w:p>
    <w:bookmarkStart w:id="32" w:name="page33"/>
    <w:bookmarkEnd w:id="32"/>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7320"/>
        <w:spacing w:after="0"/>
        <w:rPr>
          <w:sz w:val="20"/>
          <w:szCs w:val="20"/>
          <w:color w:val="auto"/>
        </w:rPr>
      </w:pPr>
      <w:r>
        <w:rPr>
          <w:rFonts w:ascii="Arial" w:cs="Arial" w:eastAsia="Arial" w:hAnsi="Arial"/>
          <w:sz w:val="14"/>
          <w:szCs w:val="14"/>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ENGAGEMENT AND 2017 PLAN DESIGN</w:t>
      </w:r>
    </w:p>
    <w:p>
      <w:pPr>
        <w:spacing w:after="0" w:line="112"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Our executive compensation plan for 2017 features the enhancements to our historical pay-for-performance approach that incorporates feedback from our stockholder outreach efforts and metrics designed to drive the performance of BWXT. Following the spin-off of our former Power Generation business in June 2015 (the "spin-off"), we engaged directly with our stockholders on executive compensation, governance and other topics and continued this engagement directly with those stockholders who accepted our invitation to discuss these topics.</w:t>
      </w:r>
    </w:p>
    <w:p>
      <w:pPr>
        <w:spacing w:after="0" w:line="6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Based on feedback from our stockholders, our Compensation Committee returned to a market-based, pay-for-performance structure for our 2016 executive compensation program and also enhanced the performance-based components of the program. There were no changes made to the 2017 executive compensation program. Below are some of the key design attributes of BWXT's 2017 plan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631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 Plan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28575</wp:posOffset>
            </wp:positionV>
            <wp:extent cx="889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shd w:val="clear" w:color="auto" w:fill="525252"/>
          </w:tcPr>
          <w:p>
            <w:pPr>
              <w:ind w:left="1620"/>
              <w:spacing w:after="0"/>
              <w:rPr>
                <w:sz w:val="20"/>
                <w:szCs w:val="20"/>
                <w:color w:val="auto"/>
              </w:rPr>
            </w:pPr>
            <w:r>
              <w:rPr>
                <w:rFonts w:ascii="Arial" w:cs="Arial" w:eastAsia="Arial" w:hAnsi="Arial"/>
                <w:sz w:val="14"/>
                <w:szCs w:val="14"/>
                <w:b w:val="1"/>
                <w:bCs w:val="1"/>
                <w:color w:val="FFFFFF"/>
              </w:rPr>
              <w:t>2016 Changes following the Spin-Off</w:t>
            </w:r>
          </w:p>
        </w:tc>
        <w:tc>
          <w:tcPr>
            <w:tcW w:w="5700" w:type="dxa"/>
            <w:vAlign w:val="bottom"/>
            <w:shd w:val="clear" w:color="auto" w:fill="525252"/>
          </w:tcPr>
          <w:p>
            <w:pPr>
              <w:ind w:left="2660"/>
              <w:spacing w:after="0"/>
              <w:rPr>
                <w:sz w:val="20"/>
                <w:szCs w:val="20"/>
                <w:color w:val="auto"/>
              </w:rPr>
            </w:pPr>
            <w:r>
              <w:rPr>
                <w:rFonts w:ascii="Arial" w:cs="Arial" w:eastAsia="Arial" w:hAnsi="Arial"/>
                <w:sz w:val="14"/>
                <w:szCs w:val="14"/>
                <w:b w:val="1"/>
                <w:bCs w:val="1"/>
                <w:color w:val="FFFFFF"/>
              </w:rPr>
              <w:t>2017 Design</w:t>
            </w:r>
          </w:p>
        </w:tc>
      </w:tr>
      <w:tr>
        <w:trPr>
          <w:trHeight w:val="229"/>
        </w:trPr>
        <w:tc>
          <w:tcPr>
            <w:tcW w:w="5720" w:type="dxa"/>
            <w:vAlign w:val="bottom"/>
          </w:tcPr>
          <w:p>
            <w:pPr>
              <w:ind w:left="180"/>
              <w:spacing w:after="0"/>
              <w:rPr>
                <w:sz w:val="20"/>
                <w:szCs w:val="20"/>
                <w:color w:val="auto"/>
              </w:rPr>
            </w:pPr>
            <w:r>
              <w:rPr>
                <w:rFonts w:ascii="Arial" w:cs="Arial" w:eastAsia="Arial" w:hAnsi="Arial"/>
                <w:sz w:val="18"/>
                <w:szCs w:val="18"/>
                <w:color w:val="auto"/>
              </w:rPr>
              <w:t>Re-Instituted Performance RSUs; Eliminated Stock Options</w:t>
            </w:r>
          </w:p>
        </w:tc>
        <w:tc>
          <w:tcPr>
            <w:tcW w:w="5700" w:type="dxa"/>
            <w:vAlign w:val="bottom"/>
          </w:tcPr>
          <w:p>
            <w:pPr>
              <w:ind w:left="480"/>
              <w:spacing w:after="0"/>
              <w:rPr>
                <w:sz w:val="20"/>
                <w:szCs w:val="20"/>
                <w:color w:val="auto"/>
              </w:rPr>
            </w:pPr>
            <w:r>
              <w:rPr>
                <w:rFonts w:ascii="Arial" w:cs="Arial" w:eastAsia="Arial" w:hAnsi="Arial"/>
                <w:sz w:val="18"/>
                <w:szCs w:val="18"/>
                <w:color w:val="auto"/>
              </w:rPr>
              <w:t>Performance RSUs continue to comprise 60% of long-term</w:t>
            </w:r>
          </w:p>
        </w:tc>
      </w:tr>
      <w:tr>
        <w:trPr>
          <w:trHeight w:val="217"/>
        </w:trPr>
        <w:tc>
          <w:tcPr>
            <w:tcW w:w="5720" w:type="dxa"/>
            <w:vAlign w:val="bottom"/>
          </w:tcPr>
          <w:p>
            <w:pPr>
              <w:spacing w:after="0"/>
              <w:rPr>
                <w:sz w:val="18"/>
                <w:szCs w:val="18"/>
                <w:color w:val="auto"/>
              </w:rPr>
            </w:pPr>
          </w:p>
        </w:tc>
        <w:tc>
          <w:tcPr>
            <w:tcW w:w="5700" w:type="dxa"/>
            <w:vAlign w:val="bottom"/>
          </w:tcPr>
          <w:p>
            <w:pPr>
              <w:ind w:left="480"/>
              <w:spacing w:after="0"/>
              <w:rPr>
                <w:sz w:val="20"/>
                <w:szCs w:val="20"/>
                <w:color w:val="auto"/>
              </w:rPr>
            </w:pPr>
            <w:r>
              <w:rPr>
                <w:rFonts w:ascii="Arial" w:cs="Arial" w:eastAsia="Arial" w:hAnsi="Arial"/>
                <w:sz w:val="18"/>
                <w:szCs w:val="18"/>
                <w:color w:val="auto"/>
              </w:rPr>
              <w:t>incentive award opportunity</w:t>
            </w:r>
          </w:p>
        </w:tc>
      </w:tr>
      <w:tr>
        <w:trPr>
          <w:trHeight w:val="162"/>
        </w:trPr>
        <w:tc>
          <w:tcPr>
            <w:tcW w:w="5720" w:type="dxa"/>
            <w:vAlign w:val="bottom"/>
            <w:tcBorders>
              <w:bottom w:val="single" w:sz="8" w:color="auto"/>
            </w:tcBorders>
          </w:tcPr>
          <w:p>
            <w:pPr>
              <w:spacing w:after="0"/>
              <w:rPr>
                <w:sz w:val="14"/>
                <w:szCs w:val="14"/>
                <w:color w:val="auto"/>
              </w:rPr>
            </w:pPr>
          </w:p>
        </w:tc>
        <w:tc>
          <w:tcPr>
            <w:tcW w:w="5700" w:type="dxa"/>
            <w:vAlign w:val="bottom"/>
            <w:tcBorders>
              <w:bottom w:val="single" w:sz="8" w:color="auto"/>
            </w:tcBorders>
          </w:tcPr>
          <w:p>
            <w:pPr>
              <w:spacing w:after="0"/>
              <w:rPr>
                <w:sz w:val="14"/>
                <w:szCs w:val="14"/>
                <w:color w:val="auto"/>
              </w:rPr>
            </w:pPr>
          </w:p>
        </w:tc>
      </w:tr>
      <w:tr>
        <w:trPr>
          <w:trHeight w:val="222"/>
        </w:trPr>
        <w:tc>
          <w:tcPr>
            <w:tcW w:w="5720" w:type="dxa"/>
            <w:vAlign w:val="bottom"/>
          </w:tcPr>
          <w:p>
            <w:pPr>
              <w:ind w:left="180"/>
              <w:spacing w:after="0"/>
              <w:rPr>
                <w:sz w:val="20"/>
                <w:szCs w:val="20"/>
                <w:color w:val="auto"/>
              </w:rPr>
            </w:pPr>
            <w:r>
              <w:rPr>
                <w:rFonts w:ascii="Arial" w:cs="Arial" w:eastAsia="Arial" w:hAnsi="Arial"/>
                <w:sz w:val="18"/>
                <w:szCs w:val="18"/>
                <w:color w:val="auto"/>
              </w:rPr>
              <w:t>Financial Metrics for Performance-Based Long-Term Incentive</w:t>
            </w:r>
          </w:p>
        </w:tc>
        <w:tc>
          <w:tcPr>
            <w:tcW w:w="5700" w:type="dxa"/>
            <w:vAlign w:val="bottom"/>
          </w:tcPr>
          <w:p>
            <w:pPr>
              <w:ind w:left="480"/>
              <w:spacing w:after="0"/>
              <w:rPr>
                <w:sz w:val="20"/>
                <w:szCs w:val="20"/>
                <w:color w:val="auto"/>
              </w:rPr>
            </w:pPr>
            <w:r>
              <w:rPr>
                <w:rFonts w:ascii="Arial" w:cs="Arial" w:eastAsia="Arial" w:hAnsi="Arial"/>
                <w:sz w:val="18"/>
                <w:szCs w:val="18"/>
                <w:color w:val="auto"/>
              </w:rPr>
              <w:t>Earnings per share and return on invested capital continue to be</w:t>
            </w:r>
          </w:p>
        </w:tc>
      </w:tr>
      <w:tr>
        <w:trPr>
          <w:trHeight w:val="203"/>
        </w:trPr>
        <w:tc>
          <w:tcPr>
            <w:tcW w:w="5720" w:type="dxa"/>
            <w:vAlign w:val="bottom"/>
          </w:tcPr>
          <w:p>
            <w:pPr>
              <w:ind w:left="180"/>
              <w:spacing w:after="0" w:line="202" w:lineRule="exact"/>
              <w:rPr>
                <w:sz w:val="20"/>
                <w:szCs w:val="20"/>
                <w:color w:val="auto"/>
              </w:rPr>
            </w:pPr>
            <w:r>
              <w:rPr>
                <w:rFonts w:ascii="Arial" w:cs="Arial" w:eastAsia="Arial" w:hAnsi="Arial"/>
                <w:sz w:val="18"/>
                <w:szCs w:val="18"/>
                <w:color w:val="auto"/>
              </w:rPr>
              <w:t>Awards</w:t>
            </w:r>
          </w:p>
        </w:tc>
        <w:tc>
          <w:tcPr>
            <w:tcW w:w="5700" w:type="dxa"/>
            <w:vAlign w:val="bottom"/>
          </w:tcPr>
          <w:p>
            <w:pPr>
              <w:ind w:left="480"/>
              <w:spacing w:after="0" w:line="202" w:lineRule="exact"/>
              <w:rPr>
                <w:sz w:val="20"/>
                <w:szCs w:val="20"/>
                <w:color w:val="auto"/>
              </w:rPr>
            </w:pPr>
            <w:r>
              <w:rPr>
                <w:rFonts w:ascii="Arial" w:cs="Arial" w:eastAsia="Arial" w:hAnsi="Arial"/>
                <w:sz w:val="18"/>
                <w:szCs w:val="18"/>
                <w:color w:val="auto"/>
              </w:rPr>
              <w:t>the preferred metric to align incentives with strategic initiatives to</w:t>
            </w:r>
          </w:p>
        </w:tc>
      </w:tr>
      <w:tr>
        <w:trPr>
          <w:trHeight w:val="217"/>
        </w:trPr>
        <w:tc>
          <w:tcPr>
            <w:tcW w:w="5720" w:type="dxa"/>
            <w:vAlign w:val="bottom"/>
          </w:tcPr>
          <w:p>
            <w:pPr>
              <w:spacing w:after="0"/>
              <w:rPr>
                <w:sz w:val="18"/>
                <w:szCs w:val="18"/>
                <w:color w:val="auto"/>
              </w:rPr>
            </w:pPr>
          </w:p>
        </w:tc>
        <w:tc>
          <w:tcPr>
            <w:tcW w:w="5700" w:type="dxa"/>
            <w:vAlign w:val="bottom"/>
          </w:tcPr>
          <w:p>
            <w:pPr>
              <w:ind w:left="480"/>
              <w:spacing w:after="0"/>
              <w:rPr>
                <w:sz w:val="20"/>
                <w:szCs w:val="20"/>
                <w:color w:val="auto"/>
              </w:rPr>
            </w:pPr>
            <w:r>
              <w:rPr>
                <w:rFonts w:ascii="Arial" w:cs="Arial" w:eastAsia="Arial" w:hAnsi="Arial"/>
                <w:sz w:val="18"/>
                <w:szCs w:val="18"/>
                <w:color w:val="auto"/>
              </w:rPr>
              <w:t>drive growth and promote capital management</w:t>
            </w:r>
          </w:p>
        </w:tc>
      </w:tr>
      <w:tr>
        <w:trPr>
          <w:trHeight w:val="310"/>
        </w:trPr>
        <w:tc>
          <w:tcPr>
            <w:tcW w:w="5720" w:type="dxa"/>
            <w:vAlign w:val="bottom"/>
          </w:tcPr>
          <w:p>
            <w:pPr>
              <w:spacing w:after="0"/>
              <w:rPr>
                <w:sz w:val="24"/>
                <w:szCs w:val="24"/>
                <w:color w:val="auto"/>
              </w:rPr>
            </w:pPr>
          </w:p>
        </w:tc>
        <w:tc>
          <w:tcPr>
            <w:tcW w:w="5700" w:type="dxa"/>
            <w:vAlign w:val="bottom"/>
          </w:tcPr>
          <w:p>
            <w:pPr>
              <w:ind w:left="480"/>
              <w:spacing w:after="0"/>
              <w:rPr>
                <w:sz w:val="20"/>
                <w:szCs w:val="20"/>
                <w:color w:val="auto"/>
              </w:rPr>
            </w:pPr>
            <w:r>
              <w:rPr>
                <w:rFonts w:ascii="Arial" w:cs="Arial" w:eastAsia="Arial" w:hAnsi="Arial"/>
                <w:sz w:val="18"/>
                <w:szCs w:val="18"/>
                <w:color w:val="auto"/>
              </w:rPr>
              <w:t>Earnings per share performance metric continues to exclude the</w:t>
            </w:r>
          </w:p>
        </w:tc>
      </w:tr>
      <w:tr>
        <w:trPr>
          <w:trHeight w:val="224"/>
        </w:trPr>
        <w:tc>
          <w:tcPr>
            <w:tcW w:w="5720" w:type="dxa"/>
            <w:vAlign w:val="bottom"/>
            <w:tcBorders>
              <w:bottom w:val="single" w:sz="8" w:color="auto"/>
            </w:tcBorders>
          </w:tcPr>
          <w:p>
            <w:pPr>
              <w:spacing w:after="0"/>
              <w:rPr>
                <w:sz w:val="19"/>
                <w:szCs w:val="19"/>
                <w:color w:val="auto"/>
              </w:rPr>
            </w:pPr>
          </w:p>
        </w:tc>
        <w:tc>
          <w:tcPr>
            <w:tcW w:w="57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impact of Company share repurchases</w:t>
            </w:r>
          </w:p>
        </w:tc>
      </w:tr>
      <w:tr>
        <w:trPr>
          <w:trHeight w:val="229"/>
        </w:trPr>
        <w:tc>
          <w:tcPr>
            <w:tcW w:w="5720" w:type="dxa"/>
            <w:vAlign w:val="bottom"/>
          </w:tcPr>
          <w:p>
            <w:pPr>
              <w:ind w:left="120"/>
              <w:spacing w:after="0" w:line="229" w:lineRule="exact"/>
              <w:rPr>
                <w:sz w:val="20"/>
                <w:szCs w:val="20"/>
                <w:color w:val="auto"/>
              </w:rPr>
            </w:pPr>
            <w:r>
              <w:rPr>
                <w:rFonts w:ascii="Arial" w:cs="Arial" w:eastAsia="Arial" w:hAnsi="Arial"/>
                <w:sz w:val="18"/>
                <w:szCs w:val="18"/>
                <w:color w:val="auto"/>
              </w:rPr>
              <w:t>Custom Peer Group</w:t>
            </w:r>
            <w:r>
              <w:rPr>
                <w:rFonts w:ascii="Arial" w:cs="Arial" w:eastAsia="Arial" w:hAnsi="Arial"/>
                <w:sz w:val="21"/>
                <w:szCs w:val="21"/>
                <w:color w:val="auto"/>
                <w:vertAlign w:val="superscript"/>
              </w:rPr>
              <w:t>(1)</w:t>
            </w:r>
          </w:p>
        </w:tc>
        <w:tc>
          <w:tcPr>
            <w:tcW w:w="5700" w:type="dxa"/>
            <w:vAlign w:val="bottom"/>
          </w:tcPr>
          <w:p>
            <w:pPr>
              <w:ind w:left="480"/>
              <w:spacing w:after="0"/>
              <w:rPr>
                <w:sz w:val="20"/>
                <w:szCs w:val="20"/>
                <w:color w:val="auto"/>
              </w:rPr>
            </w:pPr>
            <w:r>
              <w:rPr>
                <w:rFonts w:ascii="Arial" w:cs="Arial" w:eastAsia="Arial" w:hAnsi="Arial"/>
                <w:sz w:val="18"/>
                <w:szCs w:val="18"/>
                <w:color w:val="auto"/>
              </w:rPr>
              <w:t>Custom peer group established based on industry and size</w:t>
            </w:r>
          </w:p>
        </w:tc>
      </w:tr>
      <w:tr>
        <w:trPr>
          <w:trHeight w:val="217"/>
        </w:trPr>
        <w:tc>
          <w:tcPr>
            <w:tcW w:w="5720" w:type="dxa"/>
            <w:vAlign w:val="bottom"/>
          </w:tcPr>
          <w:p>
            <w:pPr>
              <w:spacing w:after="0"/>
              <w:rPr>
                <w:sz w:val="18"/>
                <w:szCs w:val="18"/>
                <w:color w:val="auto"/>
              </w:rPr>
            </w:pPr>
          </w:p>
        </w:tc>
        <w:tc>
          <w:tcPr>
            <w:tcW w:w="5700" w:type="dxa"/>
            <w:vAlign w:val="bottom"/>
          </w:tcPr>
          <w:p>
            <w:pPr>
              <w:ind w:left="480"/>
              <w:spacing w:after="0"/>
              <w:rPr>
                <w:sz w:val="20"/>
                <w:szCs w:val="20"/>
                <w:color w:val="auto"/>
              </w:rPr>
            </w:pPr>
            <w:r>
              <w:rPr>
                <w:rFonts w:ascii="Arial" w:cs="Arial" w:eastAsia="Arial" w:hAnsi="Arial"/>
                <w:sz w:val="18"/>
                <w:szCs w:val="18"/>
                <w:color w:val="auto"/>
              </w:rPr>
              <w:t>parameters of BWXT and regularly reviewed</w:t>
            </w:r>
          </w:p>
        </w:tc>
      </w:tr>
      <w:tr>
        <w:trPr>
          <w:trHeight w:val="162"/>
        </w:trPr>
        <w:tc>
          <w:tcPr>
            <w:tcW w:w="5720" w:type="dxa"/>
            <w:vAlign w:val="bottom"/>
            <w:tcBorders>
              <w:bottom w:val="single" w:sz="8" w:color="auto"/>
            </w:tcBorders>
          </w:tcPr>
          <w:p>
            <w:pPr>
              <w:spacing w:after="0"/>
              <w:rPr>
                <w:sz w:val="14"/>
                <w:szCs w:val="14"/>
                <w:color w:val="auto"/>
              </w:rPr>
            </w:pPr>
          </w:p>
        </w:tc>
        <w:tc>
          <w:tcPr>
            <w:tcW w:w="5700" w:type="dxa"/>
            <w:vAlign w:val="bottom"/>
            <w:tcBorders>
              <w:bottom w:val="single" w:sz="8" w:color="auto"/>
            </w:tcBorders>
          </w:tcPr>
          <w:p>
            <w:pPr>
              <w:spacing w:after="0"/>
              <w:rPr>
                <w:sz w:val="14"/>
                <w:szCs w:val="14"/>
                <w:color w:val="auto"/>
              </w:rPr>
            </w:pPr>
          </w:p>
        </w:tc>
      </w:tr>
      <w:tr>
        <w:trPr>
          <w:trHeight w:val="222"/>
        </w:trPr>
        <w:tc>
          <w:tcPr>
            <w:tcW w:w="5720" w:type="dxa"/>
            <w:vAlign w:val="bottom"/>
          </w:tcPr>
          <w:p>
            <w:pPr>
              <w:ind w:left="180"/>
              <w:spacing w:after="0"/>
              <w:rPr>
                <w:sz w:val="20"/>
                <w:szCs w:val="20"/>
                <w:color w:val="auto"/>
              </w:rPr>
            </w:pPr>
            <w:r>
              <w:rPr>
                <w:rFonts w:ascii="Arial" w:cs="Arial" w:eastAsia="Arial" w:hAnsi="Arial"/>
                <w:sz w:val="18"/>
                <w:szCs w:val="18"/>
                <w:color w:val="auto"/>
              </w:rPr>
              <w:t>Increased Financial Performance Weighting in Annual Incentive</w:t>
            </w:r>
          </w:p>
        </w:tc>
        <w:tc>
          <w:tcPr>
            <w:tcW w:w="5700" w:type="dxa"/>
            <w:vAlign w:val="bottom"/>
          </w:tcPr>
          <w:p>
            <w:pPr>
              <w:ind w:left="480"/>
              <w:spacing w:after="0"/>
              <w:rPr>
                <w:sz w:val="20"/>
                <w:szCs w:val="20"/>
                <w:color w:val="auto"/>
              </w:rPr>
            </w:pPr>
            <w:r>
              <w:rPr>
                <w:rFonts w:ascii="Arial" w:cs="Arial" w:eastAsia="Arial" w:hAnsi="Arial"/>
                <w:sz w:val="18"/>
                <w:szCs w:val="18"/>
                <w:color w:val="auto"/>
              </w:rPr>
              <w:t>Financial and individual performance weighting continue to be</w:t>
            </w:r>
          </w:p>
        </w:tc>
      </w:tr>
      <w:tr>
        <w:trPr>
          <w:trHeight w:val="224"/>
        </w:trPr>
        <w:tc>
          <w:tcPr>
            <w:tcW w:w="57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Program</w:t>
            </w:r>
          </w:p>
        </w:tc>
        <w:tc>
          <w:tcPr>
            <w:tcW w:w="57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80% and 10%, respectively, of the total award opportunity</w:t>
            </w:r>
          </w:p>
        </w:tc>
      </w:tr>
    </w:tbl>
    <w:p>
      <w:pPr>
        <w:spacing w:after="0" w:line="153" w:lineRule="exact"/>
        <w:rPr>
          <w:sz w:val="20"/>
          <w:szCs w:val="20"/>
          <w:color w:val="auto"/>
        </w:rPr>
      </w:pPr>
    </w:p>
    <w:p>
      <w:pPr>
        <w:ind w:left="620" w:right="100" w:hanging="585"/>
        <w:spacing w:after="0" w:line="279" w:lineRule="auto"/>
        <w:tabs>
          <w:tab w:leader="none" w:pos="620" w:val="left"/>
        </w:tabs>
        <w:numPr>
          <w:ilvl w:val="0"/>
          <w:numId w:val="71"/>
        </w:numPr>
        <w:rPr>
          <w:rFonts w:ascii="Arial" w:cs="Arial" w:eastAsia="Arial" w:hAnsi="Arial"/>
          <w:sz w:val="14"/>
          <w:szCs w:val="14"/>
          <w:i w:val="1"/>
          <w:iCs w:val="1"/>
          <w:color w:val="auto"/>
        </w:rPr>
      </w:pPr>
      <w:r>
        <w:rPr>
          <w:rFonts w:ascii="Arial" w:cs="Arial" w:eastAsia="Arial" w:hAnsi="Arial"/>
          <w:sz w:val="14"/>
          <w:szCs w:val="14"/>
          <w:i w:val="1"/>
          <w:iCs w:val="1"/>
          <w:color w:val="auto"/>
        </w:rPr>
        <w:t>See page [ ] of the Compensation Discussion and Analysis for additional information on how the Compensation Committee uses the Primary Benchmark and Secondary Benchmark Peer Groups.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the performance-based components of our 2017 program for our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6350</wp:posOffset>
            </wp:positionV>
            <wp:extent cx="5025390" cy="17322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025390" cy="1732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1570" w:type="dxa"/>
        <w:tblCellMar>
          <w:top w:w="0" w:type="dxa"/>
          <w:left w:w="0" w:type="dxa"/>
          <w:bottom w:w="0" w:type="dxa"/>
          <w:right w:w="0" w:type="dxa"/>
        </w:tblCellMar>
      </w:tblPr>
      <w:tr>
        <w:trPr>
          <w:trHeight w:val="220"/>
        </w:trPr>
        <w:tc>
          <w:tcPr>
            <w:tcW w:w="3560" w:type="dxa"/>
            <w:vAlign w:val="bottom"/>
            <w:tcBorders>
              <w:left w:val="single" w:sz="8" w:color="525252"/>
              <w:right w:val="single" w:sz="8" w:color="525252"/>
            </w:tcBorders>
            <w:shd w:val="clear" w:color="auto" w:fill="525252"/>
          </w:tcPr>
          <w:p>
            <w:pPr>
              <w:jc w:val="center"/>
              <w:spacing w:after="0"/>
              <w:rPr>
                <w:sz w:val="20"/>
                <w:szCs w:val="20"/>
                <w:color w:val="auto"/>
              </w:rPr>
            </w:pPr>
            <w:r>
              <w:rPr>
                <w:rFonts w:ascii="Arial" w:cs="Arial" w:eastAsia="Arial" w:hAnsi="Arial"/>
                <w:sz w:val="18"/>
                <w:szCs w:val="18"/>
                <w:b w:val="1"/>
                <w:bCs w:val="1"/>
                <w:color w:val="FFFFFF"/>
                <w:w w:val="99"/>
              </w:rPr>
              <w:t>Financial Performance Metrics</w:t>
            </w:r>
          </w:p>
        </w:tc>
        <w:tc>
          <w:tcPr>
            <w:tcW w:w="1220" w:type="dxa"/>
            <w:vAlign w:val="bottom"/>
            <w:tcBorders>
              <w:right w:val="single" w:sz="8" w:color="525252"/>
            </w:tcBorders>
          </w:tcPr>
          <w:p>
            <w:pPr>
              <w:spacing w:after="0"/>
              <w:rPr>
                <w:sz w:val="19"/>
                <w:szCs w:val="19"/>
                <w:color w:val="auto"/>
              </w:rPr>
            </w:pPr>
          </w:p>
        </w:tc>
        <w:tc>
          <w:tcPr>
            <w:tcW w:w="3540" w:type="dxa"/>
            <w:vAlign w:val="bottom"/>
            <w:tcBorders>
              <w:right w:val="single" w:sz="8" w:color="525252"/>
            </w:tcBorders>
            <w:shd w:val="clear" w:color="auto" w:fill="525252"/>
          </w:tcPr>
          <w:p>
            <w:pPr>
              <w:jc w:val="center"/>
              <w:spacing w:after="0"/>
              <w:rPr>
                <w:sz w:val="20"/>
                <w:szCs w:val="20"/>
                <w:color w:val="auto"/>
              </w:rPr>
            </w:pPr>
            <w:r>
              <w:rPr>
                <w:rFonts w:ascii="Arial" w:cs="Arial" w:eastAsia="Arial" w:hAnsi="Arial"/>
                <w:sz w:val="18"/>
                <w:szCs w:val="18"/>
                <w:b w:val="1"/>
                <w:bCs w:val="1"/>
                <w:color w:val="FFFFFF"/>
              </w:rPr>
              <w:t>Financial Performance Metrics</w:t>
            </w:r>
          </w:p>
        </w:tc>
      </w:tr>
      <w:tr>
        <w:trPr>
          <w:trHeight w:val="252"/>
        </w:trPr>
        <w:tc>
          <w:tcPr>
            <w:tcW w:w="3560" w:type="dxa"/>
            <w:vAlign w:val="bottom"/>
            <w:tcBorders>
              <w:left w:val="single" w:sz="8" w:color="525252"/>
              <w:right w:val="single" w:sz="8" w:color="525252"/>
            </w:tcBorders>
            <w:shd w:val="clear" w:color="auto" w:fill="525252"/>
          </w:tcPr>
          <w:p>
            <w:pPr>
              <w:jc w:val="center"/>
              <w:spacing w:after="0"/>
              <w:rPr>
                <w:sz w:val="20"/>
                <w:szCs w:val="20"/>
                <w:color w:val="auto"/>
              </w:rPr>
            </w:pPr>
            <w:r>
              <w:rPr>
                <w:rFonts w:ascii="Arial" w:cs="Arial" w:eastAsia="Arial" w:hAnsi="Arial"/>
                <w:sz w:val="18"/>
                <w:szCs w:val="18"/>
                <w:b w:val="1"/>
                <w:bCs w:val="1"/>
                <w:color w:val="FFFFFF"/>
                <w:w w:val="99"/>
              </w:rPr>
              <w:t>for Performance-Based RSUs</w:t>
            </w:r>
          </w:p>
        </w:tc>
        <w:tc>
          <w:tcPr>
            <w:tcW w:w="1220" w:type="dxa"/>
            <w:vAlign w:val="bottom"/>
            <w:tcBorders>
              <w:right w:val="single" w:sz="8" w:color="525252"/>
            </w:tcBorders>
          </w:tcPr>
          <w:p>
            <w:pPr>
              <w:spacing w:after="0"/>
              <w:rPr>
                <w:sz w:val="21"/>
                <w:szCs w:val="21"/>
                <w:color w:val="auto"/>
              </w:rPr>
            </w:pPr>
          </w:p>
        </w:tc>
        <w:tc>
          <w:tcPr>
            <w:tcW w:w="3540" w:type="dxa"/>
            <w:vAlign w:val="bottom"/>
            <w:tcBorders>
              <w:right w:val="single" w:sz="8" w:color="525252"/>
            </w:tcBorders>
            <w:shd w:val="clear" w:color="auto" w:fill="525252"/>
          </w:tcPr>
          <w:p>
            <w:pPr>
              <w:jc w:val="center"/>
              <w:spacing w:after="0"/>
              <w:rPr>
                <w:sz w:val="20"/>
                <w:szCs w:val="20"/>
                <w:color w:val="auto"/>
              </w:rPr>
            </w:pPr>
            <w:r>
              <w:rPr>
                <w:rFonts w:ascii="Arial" w:cs="Arial" w:eastAsia="Arial" w:hAnsi="Arial"/>
                <w:sz w:val="18"/>
                <w:szCs w:val="18"/>
                <w:b w:val="1"/>
                <w:bCs w:val="1"/>
                <w:color w:val="FFFFFF"/>
                <w:w w:val="99"/>
              </w:rPr>
              <w:t>for Annual Incentive Awards</w:t>
            </w:r>
          </w:p>
        </w:tc>
      </w:tr>
      <w:tr>
        <w:trPr>
          <w:trHeight w:val="229"/>
        </w:trPr>
        <w:tc>
          <w:tcPr>
            <w:tcW w:w="3560" w:type="dxa"/>
            <w:vAlign w:val="bottom"/>
            <w:tcBorders>
              <w:left w:val="single" w:sz="8" w:color="525252"/>
              <w:right w:val="single" w:sz="8" w:color="525252"/>
            </w:tcBorders>
          </w:tcPr>
          <w:p>
            <w:pPr>
              <w:jc w:val="center"/>
              <w:spacing w:after="0"/>
              <w:rPr>
                <w:sz w:val="20"/>
                <w:szCs w:val="20"/>
                <w:color w:val="auto"/>
              </w:rPr>
            </w:pPr>
            <w:r>
              <w:rPr>
                <w:rFonts w:ascii="Arial" w:cs="Arial" w:eastAsia="Arial" w:hAnsi="Arial"/>
                <w:sz w:val="18"/>
                <w:szCs w:val="18"/>
                <w:color w:val="auto"/>
                <w:w w:val="99"/>
              </w:rPr>
              <w:t>50% Earnings Per Share*</w:t>
            </w:r>
          </w:p>
        </w:tc>
        <w:tc>
          <w:tcPr>
            <w:tcW w:w="1220" w:type="dxa"/>
            <w:vAlign w:val="bottom"/>
            <w:tcBorders>
              <w:right w:val="single" w:sz="8" w:color="525252"/>
            </w:tcBorders>
          </w:tcPr>
          <w:p>
            <w:pPr>
              <w:spacing w:after="0"/>
              <w:rPr>
                <w:sz w:val="19"/>
                <w:szCs w:val="19"/>
                <w:color w:val="auto"/>
              </w:rPr>
            </w:pPr>
          </w:p>
        </w:tc>
        <w:tc>
          <w:tcPr>
            <w:tcW w:w="3540" w:type="dxa"/>
            <w:vAlign w:val="bottom"/>
            <w:tcBorders>
              <w:right w:val="single" w:sz="8" w:color="525252"/>
            </w:tcBorders>
          </w:tcPr>
          <w:p>
            <w:pPr>
              <w:jc w:val="center"/>
              <w:spacing w:after="0"/>
              <w:rPr>
                <w:sz w:val="20"/>
                <w:szCs w:val="20"/>
                <w:color w:val="auto"/>
              </w:rPr>
            </w:pPr>
            <w:r>
              <w:rPr>
                <w:rFonts w:ascii="Arial" w:cs="Arial" w:eastAsia="Arial" w:hAnsi="Arial"/>
                <w:sz w:val="18"/>
                <w:szCs w:val="18"/>
                <w:color w:val="auto"/>
                <w:w w:val="99"/>
              </w:rPr>
              <w:t>55% Operating Income</w:t>
            </w:r>
          </w:p>
        </w:tc>
      </w:tr>
      <w:tr>
        <w:trPr>
          <w:trHeight w:val="224"/>
        </w:trPr>
        <w:tc>
          <w:tcPr>
            <w:tcW w:w="3560" w:type="dxa"/>
            <w:vAlign w:val="bottom"/>
            <w:tcBorders>
              <w:left w:val="single" w:sz="8" w:color="525252"/>
              <w:bottom w:val="single" w:sz="8" w:color="525252"/>
              <w:right w:val="single" w:sz="8" w:color="525252"/>
            </w:tcBorders>
          </w:tcPr>
          <w:p>
            <w:pPr>
              <w:jc w:val="center"/>
              <w:spacing w:after="0"/>
              <w:rPr>
                <w:sz w:val="20"/>
                <w:szCs w:val="20"/>
                <w:color w:val="auto"/>
              </w:rPr>
            </w:pPr>
            <w:r>
              <w:rPr>
                <w:rFonts w:ascii="Arial" w:cs="Arial" w:eastAsia="Arial" w:hAnsi="Arial"/>
                <w:sz w:val="18"/>
                <w:szCs w:val="18"/>
                <w:color w:val="auto"/>
                <w:w w:val="99"/>
              </w:rPr>
              <w:t>50% Return on Invested Capital</w:t>
            </w:r>
          </w:p>
        </w:tc>
        <w:tc>
          <w:tcPr>
            <w:tcW w:w="1220" w:type="dxa"/>
            <w:vAlign w:val="bottom"/>
            <w:tcBorders>
              <w:right w:val="single" w:sz="8" w:color="525252"/>
            </w:tcBorders>
          </w:tcPr>
          <w:p>
            <w:pPr>
              <w:spacing w:after="0"/>
              <w:rPr>
                <w:sz w:val="19"/>
                <w:szCs w:val="19"/>
                <w:color w:val="auto"/>
              </w:rPr>
            </w:pPr>
          </w:p>
        </w:tc>
        <w:tc>
          <w:tcPr>
            <w:tcW w:w="3540" w:type="dxa"/>
            <w:vAlign w:val="bottom"/>
            <w:tcBorders>
              <w:bottom w:val="single" w:sz="8" w:color="525252"/>
              <w:right w:val="single" w:sz="8" w:color="525252"/>
            </w:tcBorders>
          </w:tcPr>
          <w:p>
            <w:pPr>
              <w:jc w:val="center"/>
              <w:spacing w:after="0"/>
              <w:rPr>
                <w:sz w:val="20"/>
                <w:szCs w:val="20"/>
                <w:color w:val="auto"/>
              </w:rPr>
            </w:pPr>
            <w:r>
              <w:rPr>
                <w:rFonts w:ascii="Arial" w:cs="Arial" w:eastAsia="Arial" w:hAnsi="Arial"/>
                <w:sz w:val="18"/>
                <w:szCs w:val="18"/>
                <w:color w:val="auto"/>
                <w:w w:val="99"/>
              </w:rPr>
              <w:t>25% Free Cash Flow</w:t>
            </w:r>
          </w:p>
        </w:tc>
      </w:tr>
    </w:tbl>
    <w:p>
      <w:pPr>
        <w:spacing w:after="0" w:line="45" w:lineRule="exact"/>
        <w:rPr>
          <w:sz w:val="20"/>
          <w:szCs w:val="20"/>
          <w:color w:val="auto"/>
        </w:rPr>
      </w:pPr>
    </w:p>
    <w:p>
      <w:pPr>
        <w:ind w:left="1640"/>
        <w:spacing w:after="0"/>
        <w:rPr>
          <w:sz w:val="20"/>
          <w:szCs w:val="20"/>
          <w:color w:val="auto"/>
        </w:rPr>
      </w:pPr>
      <w:r>
        <w:rPr>
          <w:rFonts w:ascii="Arial" w:cs="Arial" w:eastAsia="Arial" w:hAnsi="Arial"/>
          <w:sz w:val="14"/>
          <w:szCs w:val="14"/>
          <w:i w:val="1"/>
          <w:iCs w:val="1"/>
          <w:color w:val="auto"/>
        </w:rPr>
        <w:t>*Excludes the impact of Company share repurchases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2C2C2C"/>
        </w:rPr>
        <w:t xml:space="preserve">24 </w:t>
      </w:r>
      <w:r>
        <w:rPr>
          <w:sz w:val="1"/>
          <w:szCs w:val="1"/>
          <w:color w:val="auto"/>
        </w:rPr>
        <w:drawing>
          <wp:inline distT="0" distB="0" distL="0" distR="0">
            <wp:extent cx="445770" cy="18034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45770" cy="180340"/>
                    </a:xfrm>
                    <a:prstGeom prst="rect">
                      <a:avLst/>
                    </a:prstGeom>
                    <a:noFill/>
                    <a:ln>
                      <a:noFill/>
                    </a:ln>
                  </pic:spPr>
                </pic:pic>
              </a:graphicData>
            </a:graphic>
          </wp:inline>
        </w:drawing>
      </w:r>
      <w:r>
        <w:rPr>
          <w:rFonts w:ascii="Arial" w:cs="Arial" w:eastAsia="Arial" w:hAnsi="Arial"/>
          <w:sz w:val="18"/>
          <w:szCs w:val="18"/>
          <w:color w:val="auto"/>
        </w:rPr>
        <w:t xml:space="preserve"> 2018 PROXY STATEMENT</w:t>
      </w:r>
    </w:p>
    <w:p>
      <w:pPr>
        <w:sectPr>
          <w:pgSz w:w="11900" w:h="16838" w:orient="portrait"/>
          <w:cols w:equalWidth="0" w:num="1">
            <w:col w:w="11420"/>
          </w:cols>
          <w:pgMar w:left="240" w:top="125" w:right="239" w:bottom="1440" w:gutter="0" w:footer="0" w:header="0"/>
        </w:sectPr>
      </w:pPr>
    </w:p>
    <w:bookmarkStart w:id="33" w:name="page34"/>
    <w:bookmarkEnd w:id="33"/>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960"/>
        <w:spacing w:after="0"/>
        <w:rPr>
          <w:sz w:val="20"/>
          <w:szCs w:val="20"/>
          <w:color w:val="auto"/>
        </w:rPr>
      </w:pPr>
      <w:r>
        <w:rPr>
          <w:rFonts w:ascii="Arial" w:cs="Arial" w:eastAsia="Arial" w:hAnsi="Arial"/>
          <w:sz w:val="14"/>
          <w:szCs w:val="14"/>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Compensation Committee set our financial goals to achieve meaningful year-over-year growth in full-year operating income and free cash flow. Threshold performance under the operating income goals (described below) must be met for any payout to be made under the annual incentive plan.</w:t>
      </w:r>
    </w:p>
    <w:p>
      <w:pPr>
        <w:spacing w:after="0" w:line="126" w:lineRule="exact"/>
        <w:rPr>
          <w:sz w:val="20"/>
          <w:szCs w:val="20"/>
          <w:color w:val="auto"/>
        </w:rPr>
      </w:pPr>
    </w:p>
    <w:p>
      <w:pPr>
        <w:ind w:right="3020"/>
        <w:spacing w:after="0" w:line="287" w:lineRule="auto"/>
        <w:rPr>
          <w:sz w:val="20"/>
          <w:szCs w:val="20"/>
          <w:color w:val="auto"/>
        </w:rPr>
      </w:pPr>
      <w:r>
        <w:rPr>
          <w:rFonts w:ascii="Arial" w:cs="Arial" w:eastAsia="Arial" w:hAnsi="Arial"/>
          <w:sz w:val="18"/>
          <w:szCs w:val="18"/>
          <w:b w:val="1"/>
          <w:bCs w:val="1"/>
          <w:color w:val="auto"/>
        </w:rPr>
        <w:t>ANNUAL INCENTIVE PLAN FINANCIAL METRICS AND GOALS FOR 2017 PERFORMANCE PERIOD (80% of Pay-Out)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392"/>
        </w:trPr>
        <w:tc>
          <w:tcPr>
            <w:tcW w:w="1160" w:type="dxa"/>
            <w:vAlign w:val="bottom"/>
            <w:shd w:val="clear" w:color="auto" w:fill="525252"/>
          </w:tcPr>
          <w:p>
            <w:pPr>
              <w:ind w:left="340"/>
              <w:spacing w:after="0"/>
              <w:rPr>
                <w:sz w:val="20"/>
                <w:szCs w:val="20"/>
                <w:color w:val="auto"/>
              </w:rPr>
            </w:pPr>
            <w:r>
              <w:rPr>
                <w:rFonts w:ascii="Arial" w:cs="Arial" w:eastAsia="Arial" w:hAnsi="Arial"/>
                <w:sz w:val="16"/>
                <w:szCs w:val="16"/>
                <w:b w:val="1"/>
                <w:bCs w:val="1"/>
                <w:color w:val="FFFFFF"/>
              </w:rPr>
              <w:t>Metric</w:t>
            </w:r>
          </w:p>
        </w:tc>
        <w:tc>
          <w:tcPr>
            <w:tcW w:w="1840" w:type="dxa"/>
            <w:vAlign w:val="bottom"/>
            <w:shd w:val="clear" w:color="auto" w:fill="525252"/>
          </w:tcPr>
          <w:p>
            <w:pPr>
              <w:ind w:left="500"/>
              <w:spacing w:after="0"/>
              <w:rPr>
                <w:sz w:val="20"/>
                <w:szCs w:val="20"/>
                <w:color w:val="auto"/>
              </w:rPr>
            </w:pPr>
            <w:r>
              <w:rPr>
                <w:rFonts w:ascii="Arial" w:cs="Arial" w:eastAsia="Arial" w:hAnsi="Arial"/>
                <w:sz w:val="18"/>
                <w:szCs w:val="18"/>
                <w:b w:val="1"/>
                <w:bCs w:val="1"/>
                <w:color w:val="FFFFFF"/>
              </w:rPr>
              <w:t>Rationale</w:t>
            </w:r>
          </w:p>
        </w:tc>
        <w:tc>
          <w:tcPr>
            <w:tcW w:w="1480" w:type="dxa"/>
            <w:vAlign w:val="bottom"/>
            <w:shd w:val="clear" w:color="auto" w:fill="525252"/>
          </w:tcPr>
          <w:p>
            <w:pPr>
              <w:jc w:val="center"/>
              <w:spacing w:after="0"/>
              <w:rPr>
                <w:sz w:val="20"/>
                <w:szCs w:val="20"/>
                <w:color w:val="auto"/>
              </w:rPr>
            </w:pPr>
            <w:r>
              <w:rPr>
                <w:rFonts w:ascii="Arial" w:cs="Arial" w:eastAsia="Arial" w:hAnsi="Arial"/>
                <w:sz w:val="18"/>
                <w:szCs w:val="18"/>
                <w:b w:val="1"/>
                <w:bCs w:val="1"/>
                <w:color w:val="FFFFFF"/>
                <w:w w:val="98"/>
              </w:rPr>
              <w:t>BWXT</w:t>
            </w:r>
          </w:p>
        </w:tc>
        <w:tc>
          <w:tcPr>
            <w:tcW w:w="1840" w:type="dxa"/>
            <w:vAlign w:val="bottom"/>
            <w:shd w:val="clear" w:color="auto" w:fill="525252"/>
          </w:tcPr>
          <w:p>
            <w:pPr>
              <w:jc w:val="center"/>
              <w:spacing w:after="0"/>
              <w:rPr>
                <w:sz w:val="20"/>
                <w:szCs w:val="20"/>
                <w:color w:val="auto"/>
              </w:rPr>
            </w:pPr>
            <w:r>
              <w:rPr>
                <w:rFonts w:ascii="Arial" w:cs="Arial" w:eastAsia="Arial" w:hAnsi="Arial"/>
                <w:sz w:val="18"/>
                <w:szCs w:val="18"/>
                <w:b w:val="1"/>
                <w:bCs w:val="1"/>
                <w:color w:val="FFFFFF"/>
                <w:w w:val="99"/>
              </w:rPr>
              <w:t>Threshold Goal</w:t>
            </w:r>
          </w:p>
        </w:tc>
        <w:tc>
          <w:tcPr>
            <w:tcW w:w="1700" w:type="dxa"/>
            <w:vAlign w:val="bottom"/>
            <w:shd w:val="clear" w:color="auto" w:fill="525252"/>
          </w:tcPr>
          <w:p>
            <w:pPr>
              <w:jc w:val="center"/>
              <w:spacing w:after="0"/>
              <w:rPr>
                <w:sz w:val="20"/>
                <w:szCs w:val="20"/>
                <w:color w:val="auto"/>
              </w:rPr>
            </w:pPr>
            <w:r>
              <w:rPr>
                <w:rFonts w:ascii="Arial" w:cs="Arial" w:eastAsia="Arial" w:hAnsi="Arial"/>
                <w:sz w:val="18"/>
                <w:szCs w:val="18"/>
                <w:b w:val="1"/>
                <w:bCs w:val="1"/>
                <w:color w:val="FFFFFF"/>
                <w:w w:val="97"/>
              </w:rPr>
              <w:t>Target Goal</w:t>
            </w:r>
          </w:p>
        </w:tc>
        <w:tc>
          <w:tcPr>
            <w:tcW w:w="1700" w:type="dxa"/>
            <w:vAlign w:val="bottom"/>
            <w:shd w:val="clear" w:color="auto" w:fill="525252"/>
          </w:tcPr>
          <w:p>
            <w:pPr>
              <w:jc w:val="center"/>
              <w:spacing w:after="0"/>
              <w:rPr>
                <w:sz w:val="20"/>
                <w:szCs w:val="20"/>
                <w:color w:val="auto"/>
              </w:rPr>
            </w:pPr>
            <w:r>
              <w:rPr>
                <w:rFonts w:ascii="Arial" w:cs="Arial" w:eastAsia="Arial" w:hAnsi="Arial"/>
                <w:sz w:val="18"/>
                <w:szCs w:val="18"/>
                <w:b w:val="1"/>
                <w:bCs w:val="1"/>
                <w:color w:val="FFFFFF"/>
                <w:w w:val="99"/>
              </w:rPr>
              <w:t>Maximum Goal</w:t>
            </w:r>
          </w:p>
        </w:tc>
        <w:tc>
          <w:tcPr>
            <w:tcW w:w="1700" w:type="dxa"/>
            <w:vAlign w:val="bottom"/>
            <w:shd w:val="clear" w:color="auto" w:fill="525252"/>
          </w:tcPr>
          <w:p>
            <w:pPr>
              <w:jc w:val="center"/>
              <w:spacing w:after="0"/>
              <w:rPr>
                <w:sz w:val="20"/>
                <w:szCs w:val="20"/>
                <w:color w:val="auto"/>
              </w:rPr>
            </w:pPr>
            <w:r>
              <w:rPr>
                <w:rFonts w:ascii="Arial" w:cs="Arial" w:eastAsia="Arial" w:hAnsi="Arial"/>
                <w:sz w:val="18"/>
                <w:szCs w:val="18"/>
                <w:b w:val="1"/>
                <w:bCs w:val="1"/>
                <w:color w:val="FFFFFF"/>
                <w:w w:val="98"/>
              </w:rPr>
              <w:t>Actual</w:t>
            </w:r>
          </w:p>
        </w:tc>
        <w:tc>
          <w:tcPr>
            <w:tcW w:w="0" w:type="dxa"/>
            <w:vAlign w:val="bottom"/>
          </w:tcPr>
          <w:p>
            <w:pPr>
              <w:spacing w:after="0"/>
              <w:rPr>
                <w:sz w:val="1"/>
                <w:szCs w:val="1"/>
                <w:color w:val="auto"/>
              </w:rPr>
            </w:pPr>
          </w:p>
        </w:tc>
      </w:tr>
      <w:tr>
        <w:trPr>
          <w:trHeight w:val="203"/>
        </w:trPr>
        <w:tc>
          <w:tcPr>
            <w:tcW w:w="1160" w:type="dxa"/>
            <w:vAlign w:val="bottom"/>
            <w:shd w:val="clear" w:color="auto" w:fill="525252"/>
          </w:tcPr>
          <w:p>
            <w:pPr>
              <w:ind w:left="260"/>
              <w:spacing w:after="0"/>
              <w:rPr>
                <w:sz w:val="20"/>
                <w:szCs w:val="20"/>
                <w:color w:val="auto"/>
              </w:rPr>
            </w:pPr>
            <w:r>
              <w:rPr>
                <w:rFonts w:ascii="Arial" w:cs="Arial" w:eastAsia="Arial" w:hAnsi="Arial"/>
                <w:sz w:val="16"/>
                <w:szCs w:val="16"/>
                <w:b w:val="1"/>
                <w:bCs w:val="1"/>
                <w:color w:val="FFFFFF"/>
              </w:rPr>
              <w:t>(Weight)</w:t>
            </w:r>
          </w:p>
        </w:tc>
        <w:tc>
          <w:tcPr>
            <w:tcW w:w="1840" w:type="dxa"/>
            <w:vAlign w:val="bottom"/>
            <w:shd w:val="clear" w:color="auto" w:fill="525252"/>
          </w:tcPr>
          <w:p>
            <w:pPr>
              <w:spacing w:after="0"/>
              <w:rPr>
                <w:sz w:val="17"/>
                <w:szCs w:val="17"/>
                <w:color w:val="auto"/>
              </w:rPr>
            </w:pPr>
          </w:p>
        </w:tc>
        <w:tc>
          <w:tcPr>
            <w:tcW w:w="1480" w:type="dxa"/>
            <w:vAlign w:val="bottom"/>
            <w:shd w:val="clear" w:color="auto" w:fill="525252"/>
          </w:tcPr>
          <w:p>
            <w:pPr>
              <w:jc w:val="center"/>
              <w:spacing w:after="0" w:line="202" w:lineRule="exact"/>
              <w:rPr>
                <w:sz w:val="20"/>
                <w:szCs w:val="20"/>
                <w:color w:val="auto"/>
              </w:rPr>
            </w:pPr>
            <w:r>
              <w:rPr>
                <w:rFonts w:ascii="Arial" w:cs="Arial" w:eastAsia="Arial" w:hAnsi="Arial"/>
                <w:sz w:val="18"/>
                <w:szCs w:val="18"/>
                <w:b w:val="1"/>
                <w:bCs w:val="1"/>
                <w:color w:val="FFFFFF"/>
                <w:w w:val="99"/>
              </w:rPr>
              <w:t>Business</w:t>
            </w:r>
          </w:p>
        </w:tc>
        <w:tc>
          <w:tcPr>
            <w:tcW w:w="1840" w:type="dxa"/>
            <w:vAlign w:val="bottom"/>
            <w:shd w:val="clear" w:color="auto" w:fill="525252"/>
          </w:tcPr>
          <w:p>
            <w:pPr>
              <w:jc w:val="center"/>
              <w:spacing w:after="0"/>
              <w:rPr>
                <w:sz w:val="20"/>
                <w:szCs w:val="20"/>
                <w:color w:val="auto"/>
              </w:rPr>
            </w:pPr>
            <w:r>
              <w:rPr>
                <w:rFonts w:ascii="Arial" w:cs="Arial" w:eastAsia="Arial" w:hAnsi="Arial"/>
                <w:sz w:val="14"/>
                <w:szCs w:val="14"/>
                <w:b w:val="1"/>
                <w:bCs w:val="1"/>
                <w:i w:val="1"/>
                <w:iCs w:val="1"/>
                <w:color w:val="FFFFFF"/>
              </w:rPr>
              <w:t>80% Performance</w:t>
            </w:r>
          </w:p>
        </w:tc>
        <w:tc>
          <w:tcPr>
            <w:tcW w:w="1700" w:type="dxa"/>
            <w:vAlign w:val="bottom"/>
            <w:shd w:val="clear" w:color="auto" w:fill="525252"/>
          </w:tcPr>
          <w:p>
            <w:pPr>
              <w:jc w:val="center"/>
              <w:spacing w:after="0"/>
              <w:rPr>
                <w:sz w:val="20"/>
                <w:szCs w:val="20"/>
                <w:color w:val="auto"/>
              </w:rPr>
            </w:pPr>
            <w:r>
              <w:rPr>
                <w:rFonts w:ascii="Arial" w:cs="Arial" w:eastAsia="Arial" w:hAnsi="Arial"/>
                <w:sz w:val="14"/>
                <w:szCs w:val="14"/>
                <w:b w:val="1"/>
                <w:bCs w:val="1"/>
                <w:i w:val="1"/>
                <w:iCs w:val="1"/>
                <w:color w:val="FFFFFF"/>
              </w:rPr>
              <w:t>100% Performance</w:t>
            </w:r>
          </w:p>
        </w:tc>
        <w:tc>
          <w:tcPr>
            <w:tcW w:w="1700" w:type="dxa"/>
            <w:vAlign w:val="bottom"/>
            <w:shd w:val="clear" w:color="auto" w:fill="525252"/>
          </w:tcPr>
          <w:p>
            <w:pPr>
              <w:jc w:val="center"/>
              <w:spacing w:after="0"/>
              <w:rPr>
                <w:sz w:val="20"/>
                <w:szCs w:val="20"/>
                <w:color w:val="auto"/>
              </w:rPr>
            </w:pPr>
            <w:r>
              <w:rPr>
                <w:rFonts w:ascii="Arial" w:cs="Arial" w:eastAsia="Arial" w:hAnsi="Arial"/>
                <w:sz w:val="14"/>
                <w:szCs w:val="14"/>
                <w:b w:val="1"/>
                <w:bCs w:val="1"/>
                <w:i w:val="1"/>
                <w:iCs w:val="1"/>
                <w:color w:val="FFFFFF"/>
              </w:rPr>
              <w:t>120% Performance</w:t>
            </w:r>
          </w:p>
        </w:tc>
        <w:tc>
          <w:tcPr>
            <w:tcW w:w="1700" w:type="dxa"/>
            <w:vAlign w:val="bottom"/>
            <w:shd w:val="clear" w:color="auto" w:fill="525252"/>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160" w:type="dxa"/>
            <w:vAlign w:val="bottom"/>
            <w:shd w:val="clear" w:color="auto" w:fill="525252"/>
          </w:tcPr>
          <w:p>
            <w:pPr>
              <w:spacing w:after="0"/>
              <w:rPr>
                <w:sz w:val="23"/>
                <w:szCs w:val="23"/>
                <w:color w:val="auto"/>
              </w:rPr>
            </w:pPr>
          </w:p>
        </w:tc>
        <w:tc>
          <w:tcPr>
            <w:tcW w:w="1840" w:type="dxa"/>
            <w:vAlign w:val="bottom"/>
            <w:shd w:val="clear" w:color="auto" w:fill="525252"/>
          </w:tcPr>
          <w:p>
            <w:pPr>
              <w:spacing w:after="0"/>
              <w:rPr>
                <w:sz w:val="23"/>
                <w:szCs w:val="23"/>
                <w:color w:val="auto"/>
              </w:rPr>
            </w:pPr>
          </w:p>
        </w:tc>
        <w:tc>
          <w:tcPr>
            <w:tcW w:w="1480" w:type="dxa"/>
            <w:vAlign w:val="bottom"/>
            <w:shd w:val="clear" w:color="auto" w:fill="525252"/>
          </w:tcPr>
          <w:p>
            <w:pPr>
              <w:jc w:val="center"/>
              <w:spacing w:after="0"/>
              <w:rPr>
                <w:sz w:val="20"/>
                <w:szCs w:val="20"/>
                <w:color w:val="auto"/>
              </w:rPr>
            </w:pPr>
            <w:r>
              <w:rPr>
                <w:rFonts w:ascii="Arial" w:cs="Arial" w:eastAsia="Arial" w:hAnsi="Arial"/>
                <w:sz w:val="18"/>
                <w:szCs w:val="18"/>
                <w:b w:val="1"/>
                <w:bCs w:val="1"/>
                <w:color w:val="FFFFFF"/>
              </w:rPr>
              <w:t>Unit</w:t>
            </w:r>
          </w:p>
        </w:tc>
        <w:tc>
          <w:tcPr>
            <w:tcW w:w="1840" w:type="dxa"/>
            <w:vAlign w:val="bottom"/>
            <w:shd w:val="clear" w:color="auto" w:fill="525252"/>
          </w:tcPr>
          <w:p>
            <w:pPr>
              <w:jc w:val="center"/>
              <w:spacing w:after="0"/>
              <w:rPr>
                <w:sz w:val="20"/>
                <w:szCs w:val="20"/>
                <w:color w:val="auto"/>
              </w:rPr>
            </w:pPr>
            <w:r>
              <w:rPr>
                <w:rFonts w:ascii="Arial" w:cs="Arial" w:eastAsia="Arial" w:hAnsi="Arial"/>
                <w:sz w:val="14"/>
                <w:szCs w:val="14"/>
                <w:b w:val="1"/>
                <w:bCs w:val="1"/>
                <w:i w:val="1"/>
                <w:iCs w:val="1"/>
                <w:color w:val="FFFFFF"/>
              </w:rPr>
              <w:t>50% Payout</w:t>
            </w:r>
          </w:p>
        </w:tc>
        <w:tc>
          <w:tcPr>
            <w:tcW w:w="1700" w:type="dxa"/>
            <w:vAlign w:val="bottom"/>
            <w:shd w:val="clear" w:color="auto" w:fill="525252"/>
          </w:tcPr>
          <w:p>
            <w:pPr>
              <w:jc w:val="center"/>
              <w:spacing w:after="0"/>
              <w:rPr>
                <w:sz w:val="20"/>
                <w:szCs w:val="20"/>
                <w:color w:val="auto"/>
              </w:rPr>
            </w:pPr>
            <w:r>
              <w:rPr>
                <w:rFonts w:ascii="Arial" w:cs="Arial" w:eastAsia="Arial" w:hAnsi="Arial"/>
                <w:sz w:val="14"/>
                <w:szCs w:val="14"/>
                <w:b w:val="1"/>
                <w:bCs w:val="1"/>
                <w:i w:val="1"/>
                <w:iCs w:val="1"/>
                <w:color w:val="FFFFFF"/>
              </w:rPr>
              <w:t>100% Payout</w:t>
            </w:r>
          </w:p>
        </w:tc>
        <w:tc>
          <w:tcPr>
            <w:tcW w:w="1700" w:type="dxa"/>
            <w:vAlign w:val="bottom"/>
            <w:shd w:val="clear" w:color="auto" w:fill="525252"/>
          </w:tcPr>
          <w:p>
            <w:pPr>
              <w:jc w:val="center"/>
              <w:spacing w:after="0"/>
              <w:rPr>
                <w:sz w:val="20"/>
                <w:szCs w:val="20"/>
                <w:color w:val="auto"/>
              </w:rPr>
            </w:pPr>
            <w:r>
              <w:rPr>
                <w:rFonts w:ascii="Arial" w:cs="Arial" w:eastAsia="Arial" w:hAnsi="Arial"/>
                <w:sz w:val="14"/>
                <w:szCs w:val="14"/>
                <w:b w:val="1"/>
                <w:bCs w:val="1"/>
                <w:i w:val="1"/>
                <w:iCs w:val="1"/>
                <w:color w:val="FFFFFF"/>
              </w:rPr>
              <w:t>200% Payout</w:t>
            </w:r>
          </w:p>
        </w:tc>
        <w:tc>
          <w:tcPr>
            <w:tcW w:w="1700" w:type="dxa"/>
            <w:vAlign w:val="bottom"/>
            <w:shd w:val="clear" w:color="auto" w:fill="525252"/>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1160" w:type="dxa"/>
            <w:vAlign w:val="bottom"/>
            <w:vMerge w:val="restart"/>
          </w:tcPr>
          <w:p>
            <w:pPr>
              <w:ind w:left="40"/>
              <w:spacing w:after="0"/>
              <w:rPr>
                <w:sz w:val="20"/>
                <w:szCs w:val="20"/>
                <w:color w:val="auto"/>
              </w:rPr>
            </w:pPr>
            <w:r>
              <w:rPr>
                <w:rFonts w:ascii="Arial" w:cs="Arial" w:eastAsia="Arial" w:hAnsi="Arial"/>
                <w:sz w:val="16"/>
                <w:szCs w:val="16"/>
                <w:color w:val="auto"/>
              </w:rPr>
              <w:t>Operating</w:t>
            </w:r>
          </w:p>
        </w:tc>
        <w:tc>
          <w:tcPr>
            <w:tcW w:w="1840" w:type="dxa"/>
            <w:vAlign w:val="bottom"/>
            <w:shd w:val="clear" w:color="auto" w:fill="E5E5E5"/>
          </w:tcPr>
          <w:p>
            <w:pPr>
              <w:ind w:left="20"/>
              <w:spacing w:after="0"/>
              <w:rPr>
                <w:sz w:val="20"/>
                <w:szCs w:val="20"/>
                <w:color w:val="auto"/>
              </w:rPr>
            </w:pPr>
            <w:r>
              <w:rPr>
                <w:rFonts w:ascii="Arial" w:cs="Arial" w:eastAsia="Arial" w:hAnsi="Arial"/>
                <w:sz w:val="16"/>
                <w:szCs w:val="16"/>
                <w:color w:val="auto"/>
              </w:rPr>
              <w:t>Our primary measure of</w:t>
            </w:r>
          </w:p>
        </w:tc>
        <w:tc>
          <w:tcPr>
            <w:tcW w:w="1480" w:type="dxa"/>
            <w:vAlign w:val="bottom"/>
            <w:vMerge w:val="restart"/>
          </w:tcPr>
          <w:p>
            <w:pPr>
              <w:jc w:val="center"/>
              <w:spacing w:after="0"/>
              <w:rPr>
                <w:sz w:val="20"/>
                <w:szCs w:val="20"/>
                <w:color w:val="auto"/>
              </w:rPr>
            </w:pPr>
            <w:r>
              <w:rPr>
                <w:rFonts w:ascii="Arial" w:cs="Arial" w:eastAsia="Arial" w:hAnsi="Arial"/>
                <w:sz w:val="16"/>
                <w:szCs w:val="16"/>
                <w:color w:val="auto"/>
                <w:w w:val="99"/>
              </w:rPr>
              <w:t>BWXT</w:t>
            </w:r>
          </w:p>
        </w:tc>
        <w:tc>
          <w:tcPr>
            <w:tcW w:w="1840" w:type="dxa"/>
            <w:vAlign w:val="bottom"/>
            <w:vMerge w:val="restart"/>
            <w:shd w:val="clear" w:color="auto" w:fill="E5E5E5"/>
          </w:tcPr>
          <w:p>
            <w:pPr>
              <w:jc w:val="center"/>
              <w:spacing w:after="0"/>
              <w:rPr>
                <w:sz w:val="20"/>
                <w:szCs w:val="20"/>
                <w:color w:val="auto"/>
              </w:rPr>
            </w:pPr>
            <w:r>
              <w:rPr>
                <w:rFonts w:ascii="Arial" w:cs="Arial" w:eastAsia="Arial" w:hAnsi="Arial"/>
                <w:sz w:val="16"/>
                <w:szCs w:val="16"/>
                <w:color w:val="auto"/>
              </w:rPr>
              <w:t>$239.2 million</w:t>
            </w:r>
          </w:p>
        </w:tc>
        <w:tc>
          <w:tcPr>
            <w:tcW w:w="1700" w:type="dxa"/>
            <w:vAlign w:val="bottom"/>
            <w:vMerge w:val="restart"/>
            <w:shd w:val="clear" w:color="auto" w:fill="E5E5E5"/>
          </w:tcPr>
          <w:p>
            <w:pPr>
              <w:jc w:val="center"/>
              <w:spacing w:after="0"/>
              <w:rPr>
                <w:sz w:val="20"/>
                <w:szCs w:val="20"/>
                <w:color w:val="auto"/>
              </w:rPr>
            </w:pPr>
            <w:r>
              <w:rPr>
                <w:rFonts w:ascii="Arial" w:cs="Arial" w:eastAsia="Arial" w:hAnsi="Arial"/>
                <w:sz w:val="16"/>
                <w:szCs w:val="16"/>
                <w:color w:val="auto"/>
              </w:rPr>
              <w:t>$299.0 million</w:t>
            </w:r>
          </w:p>
        </w:tc>
        <w:tc>
          <w:tcPr>
            <w:tcW w:w="1700" w:type="dxa"/>
            <w:vAlign w:val="bottom"/>
            <w:vMerge w:val="restart"/>
            <w:shd w:val="clear" w:color="auto" w:fill="E5E5E5"/>
          </w:tcPr>
          <w:p>
            <w:pPr>
              <w:jc w:val="center"/>
              <w:spacing w:after="0"/>
              <w:rPr>
                <w:sz w:val="20"/>
                <w:szCs w:val="20"/>
                <w:color w:val="auto"/>
              </w:rPr>
            </w:pPr>
            <w:r>
              <w:rPr>
                <w:rFonts w:ascii="Arial" w:cs="Arial" w:eastAsia="Arial" w:hAnsi="Arial"/>
                <w:sz w:val="16"/>
                <w:szCs w:val="16"/>
                <w:color w:val="auto"/>
              </w:rPr>
              <w:t>$358.8 million</w:t>
            </w:r>
          </w:p>
        </w:tc>
        <w:tc>
          <w:tcPr>
            <w:tcW w:w="17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$319.3 million</w:t>
            </w:r>
            <w:r>
              <w:rPr>
                <w:rFonts w:ascii="Arial" w:cs="Arial" w:eastAsia="Arial" w:hAnsi="Arial"/>
                <w:sz w:val="21"/>
                <w:szCs w:val="21"/>
                <w:b w:val="1"/>
                <w:bCs w:val="1"/>
                <w:color w:val="auto"/>
                <w:w w:val="96"/>
                <w:vertAlign w:val="superscript"/>
              </w:rPr>
              <w:t>(1)</w:t>
            </w:r>
          </w:p>
        </w:tc>
        <w:tc>
          <w:tcPr>
            <w:tcW w:w="0" w:type="dxa"/>
            <w:vAlign w:val="bottom"/>
          </w:tcPr>
          <w:p>
            <w:pPr>
              <w:spacing w:after="0"/>
              <w:rPr>
                <w:sz w:val="1"/>
                <w:szCs w:val="1"/>
                <w:color w:val="auto"/>
              </w:rPr>
            </w:pPr>
          </w:p>
        </w:tc>
      </w:tr>
      <w:tr>
        <w:trPr>
          <w:trHeight w:val="81"/>
        </w:trPr>
        <w:tc>
          <w:tcPr>
            <w:tcW w:w="1160" w:type="dxa"/>
            <w:vAlign w:val="bottom"/>
            <w:vMerge w:val="continue"/>
          </w:tcPr>
          <w:p>
            <w:pPr>
              <w:spacing w:after="0"/>
              <w:rPr>
                <w:sz w:val="7"/>
                <w:szCs w:val="7"/>
                <w:color w:val="auto"/>
              </w:rPr>
            </w:pPr>
          </w:p>
        </w:tc>
        <w:tc>
          <w:tcPr>
            <w:tcW w:w="1840" w:type="dxa"/>
            <w:vAlign w:val="bottom"/>
            <w:vMerge w:val="restart"/>
            <w:shd w:val="clear" w:color="auto" w:fill="E5E5E5"/>
          </w:tcPr>
          <w:p>
            <w:pPr>
              <w:ind w:left="20"/>
              <w:spacing w:after="0" w:line="147" w:lineRule="exact"/>
              <w:rPr>
                <w:sz w:val="20"/>
                <w:szCs w:val="20"/>
                <w:color w:val="auto"/>
              </w:rPr>
            </w:pPr>
            <w:r>
              <w:rPr>
                <w:rFonts w:ascii="Arial" w:cs="Arial" w:eastAsia="Arial" w:hAnsi="Arial"/>
                <w:sz w:val="16"/>
                <w:szCs w:val="16"/>
                <w:color w:val="auto"/>
              </w:rPr>
              <w:t>profitability, which we</w:t>
            </w:r>
          </w:p>
        </w:tc>
        <w:tc>
          <w:tcPr>
            <w:tcW w:w="1480" w:type="dxa"/>
            <w:vAlign w:val="bottom"/>
            <w:vMerge w:val="continue"/>
          </w:tcPr>
          <w:p>
            <w:pPr>
              <w:spacing w:after="0"/>
              <w:rPr>
                <w:sz w:val="7"/>
                <w:szCs w:val="7"/>
                <w:color w:val="auto"/>
              </w:rPr>
            </w:pPr>
          </w:p>
        </w:tc>
        <w:tc>
          <w:tcPr>
            <w:tcW w:w="1840" w:type="dxa"/>
            <w:vAlign w:val="bottom"/>
            <w:vMerge w:val="continue"/>
            <w:shd w:val="clear" w:color="auto" w:fill="E5E5E5"/>
          </w:tcPr>
          <w:p>
            <w:pPr>
              <w:spacing w:after="0"/>
              <w:rPr>
                <w:sz w:val="7"/>
                <w:szCs w:val="7"/>
                <w:color w:val="auto"/>
              </w:rPr>
            </w:pPr>
          </w:p>
        </w:tc>
        <w:tc>
          <w:tcPr>
            <w:tcW w:w="1700" w:type="dxa"/>
            <w:vAlign w:val="bottom"/>
            <w:vMerge w:val="continue"/>
            <w:shd w:val="clear" w:color="auto" w:fill="E5E5E5"/>
          </w:tcPr>
          <w:p>
            <w:pPr>
              <w:spacing w:after="0"/>
              <w:rPr>
                <w:sz w:val="7"/>
                <w:szCs w:val="7"/>
                <w:color w:val="auto"/>
              </w:rPr>
            </w:pPr>
          </w:p>
        </w:tc>
        <w:tc>
          <w:tcPr>
            <w:tcW w:w="1700" w:type="dxa"/>
            <w:vAlign w:val="bottom"/>
            <w:vMerge w:val="continue"/>
            <w:shd w:val="clear" w:color="auto" w:fill="E5E5E5"/>
          </w:tcPr>
          <w:p>
            <w:pPr>
              <w:spacing w:after="0"/>
              <w:rPr>
                <w:sz w:val="7"/>
                <w:szCs w:val="7"/>
                <w:color w:val="auto"/>
              </w:rPr>
            </w:pPr>
          </w:p>
        </w:tc>
        <w:tc>
          <w:tcPr>
            <w:tcW w:w="1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160" w:type="dxa"/>
            <w:vAlign w:val="bottom"/>
            <w:vMerge w:val="continue"/>
          </w:tcPr>
          <w:p>
            <w:pPr>
              <w:spacing w:after="0"/>
              <w:rPr>
                <w:sz w:val="5"/>
                <w:szCs w:val="5"/>
                <w:color w:val="auto"/>
              </w:rPr>
            </w:pPr>
          </w:p>
        </w:tc>
        <w:tc>
          <w:tcPr>
            <w:tcW w:w="1840" w:type="dxa"/>
            <w:vAlign w:val="bottom"/>
            <w:vMerge w:val="continue"/>
            <w:shd w:val="clear" w:color="auto" w:fill="E5E5E5"/>
          </w:tcPr>
          <w:p>
            <w:pPr>
              <w:spacing w:after="0"/>
              <w:rPr>
                <w:sz w:val="5"/>
                <w:szCs w:val="5"/>
                <w:color w:val="auto"/>
              </w:rPr>
            </w:pPr>
          </w:p>
        </w:tc>
        <w:tc>
          <w:tcPr>
            <w:tcW w:w="1480" w:type="dxa"/>
            <w:vAlign w:val="bottom"/>
            <w:vMerge w:val="restart"/>
          </w:tcPr>
          <w:p>
            <w:pPr>
              <w:jc w:val="center"/>
              <w:spacing w:after="0"/>
              <w:rPr>
                <w:sz w:val="20"/>
                <w:szCs w:val="20"/>
                <w:color w:val="auto"/>
              </w:rPr>
            </w:pPr>
            <w:r>
              <w:rPr>
                <w:rFonts w:ascii="Arial" w:cs="Arial" w:eastAsia="Arial" w:hAnsi="Arial"/>
                <w:sz w:val="16"/>
                <w:szCs w:val="16"/>
                <w:color w:val="auto"/>
              </w:rPr>
              <w:t>Consolidated</w:t>
            </w:r>
          </w:p>
        </w:tc>
        <w:tc>
          <w:tcPr>
            <w:tcW w:w="1840" w:type="dxa"/>
            <w:vAlign w:val="bottom"/>
            <w:vMerge w:val="continue"/>
            <w:shd w:val="clear" w:color="auto" w:fill="E5E5E5"/>
          </w:tcPr>
          <w:p>
            <w:pPr>
              <w:spacing w:after="0"/>
              <w:rPr>
                <w:sz w:val="5"/>
                <w:szCs w:val="5"/>
                <w:color w:val="auto"/>
              </w:rPr>
            </w:pPr>
          </w:p>
        </w:tc>
        <w:tc>
          <w:tcPr>
            <w:tcW w:w="1700" w:type="dxa"/>
            <w:vAlign w:val="bottom"/>
            <w:vMerge w:val="continue"/>
            <w:shd w:val="clear" w:color="auto" w:fill="E5E5E5"/>
          </w:tcPr>
          <w:p>
            <w:pPr>
              <w:spacing w:after="0"/>
              <w:rPr>
                <w:sz w:val="5"/>
                <w:szCs w:val="5"/>
                <w:color w:val="auto"/>
              </w:rPr>
            </w:pPr>
          </w:p>
        </w:tc>
        <w:tc>
          <w:tcPr>
            <w:tcW w:w="1700" w:type="dxa"/>
            <w:vAlign w:val="bottom"/>
            <w:vMerge w:val="continue"/>
            <w:shd w:val="clear" w:color="auto" w:fill="E5E5E5"/>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160" w:type="dxa"/>
            <w:vAlign w:val="bottom"/>
          </w:tcPr>
          <w:p>
            <w:pPr>
              <w:ind w:left="40"/>
              <w:spacing w:after="0" w:line="137" w:lineRule="exact"/>
              <w:rPr>
                <w:sz w:val="20"/>
                <w:szCs w:val="20"/>
                <w:color w:val="auto"/>
              </w:rPr>
            </w:pPr>
            <w:r>
              <w:rPr>
                <w:rFonts w:ascii="Arial" w:cs="Arial" w:eastAsia="Arial" w:hAnsi="Arial"/>
                <w:sz w:val="15"/>
                <w:szCs w:val="15"/>
                <w:color w:val="auto"/>
              </w:rPr>
              <w:t>Income</w:t>
            </w:r>
          </w:p>
        </w:tc>
        <w:tc>
          <w:tcPr>
            <w:tcW w:w="1840" w:type="dxa"/>
            <w:vAlign w:val="bottom"/>
            <w:vMerge w:val="restart"/>
            <w:shd w:val="clear" w:color="auto" w:fill="E5E5E5"/>
          </w:tcPr>
          <w:p>
            <w:pPr>
              <w:ind w:left="20"/>
              <w:spacing w:after="0"/>
              <w:rPr>
                <w:sz w:val="20"/>
                <w:szCs w:val="20"/>
                <w:color w:val="auto"/>
              </w:rPr>
            </w:pPr>
            <w:r>
              <w:rPr>
                <w:rFonts w:ascii="Arial" w:cs="Arial" w:eastAsia="Arial" w:hAnsi="Arial"/>
                <w:sz w:val="16"/>
                <w:szCs w:val="16"/>
                <w:color w:val="auto"/>
              </w:rPr>
              <w:t>believe is a strong driver</w:t>
            </w:r>
          </w:p>
        </w:tc>
        <w:tc>
          <w:tcPr>
            <w:tcW w:w="1480" w:type="dxa"/>
            <w:vAlign w:val="bottom"/>
            <w:vMerge w:val="continue"/>
          </w:tcPr>
          <w:p>
            <w:pPr>
              <w:spacing w:after="0"/>
              <w:rPr>
                <w:sz w:val="11"/>
                <w:szCs w:val="11"/>
                <w:color w:val="auto"/>
              </w:rPr>
            </w:pPr>
          </w:p>
        </w:tc>
        <w:tc>
          <w:tcPr>
            <w:tcW w:w="1840" w:type="dxa"/>
            <w:vAlign w:val="bottom"/>
            <w:shd w:val="clear" w:color="auto" w:fill="E5E5E5"/>
          </w:tcPr>
          <w:p>
            <w:pPr>
              <w:spacing w:after="0"/>
              <w:rPr>
                <w:sz w:val="11"/>
                <w:szCs w:val="11"/>
                <w:color w:val="auto"/>
              </w:rPr>
            </w:pPr>
          </w:p>
        </w:tc>
        <w:tc>
          <w:tcPr>
            <w:tcW w:w="1700" w:type="dxa"/>
            <w:vAlign w:val="bottom"/>
            <w:shd w:val="clear" w:color="auto" w:fill="E5E5E5"/>
          </w:tcPr>
          <w:p>
            <w:pPr>
              <w:spacing w:after="0"/>
              <w:rPr>
                <w:sz w:val="11"/>
                <w:szCs w:val="11"/>
                <w:color w:val="auto"/>
              </w:rPr>
            </w:pPr>
          </w:p>
        </w:tc>
        <w:tc>
          <w:tcPr>
            <w:tcW w:w="1700" w:type="dxa"/>
            <w:vAlign w:val="bottom"/>
            <w:shd w:val="clear" w:color="auto" w:fill="E5E5E5"/>
          </w:tcPr>
          <w:p>
            <w:pPr>
              <w:spacing w:after="0"/>
              <w:rPr>
                <w:sz w:val="11"/>
                <w:szCs w:val="11"/>
                <w:color w:val="auto"/>
              </w:rPr>
            </w:pP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160" w:type="dxa"/>
            <w:vAlign w:val="bottom"/>
            <w:vMerge w:val="restart"/>
          </w:tcPr>
          <w:p>
            <w:pPr>
              <w:ind w:left="40"/>
              <w:spacing w:after="0"/>
              <w:rPr>
                <w:sz w:val="20"/>
                <w:szCs w:val="20"/>
                <w:color w:val="auto"/>
              </w:rPr>
            </w:pPr>
            <w:r>
              <w:rPr>
                <w:rFonts w:ascii="Arial" w:cs="Arial" w:eastAsia="Arial" w:hAnsi="Arial"/>
                <w:sz w:val="16"/>
                <w:szCs w:val="16"/>
                <w:color w:val="auto"/>
              </w:rPr>
              <w:t>(55%)</w:t>
            </w:r>
          </w:p>
        </w:tc>
        <w:tc>
          <w:tcPr>
            <w:tcW w:w="1840" w:type="dxa"/>
            <w:vAlign w:val="bottom"/>
            <w:vMerge w:val="continue"/>
            <w:shd w:val="clear" w:color="auto" w:fill="E5E5E5"/>
          </w:tcPr>
          <w:p>
            <w:pPr>
              <w:spacing w:after="0"/>
              <w:rPr>
                <w:sz w:val="8"/>
                <w:szCs w:val="8"/>
                <w:color w:val="auto"/>
              </w:rPr>
            </w:pPr>
          </w:p>
        </w:tc>
        <w:tc>
          <w:tcPr>
            <w:tcW w:w="1480" w:type="dxa"/>
            <w:vAlign w:val="bottom"/>
          </w:tcPr>
          <w:p>
            <w:pPr>
              <w:spacing w:after="0"/>
              <w:rPr>
                <w:sz w:val="8"/>
                <w:szCs w:val="8"/>
                <w:color w:val="auto"/>
              </w:rPr>
            </w:pPr>
          </w:p>
        </w:tc>
        <w:tc>
          <w:tcPr>
            <w:tcW w:w="1840" w:type="dxa"/>
            <w:vAlign w:val="bottom"/>
            <w:shd w:val="clear" w:color="auto" w:fill="E5E5E5"/>
          </w:tcPr>
          <w:p>
            <w:pPr>
              <w:spacing w:after="0"/>
              <w:rPr>
                <w:sz w:val="8"/>
                <w:szCs w:val="8"/>
                <w:color w:val="auto"/>
              </w:rPr>
            </w:pPr>
          </w:p>
        </w:tc>
        <w:tc>
          <w:tcPr>
            <w:tcW w:w="1700" w:type="dxa"/>
            <w:vAlign w:val="bottom"/>
            <w:shd w:val="clear" w:color="auto" w:fill="E5E5E5"/>
          </w:tcPr>
          <w:p>
            <w:pPr>
              <w:spacing w:after="0"/>
              <w:rPr>
                <w:sz w:val="8"/>
                <w:szCs w:val="8"/>
                <w:color w:val="auto"/>
              </w:rPr>
            </w:pPr>
          </w:p>
        </w:tc>
        <w:tc>
          <w:tcPr>
            <w:tcW w:w="1700" w:type="dxa"/>
            <w:vAlign w:val="bottom"/>
            <w:shd w:val="clear" w:color="auto" w:fill="E5E5E5"/>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vMerge w:val="continue"/>
          </w:tcPr>
          <w:p>
            <w:pPr>
              <w:spacing w:after="0"/>
              <w:rPr>
                <w:sz w:val="8"/>
                <w:szCs w:val="8"/>
                <w:color w:val="auto"/>
              </w:rPr>
            </w:pPr>
          </w:p>
        </w:tc>
        <w:tc>
          <w:tcPr>
            <w:tcW w:w="1840" w:type="dxa"/>
            <w:vAlign w:val="bottom"/>
            <w:vMerge w:val="restart"/>
            <w:shd w:val="clear" w:color="auto" w:fill="E5E5E5"/>
          </w:tcPr>
          <w:p>
            <w:pPr>
              <w:ind w:left="20"/>
              <w:spacing w:after="0"/>
              <w:rPr>
                <w:sz w:val="20"/>
                <w:szCs w:val="20"/>
                <w:color w:val="auto"/>
              </w:rPr>
            </w:pPr>
            <w:r>
              <w:rPr>
                <w:rFonts w:ascii="Arial" w:cs="Arial" w:eastAsia="Arial" w:hAnsi="Arial"/>
                <w:sz w:val="16"/>
                <w:szCs w:val="16"/>
                <w:color w:val="auto"/>
              </w:rPr>
              <w:t>of shareholder value</w:t>
            </w:r>
          </w:p>
        </w:tc>
        <w:tc>
          <w:tcPr>
            <w:tcW w:w="1480" w:type="dxa"/>
            <w:vAlign w:val="bottom"/>
          </w:tcPr>
          <w:p>
            <w:pPr>
              <w:spacing w:after="0"/>
              <w:rPr>
                <w:sz w:val="8"/>
                <w:szCs w:val="8"/>
                <w:color w:val="auto"/>
              </w:rPr>
            </w:pPr>
          </w:p>
        </w:tc>
        <w:tc>
          <w:tcPr>
            <w:tcW w:w="1840" w:type="dxa"/>
            <w:vAlign w:val="bottom"/>
            <w:shd w:val="clear" w:color="auto" w:fill="E5E5E5"/>
          </w:tcPr>
          <w:p>
            <w:pPr>
              <w:spacing w:after="0"/>
              <w:rPr>
                <w:sz w:val="8"/>
                <w:szCs w:val="8"/>
                <w:color w:val="auto"/>
              </w:rPr>
            </w:pPr>
          </w:p>
        </w:tc>
        <w:tc>
          <w:tcPr>
            <w:tcW w:w="1700" w:type="dxa"/>
            <w:vAlign w:val="bottom"/>
            <w:shd w:val="clear" w:color="auto" w:fill="E5E5E5"/>
          </w:tcPr>
          <w:p>
            <w:pPr>
              <w:spacing w:after="0"/>
              <w:rPr>
                <w:sz w:val="8"/>
                <w:szCs w:val="8"/>
                <w:color w:val="auto"/>
              </w:rPr>
            </w:pPr>
          </w:p>
        </w:tc>
        <w:tc>
          <w:tcPr>
            <w:tcW w:w="1700" w:type="dxa"/>
            <w:vAlign w:val="bottom"/>
            <w:shd w:val="clear" w:color="auto" w:fill="E5E5E5"/>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vMerge w:val="continue"/>
            <w:shd w:val="clear" w:color="auto" w:fill="E5E5E5"/>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shd w:val="clear" w:color="auto" w:fill="E5E5E5"/>
          </w:tcPr>
          <w:p>
            <w:pPr>
              <w:spacing w:after="0"/>
              <w:rPr>
                <w:sz w:val="9"/>
                <w:szCs w:val="9"/>
                <w:color w:val="auto"/>
              </w:rPr>
            </w:pPr>
          </w:p>
        </w:tc>
        <w:tc>
          <w:tcPr>
            <w:tcW w:w="1700" w:type="dxa"/>
            <w:vAlign w:val="bottom"/>
            <w:tcBorders>
              <w:bottom w:val="single" w:sz="8" w:color="auto"/>
            </w:tcBorders>
            <w:shd w:val="clear" w:color="auto" w:fill="E5E5E5"/>
          </w:tcPr>
          <w:p>
            <w:pPr>
              <w:spacing w:after="0"/>
              <w:rPr>
                <w:sz w:val="9"/>
                <w:szCs w:val="9"/>
                <w:color w:val="auto"/>
              </w:rPr>
            </w:pPr>
          </w:p>
        </w:tc>
        <w:tc>
          <w:tcPr>
            <w:tcW w:w="1700" w:type="dxa"/>
            <w:vAlign w:val="bottom"/>
            <w:tcBorders>
              <w:bottom w:val="single" w:sz="8" w:color="auto"/>
            </w:tcBorders>
            <w:shd w:val="clear" w:color="auto" w:fill="E5E5E5"/>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1160" w:type="dxa"/>
            <w:vAlign w:val="bottom"/>
          </w:tcPr>
          <w:p>
            <w:pPr>
              <w:ind w:left="40"/>
              <w:spacing w:after="0"/>
              <w:rPr>
                <w:sz w:val="20"/>
                <w:szCs w:val="20"/>
                <w:color w:val="auto"/>
              </w:rPr>
            </w:pPr>
            <w:r>
              <w:rPr>
                <w:rFonts w:ascii="Arial" w:cs="Arial" w:eastAsia="Arial" w:hAnsi="Arial"/>
                <w:sz w:val="16"/>
                <w:szCs w:val="16"/>
                <w:color w:val="auto"/>
              </w:rPr>
              <w:t>Free Cash</w:t>
            </w:r>
          </w:p>
        </w:tc>
        <w:tc>
          <w:tcPr>
            <w:tcW w:w="1840" w:type="dxa"/>
            <w:vAlign w:val="bottom"/>
            <w:shd w:val="clear" w:color="auto" w:fill="E5E5E5"/>
          </w:tcPr>
          <w:p>
            <w:pPr>
              <w:ind w:left="20"/>
              <w:spacing w:after="0"/>
              <w:rPr>
                <w:sz w:val="20"/>
                <w:szCs w:val="20"/>
                <w:color w:val="auto"/>
              </w:rPr>
            </w:pPr>
            <w:r>
              <w:rPr>
                <w:rFonts w:ascii="Arial" w:cs="Arial" w:eastAsia="Arial" w:hAnsi="Arial"/>
                <w:sz w:val="16"/>
                <w:szCs w:val="16"/>
                <w:color w:val="auto"/>
              </w:rPr>
              <w:t>Supports strategic</w:t>
            </w:r>
          </w:p>
        </w:tc>
        <w:tc>
          <w:tcPr>
            <w:tcW w:w="1480" w:type="dxa"/>
            <w:vAlign w:val="bottom"/>
            <w:vMerge w:val="restart"/>
          </w:tcPr>
          <w:p>
            <w:pPr>
              <w:jc w:val="center"/>
              <w:spacing w:after="0"/>
              <w:rPr>
                <w:sz w:val="20"/>
                <w:szCs w:val="20"/>
                <w:color w:val="auto"/>
              </w:rPr>
            </w:pPr>
            <w:r>
              <w:rPr>
                <w:rFonts w:ascii="Arial" w:cs="Arial" w:eastAsia="Arial" w:hAnsi="Arial"/>
                <w:sz w:val="16"/>
                <w:szCs w:val="16"/>
                <w:color w:val="auto"/>
                <w:w w:val="99"/>
              </w:rPr>
              <w:t>BWXT</w:t>
            </w:r>
          </w:p>
        </w:tc>
        <w:tc>
          <w:tcPr>
            <w:tcW w:w="1840" w:type="dxa"/>
            <w:vAlign w:val="bottom"/>
            <w:shd w:val="clear" w:color="auto" w:fill="E5E5E5"/>
          </w:tcPr>
          <w:p>
            <w:pPr>
              <w:spacing w:after="0"/>
              <w:rPr>
                <w:sz w:val="18"/>
                <w:szCs w:val="18"/>
                <w:color w:val="auto"/>
              </w:rPr>
            </w:pPr>
          </w:p>
        </w:tc>
        <w:tc>
          <w:tcPr>
            <w:tcW w:w="1700" w:type="dxa"/>
            <w:vAlign w:val="bottom"/>
            <w:shd w:val="clear" w:color="auto" w:fill="E5E5E5"/>
          </w:tcPr>
          <w:p>
            <w:pPr>
              <w:spacing w:after="0"/>
              <w:rPr>
                <w:sz w:val="18"/>
                <w:szCs w:val="18"/>
                <w:color w:val="auto"/>
              </w:rPr>
            </w:pPr>
          </w:p>
        </w:tc>
        <w:tc>
          <w:tcPr>
            <w:tcW w:w="1700" w:type="dxa"/>
            <w:vAlign w:val="bottom"/>
            <w:shd w:val="clear" w:color="auto" w:fill="E5E5E5"/>
          </w:tcPr>
          <w:p>
            <w:pPr>
              <w:spacing w:after="0"/>
              <w:rPr>
                <w:sz w:val="18"/>
                <w:szCs w:val="18"/>
                <w:color w:val="auto"/>
              </w:rPr>
            </w:pPr>
          </w:p>
        </w:tc>
        <w:tc>
          <w:tcPr>
            <w:tcW w:w="17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$117.6 million</w:t>
            </w:r>
            <w:r>
              <w:rPr>
                <w:rFonts w:ascii="Arial" w:cs="Arial" w:eastAsia="Arial" w:hAnsi="Arial"/>
                <w:sz w:val="21"/>
                <w:szCs w:val="21"/>
                <w:b w:val="1"/>
                <w:bCs w:val="1"/>
                <w:color w:val="auto"/>
                <w:w w:val="96"/>
                <w:vertAlign w:val="superscript"/>
              </w:rPr>
              <w:t>(1)</w:t>
            </w:r>
          </w:p>
        </w:tc>
        <w:tc>
          <w:tcPr>
            <w:tcW w:w="0" w:type="dxa"/>
            <w:vAlign w:val="bottom"/>
          </w:tcPr>
          <w:p>
            <w:pPr>
              <w:spacing w:after="0"/>
              <w:rPr>
                <w:sz w:val="1"/>
                <w:szCs w:val="1"/>
                <w:color w:val="auto"/>
              </w:rPr>
            </w:pPr>
          </w:p>
        </w:tc>
      </w:tr>
      <w:tr>
        <w:trPr>
          <w:trHeight w:val="95"/>
        </w:trPr>
        <w:tc>
          <w:tcPr>
            <w:tcW w:w="1160" w:type="dxa"/>
            <w:vAlign w:val="bottom"/>
            <w:vMerge w:val="restart"/>
          </w:tcPr>
          <w:p>
            <w:pPr>
              <w:ind w:left="40"/>
              <w:spacing w:after="0"/>
              <w:rPr>
                <w:sz w:val="20"/>
                <w:szCs w:val="20"/>
                <w:color w:val="auto"/>
              </w:rPr>
            </w:pPr>
            <w:r>
              <w:rPr>
                <w:rFonts w:ascii="Arial" w:cs="Arial" w:eastAsia="Arial" w:hAnsi="Arial"/>
                <w:sz w:val="16"/>
                <w:szCs w:val="16"/>
                <w:color w:val="auto"/>
              </w:rPr>
              <w:t>Flow</w:t>
            </w:r>
          </w:p>
        </w:tc>
        <w:tc>
          <w:tcPr>
            <w:tcW w:w="1840" w:type="dxa"/>
            <w:vAlign w:val="bottom"/>
            <w:vMerge w:val="restart"/>
            <w:shd w:val="clear" w:color="auto" w:fill="E5E5E5"/>
          </w:tcPr>
          <w:p>
            <w:pPr>
              <w:ind w:left="20"/>
              <w:spacing w:after="0"/>
              <w:rPr>
                <w:sz w:val="20"/>
                <w:szCs w:val="20"/>
                <w:color w:val="auto"/>
              </w:rPr>
            </w:pPr>
            <w:r>
              <w:rPr>
                <w:rFonts w:ascii="Arial" w:cs="Arial" w:eastAsia="Arial" w:hAnsi="Arial"/>
                <w:sz w:val="16"/>
                <w:szCs w:val="16"/>
                <w:color w:val="auto"/>
              </w:rPr>
              <w:t>business plan to</w:t>
            </w:r>
          </w:p>
        </w:tc>
        <w:tc>
          <w:tcPr>
            <w:tcW w:w="1480" w:type="dxa"/>
            <w:vAlign w:val="bottom"/>
            <w:vMerge w:val="continue"/>
          </w:tcPr>
          <w:p>
            <w:pPr>
              <w:spacing w:after="0"/>
              <w:rPr>
                <w:sz w:val="8"/>
                <w:szCs w:val="8"/>
                <w:color w:val="auto"/>
              </w:rPr>
            </w:pPr>
          </w:p>
        </w:tc>
        <w:tc>
          <w:tcPr>
            <w:tcW w:w="1840" w:type="dxa"/>
            <w:vAlign w:val="bottom"/>
            <w:vMerge w:val="restart"/>
            <w:shd w:val="clear" w:color="auto" w:fill="E5E5E5"/>
          </w:tcPr>
          <w:p>
            <w:pPr>
              <w:jc w:val="center"/>
              <w:spacing w:after="0"/>
              <w:rPr>
                <w:sz w:val="20"/>
                <w:szCs w:val="20"/>
                <w:color w:val="auto"/>
              </w:rPr>
            </w:pPr>
            <w:r>
              <w:rPr>
                <w:rFonts w:ascii="Arial" w:cs="Arial" w:eastAsia="Arial" w:hAnsi="Arial"/>
                <w:sz w:val="16"/>
                <w:szCs w:val="16"/>
                <w:color w:val="auto"/>
              </w:rPr>
              <w:t>$70.5 million</w:t>
            </w:r>
          </w:p>
        </w:tc>
        <w:tc>
          <w:tcPr>
            <w:tcW w:w="1700" w:type="dxa"/>
            <w:vAlign w:val="bottom"/>
            <w:vMerge w:val="restart"/>
            <w:shd w:val="clear" w:color="auto" w:fill="E5E5E5"/>
          </w:tcPr>
          <w:p>
            <w:pPr>
              <w:jc w:val="center"/>
              <w:spacing w:after="0"/>
              <w:rPr>
                <w:sz w:val="20"/>
                <w:szCs w:val="20"/>
                <w:color w:val="auto"/>
              </w:rPr>
            </w:pPr>
            <w:r>
              <w:rPr>
                <w:rFonts w:ascii="Arial" w:cs="Arial" w:eastAsia="Arial" w:hAnsi="Arial"/>
                <w:sz w:val="16"/>
                <w:szCs w:val="16"/>
                <w:color w:val="auto"/>
              </w:rPr>
              <w:t>$88.1 million</w:t>
            </w:r>
          </w:p>
        </w:tc>
        <w:tc>
          <w:tcPr>
            <w:tcW w:w="1700" w:type="dxa"/>
            <w:vAlign w:val="bottom"/>
            <w:vMerge w:val="restart"/>
            <w:shd w:val="clear" w:color="auto" w:fill="E5E5E5"/>
          </w:tcPr>
          <w:p>
            <w:pPr>
              <w:jc w:val="center"/>
              <w:spacing w:after="0"/>
              <w:rPr>
                <w:sz w:val="20"/>
                <w:szCs w:val="20"/>
                <w:color w:val="auto"/>
              </w:rPr>
            </w:pPr>
            <w:r>
              <w:rPr>
                <w:rFonts w:ascii="Arial" w:cs="Arial" w:eastAsia="Arial" w:hAnsi="Arial"/>
                <w:sz w:val="16"/>
                <w:szCs w:val="16"/>
                <w:color w:val="auto"/>
              </w:rPr>
              <w:t>$105.7 million</w:t>
            </w:r>
          </w:p>
        </w:tc>
        <w:tc>
          <w:tcPr>
            <w:tcW w:w="1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160" w:type="dxa"/>
            <w:vAlign w:val="bottom"/>
            <w:vMerge w:val="continue"/>
          </w:tcPr>
          <w:p>
            <w:pPr>
              <w:spacing w:after="0"/>
              <w:rPr>
                <w:sz w:val="8"/>
                <w:szCs w:val="8"/>
                <w:color w:val="auto"/>
              </w:rPr>
            </w:pPr>
          </w:p>
        </w:tc>
        <w:tc>
          <w:tcPr>
            <w:tcW w:w="1840" w:type="dxa"/>
            <w:vAlign w:val="bottom"/>
            <w:vMerge w:val="continue"/>
            <w:shd w:val="clear" w:color="auto" w:fill="E5E5E5"/>
          </w:tcPr>
          <w:p>
            <w:pPr>
              <w:spacing w:after="0"/>
              <w:rPr>
                <w:sz w:val="8"/>
                <w:szCs w:val="8"/>
                <w:color w:val="auto"/>
              </w:rPr>
            </w:pPr>
          </w:p>
        </w:tc>
        <w:tc>
          <w:tcPr>
            <w:tcW w:w="1480" w:type="dxa"/>
            <w:vAlign w:val="bottom"/>
            <w:vMerge w:val="restart"/>
          </w:tcPr>
          <w:p>
            <w:pPr>
              <w:jc w:val="center"/>
              <w:spacing w:after="0"/>
              <w:rPr>
                <w:sz w:val="20"/>
                <w:szCs w:val="20"/>
                <w:color w:val="auto"/>
              </w:rPr>
            </w:pPr>
            <w:r>
              <w:rPr>
                <w:rFonts w:ascii="Arial" w:cs="Arial" w:eastAsia="Arial" w:hAnsi="Arial"/>
                <w:sz w:val="16"/>
                <w:szCs w:val="16"/>
                <w:color w:val="auto"/>
              </w:rPr>
              <w:t>Consolidated</w:t>
            </w:r>
          </w:p>
        </w:tc>
        <w:tc>
          <w:tcPr>
            <w:tcW w:w="1840" w:type="dxa"/>
            <w:vAlign w:val="bottom"/>
            <w:vMerge w:val="continue"/>
            <w:shd w:val="clear" w:color="auto" w:fill="E5E5E5"/>
          </w:tcPr>
          <w:p>
            <w:pPr>
              <w:spacing w:after="0"/>
              <w:rPr>
                <w:sz w:val="8"/>
                <w:szCs w:val="8"/>
                <w:color w:val="auto"/>
              </w:rPr>
            </w:pPr>
          </w:p>
        </w:tc>
        <w:tc>
          <w:tcPr>
            <w:tcW w:w="1700" w:type="dxa"/>
            <w:vAlign w:val="bottom"/>
            <w:vMerge w:val="continue"/>
            <w:shd w:val="clear" w:color="auto" w:fill="E5E5E5"/>
          </w:tcPr>
          <w:p>
            <w:pPr>
              <w:spacing w:after="0"/>
              <w:rPr>
                <w:sz w:val="8"/>
                <w:szCs w:val="8"/>
                <w:color w:val="auto"/>
              </w:rPr>
            </w:pPr>
          </w:p>
        </w:tc>
        <w:tc>
          <w:tcPr>
            <w:tcW w:w="1700" w:type="dxa"/>
            <w:vAlign w:val="bottom"/>
            <w:vMerge w:val="continue"/>
            <w:shd w:val="clear" w:color="auto" w:fill="E5E5E5"/>
          </w:tcPr>
          <w:p>
            <w:pPr>
              <w:spacing w:after="0"/>
              <w:rPr>
                <w:sz w:val="8"/>
                <w:szCs w:val="8"/>
                <w:color w:val="auto"/>
              </w:rPr>
            </w:pPr>
          </w:p>
        </w:tc>
        <w:tc>
          <w:tcPr>
            <w:tcW w:w="1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vMerge w:val="restart"/>
          </w:tcPr>
          <w:p>
            <w:pPr>
              <w:ind w:left="40"/>
              <w:spacing w:after="0"/>
              <w:rPr>
                <w:sz w:val="20"/>
                <w:szCs w:val="20"/>
                <w:color w:val="auto"/>
              </w:rPr>
            </w:pPr>
            <w:r>
              <w:rPr>
                <w:rFonts w:ascii="Arial" w:cs="Arial" w:eastAsia="Arial" w:hAnsi="Arial"/>
                <w:sz w:val="16"/>
                <w:szCs w:val="16"/>
                <w:color w:val="auto"/>
              </w:rPr>
              <w:t>(25%)</w:t>
            </w:r>
          </w:p>
        </w:tc>
        <w:tc>
          <w:tcPr>
            <w:tcW w:w="1840" w:type="dxa"/>
            <w:vAlign w:val="bottom"/>
            <w:vMerge w:val="restart"/>
            <w:shd w:val="clear" w:color="auto" w:fill="E5E5E5"/>
          </w:tcPr>
          <w:p>
            <w:pPr>
              <w:ind w:left="20"/>
              <w:spacing w:after="0"/>
              <w:rPr>
                <w:sz w:val="20"/>
                <w:szCs w:val="20"/>
                <w:color w:val="auto"/>
              </w:rPr>
            </w:pPr>
            <w:r>
              <w:rPr>
                <w:rFonts w:ascii="Arial" w:cs="Arial" w:eastAsia="Arial" w:hAnsi="Arial"/>
                <w:sz w:val="16"/>
                <w:szCs w:val="16"/>
                <w:color w:val="auto"/>
              </w:rPr>
              <w:t>promote strong cash</w:t>
            </w:r>
          </w:p>
        </w:tc>
        <w:tc>
          <w:tcPr>
            <w:tcW w:w="1480" w:type="dxa"/>
            <w:vAlign w:val="bottom"/>
            <w:vMerge w:val="continue"/>
          </w:tcPr>
          <w:p>
            <w:pPr>
              <w:spacing w:after="0"/>
              <w:rPr>
                <w:sz w:val="8"/>
                <w:szCs w:val="8"/>
                <w:color w:val="auto"/>
              </w:rPr>
            </w:pPr>
          </w:p>
        </w:tc>
        <w:tc>
          <w:tcPr>
            <w:tcW w:w="1840" w:type="dxa"/>
            <w:vAlign w:val="bottom"/>
            <w:shd w:val="clear" w:color="auto" w:fill="E5E5E5"/>
          </w:tcPr>
          <w:p>
            <w:pPr>
              <w:spacing w:after="0"/>
              <w:rPr>
                <w:sz w:val="8"/>
                <w:szCs w:val="8"/>
                <w:color w:val="auto"/>
              </w:rPr>
            </w:pPr>
          </w:p>
        </w:tc>
        <w:tc>
          <w:tcPr>
            <w:tcW w:w="1700" w:type="dxa"/>
            <w:vAlign w:val="bottom"/>
            <w:shd w:val="clear" w:color="auto" w:fill="E5E5E5"/>
          </w:tcPr>
          <w:p>
            <w:pPr>
              <w:spacing w:after="0"/>
              <w:rPr>
                <w:sz w:val="8"/>
                <w:szCs w:val="8"/>
                <w:color w:val="auto"/>
              </w:rPr>
            </w:pPr>
          </w:p>
        </w:tc>
        <w:tc>
          <w:tcPr>
            <w:tcW w:w="1700" w:type="dxa"/>
            <w:vAlign w:val="bottom"/>
            <w:shd w:val="clear" w:color="auto" w:fill="E5E5E5"/>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160" w:type="dxa"/>
            <w:vAlign w:val="bottom"/>
            <w:vMerge w:val="continue"/>
          </w:tcPr>
          <w:p>
            <w:pPr>
              <w:spacing w:after="0"/>
              <w:rPr>
                <w:sz w:val="7"/>
                <w:szCs w:val="7"/>
                <w:color w:val="auto"/>
              </w:rPr>
            </w:pPr>
          </w:p>
        </w:tc>
        <w:tc>
          <w:tcPr>
            <w:tcW w:w="1840" w:type="dxa"/>
            <w:vAlign w:val="bottom"/>
            <w:vMerge w:val="continue"/>
            <w:shd w:val="clear" w:color="auto" w:fill="E5E5E5"/>
          </w:tcPr>
          <w:p>
            <w:pPr>
              <w:spacing w:after="0"/>
              <w:rPr>
                <w:sz w:val="7"/>
                <w:szCs w:val="7"/>
                <w:color w:val="auto"/>
              </w:rPr>
            </w:pPr>
          </w:p>
        </w:tc>
        <w:tc>
          <w:tcPr>
            <w:tcW w:w="1480" w:type="dxa"/>
            <w:vAlign w:val="bottom"/>
          </w:tcPr>
          <w:p>
            <w:pPr>
              <w:spacing w:after="0"/>
              <w:rPr>
                <w:sz w:val="7"/>
                <w:szCs w:val="7"/>
                <w:color w:val="auto"/>
              </w:rPr>
            </w:pPr>
          </w:p>
        </w:tc>
        <w:tc>
          <w:tcPr>
            <w:tcW w:w="1840" w:type="dxa"/>
            <w:vAlign w:val="bottom"/>
            <w:shd w:val="clear" w:color="auto" w:fill="E5E5E5"/>
          </w:tcPr>
          <w:p>
            <w:pPr>
              <w:spacing w:after="0"/>
              <w:rPr>
                <w:sz w:val="7"/>
                <w:szCs w:val="7"/>
                <w:color w:val="auto"/>
              </w:rPr>
            </w:pPr>
          </w:p>
        </w:tc>
        <w:tc>
          <w:tcPr>
            <w:tcW w:w="1700" w:type="dxa"/>
            <w:vAlign w:val="bottom"/>
            <w:shd w:val="clear" w:color="auto" w:fill="E5E5E5"/>
          </w:tcPr>
          <w:p>
            <w:pPr>
              <w:spacing w:after="0"/>
              <w:rPr>
                <w:sz w:val="7"/>
                <w:szCs w:val="7"/>
                <w:color w:val="auto"/>
              </w:rPr>
            </w:pPr>
          </w:p>
        </w:tc>
        <w:tc>
          <w:tcPr>
            <w:tcW w:w="1700" w:type="dxa"/>
            <w:vAlign w:val="bottom"/>
            <w:shd w:val="clear" w:color="auto" w:fill="E5E5E5"/>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184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6"/>
                <w:szCs w:val="16"/>
                <w:color w:val="auto"/>
              </w:rPr>
              <w:t>flow generation</w:t>
            </w:r>
          </w:p>
        </w:tc>
        <w:tc>
          <w:tcPr>
            <w:tcW w:w="1480" w:type="dxa"/>
            <w:vAlign w:val="bottom"/>
          </w:tcPr>
          <w:p>
            <w:pPr>
              <w:spacing w:after="0"/>
              <w:rPr>
                <w:sz w:val="18"/>
                <w:szCs w:val="18"/>
                <w:color w:val="auto"/>
              </w:rPr>
            </w:pPr>
          </w:p>
        </w:tc>
        <w:tc>
          <w:tcPr>
            <w:tcW w:w="1840" w:type="dxa"/>
            <w:vAlign w:val="bottom"/>
            <w:tcBorders>
              <w:bottom w:val="single" w:sz="8" w:color="E5E5E5"/>
            </w:tcBorders>
            <w:shd w:val="clear" w:color="auto" w:fill="E5E5E5"/>
          </w:tcPr>
          <w:p>
            <w:pPr>
              <w:spacing w:after="0"/>
              <w:rPr>
                <w:sz w:val="18"/>
                <w:szCs w:val="18"/>
                <w:color w:val="auto"/>
              </w:rPr>
            </w:pPr>
          </w:p>
        </w:tc>
        <w:tc>
          <w:tcPr>
            <w:tcW w:w="1700" w:type="dxa"/>
            <w:vAlign w:val="bottom"/>
            <w:tcBorders>
              <w:bottom w:val="single" w:sz="8" w:color="E5E5E5"/>
            </w:tcBorders>
            <w:shd w:val="clear" w:color="auto" w:fill="E5E5E5"/>
          </w:tcPr>
          <w:p>
            <w:pPr>
              <w:spacing w:after="0"/>
              <w:rPr>
                <w:sz w:val="18"/>
                <w:szCs w:val="18"/>
                <w:color w:val="auto"/>
              </w:rPr>
            </w:pPr>
          </w:p>
        </w:tc>
        <w:tc>
          <w:tcPr>
            <w:tcW w:w="1700" w:type="dxa"/>
            <w:vAlign w:val="bottom"/>
            <w:tcBorders>
              <w:bottom w:val="single" w:sz="8" w:color="E5E5E5"/>
            </w:tcBorders>
            <w:shd w:val="clear" w:color="auto" w:fill="E5E5E5"/>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620" w:right="660" w:hanging="585"/>
        <w:spacing w:after="0" w:line="279" w:lineRule="auto"/>
        <w:tabs>
          <w:tab w:leader="none" w:pos="620" w:val="left"/>
        </w:tabs>
        <w:numPr>
          <w:ilvl w:val="0"/>
          <w:numId w:val="72"/>
        </w:numPr>
        <w:rPr>
          <w:rFonts w:ascii="Arial" w:cs="Arial" w:eastAsia="Arial" w:hAnsi="Arial"/>
          <w:sz w:val="14"/>
          <w:szCs w:val="14"/>
          <w:i w:val="1"/>
          <w:iCs w:val="1"/>
          <w:color w:val="auto"/>
        </w:rPr>
      </w:pPr>
      <w:r>
        <w:rPr>
          <w:rFonts w:ascii="Arial" w:cs="Arial" w:eastAsia="Arial" w:hAnsi="Arial"/>
          <w:sz w:val="14"/>
          <w:szCs w:val="14"/>
          <w:i w:val="1"/>
          <w:iCs w:val="1"/>
          <w:color w:val="auto"/>
        </w:rPr>
        <w:t>This result reflects a downward adjustment applied by our Compensation Committee to exclude the impact of an accrual reversal related to a favorable litigation outcome.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TRANSITION OF EXECUTIVE CHAIRMAN</w:t>
      </w:r>
    </w:p>
    <w:p>
      <w:pPr>
        <w:spacing w:after="0" w:line="112"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In December 2017, we announced that Mr. Fees, our Executive Chairman, would be transitioning to the role of Non-Executive Chairman of the Board, effective at the Annual Meeting, as part of the Board's organization development and succession planning process. In connection with Mr. Fees’ transition to Non-Executive Chairman, he and the Company entered into a Transition Agreement, dated December 14, 2017. The Transition Agreement provides for certain compensation and benefits (in addition to certain other accrued benefits) for Mr. Fees through the Annual Meeting (the "Resignation Date"). In addition, the Transition Agreement amended Mr. Fees’ equity awards under our 2010 Long Term Incentive Plan that remain outstanding on the Resignation Date to allow for (i) awards of time-vested restricted stock units to vest immediately upon the Resignation Date, and (ii) awards of performance restricted stock units to continue to vest on the vesting dates set forth in the applicable award agreements. See "Section 4: Other Benefits and Practices — Transition of Executive Chairman" on page 36 for additional information.</w:t>
      </w:r>
    </w:p>
    <w:p>
      <w:pPr>
        <w:spacing w:after="0" w:line="200" w:lineRule="exact"/>
        <w:rPr>
          <w:sz w:val="20"/>
          <w:szCs w:val="20"/>
          <w:color w:val="auto"/>
        </w:rPr>
      </w:pPr>
    </w:p>
    <w:p>
      <w:pPr>
        <w:spacing w:after="0" w:line="257" w:lineRule="exact"/>
        <w:rPr>
          <w:sz w:val="20"/>
          <w:szCs w:val="20"/>
          <w:color w:val="auto"/>
        </w:rPr>
      </w:pPr>
    </w:p>
    <w:p>
      <w:pPr>
        <w:ind w:left="8160"/>
        <w:spacing w:after="0"/>
        <w:rPr>
          <w:sz w:val="20"/>
          <w:szCs w:val="20"/>
          <w:color w:val="auto"/>
        </w:rPr>
      </w:pPr>
      <w:r>
        <w:rPr>
          <w:sz w:val="1"/>
          <w:szCs w:val="1"/>
          <w:color w:val="auto"/>
        </w:rPr>
        <w:drawing>
          <wp:inline distT="0" distB="0" distL="0" distR="0">
            <wp:extent cx="488950" cy="20574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88950" cy="205740"/>
                    </a:xfrm>
                    <a:prstGeom prst="rect">
                      <a:avLst/>
                    </a:prstGeom>
                    <a:noFill/>
                    <a:ln>
                      <a:noFill/>
                    </a:ln>
                  </pic:spPr>
                </pic:pic>
              </a:graphicData>
            </a:graphic>
          </wp:inline>
        </w:drawing>
      </w:r>
      <w:r>
        <w:rPr>
          <w:rFonts w:ascii="Arial" w:cs="Arial" w:eastAsia="Arial" w:hAnsi="Arial"/>
          <w:sz w:val="17"/>
          <w:szCs w:val="17"/>
          <w:color w:val="auto"/>
        </w:rPr>
        <w:t xml:space="preserve"> 2018 PROXY STATEMENT </w:t>
      </w:r>
      <w:r>
        <w:rPr>
          <w:rFonts w:ascii="Arial" w:cs="Arial" w:eastAsia="Arial" w:hAnsi="Arial"/>
          <w:sz w:val="17"/>
          <w:szCs w:val="17"/>
          <w:b w:val="1"/>
          <w:bCs w:val="1"/>
          <w:color w:val="2C2C2C"/>
        </w:rPr>
        <w:t>25</w:t>
      </w:r>
    </w:p>
    <w:p>
      <w:pPr>
        <w:sectPr>
          <w:pgSz w:w="11900" w:h="16838" w:orient="portrait"/>
          <w:cols w:equalWidth="0" w:num="1">
            <w:col w:w="11420"/>
          </w:cols>
          <w:pgMar w:left="240" w:top="125" w:right="239" w:bottom="1440" w:gutter="0" w:footer="0" w:header="0"/>
        </w:sectPr>
      </w:pPr>
    </w:p>
    <w:bookmarkStart w:id="34" w:name="page35"/>
    <w:bookmarkEnd w:id="34"/>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7320"/>
        <w:spacing w:after="0"/>
        <w:rPr>
          <w:sz w:val="20"/>
          <w:szCs w:val="20"/>
          <w:color w:val="auto"/>
        </w:rPr>
      </w:pPr>
      <w:r>
        <w:rPr>
          <w:rFonts w:ascii="Arial" w:cs="Arial" w:eastAsia="Arial" w:hAnsi="Arial"/>
          <w:sz w:val="14"/>
          <w:szCs w:val="14"/>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STRONG COMPENSATION GOVERNANCE PRACTICES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practices we follow to incentivize performance and foster strong corporate governance on our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54875" cy="39274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4875" cy="3927475"/>
                    </a:xfrm>
                    <a:prstGeom prst="rect">
                      <a:avLst/>
                    </a:prstGeom>
                    <a:noFill/>
                  </pic:spPr>
                </pic:pic>
              </a:graphicData>
            </a:graphic>
          </wp:anchor>
        </w:drawing>
      </w:r>
    </w:p>
    <w:p>
      <w:pPr>
        <w:spacing w:after="0" w:line="14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b w:val="1"/>
          <w:bCs w:val="1"/>
          <w:color w:val="FFFFFF"/>
        </w:rPr>
        <w:t>WHAT WE DO:</w:t>
      </w:r>
      <w:r>
        <w:rPr>
          <w:sz w:val="20"/>
          <w:szCs w:val="20"/>
          <w:color w:val="auto"/>
        </w:rPr>
        <w:tab/>
      </w:r>
      <w:r>
        <w:rPr>
          <w:rFonts w:ascii="Arial" w:cs="Arial" w:eastAsia="Arial" w:hAnsi="Arial"/>
          <w:sz w:val="17"/>
          <w:szCs w:val="17"/>
          <w:b w:val="1"/>
          <w:bCs w:val="1"/>
          <w:color w:val="FFFFFF"/>
        </w:rPr>
        <w:t>WHAT WE DON’T DO:</w:t>
      </w:r>
    </w:p>
    <w:p>
      <w:pPr>
        <w:sectPr>
          <w:pgSz w:w="11900" w:h="16838" w:orient="portrait"/>
          <w:cols w:equalWidth="0" w:num="1">
            <w:col w:w="11380"/>
          </w:cols>
          <w:pgMar w:left="240" w:top="125" w:right="279" w:bottom="1440" w:gutter="0" w:footer="0" w:header="0"/>
        </w:sectPr>
      </w:pPr>
    </w:p>
    <w:p>
      <w:pPr>
        <w:spacing w:after="0" w:line="225" w:lineRule="exact"/>
        <w:rPr>
          <w:sz w:val="20"/>
          <w:szCs w:val="20"/>
          <w:color w:val="auto"/>
        </w:rPr>
      </w:pPr>
    </w:p>
    <w:p>
      <w:pPr>
        <w:ind w:left="700" w:right="320" w:hanging="467"/>
        <w:spacing w:after="0" w:line="191" w:lineRule="auto"/>
        <w:tabs>
          <w:tab w:leader="none" w:pos="470" w:val="left"/>
        </w:tabs>
        <w:numPr>
          <w:ilvl w:val="1"/>
          <w:numId w:val="73"/>
        </w:numPr>
        <w:rPr>
          <w:rFonts w:ascii="Arial" w:cs="Arial" w:eastAsia="Arial" w:hAnsi="Arial"/>
          <w:sz w:val="36"/>
          <w:szCs w:val="36"/>
          <w:color w:val="963634"/>
        </w:rPr>
      </w:pPr>
      <w:r>
        <w:rPr>
          <w:rFonts w:ascii="Arial" w:cs="Arial" w:eastAsia="Arial" w:hAnsi="Arial"/>
          <w:sz w:val="18"/>
          <w:szCs w:val="18"/>
          <w:b w:val="1"/>
          <w:bCs w:val="1"/>
          <w:color w:val="auto"/>
        </w:rPr>
        <w:t xml:space="preserve">Pay for Performance. </w:t>
      </w:r>
      <w:r>
        <w:rPr>
          <w:rFonts w:ascii="Arial" w:cs="Arial" w:eastAsia="Arial" w:hAnsi="Arial"/>
          <w:sz w:val="18"/>
          <w:szCs w:val="18"/>
          <w:color w:val="auto"/>
        </w:rPr>
        <w:t>Significant emphasis on incentive and</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performance-based compensation.</w:t>
      </w:r>
    </w:p>
    <w:p>
      <w:pPr>
        <w:spacing w:after="0" w:line="60" w:lineRule="exact"/>
        <w:rPr>
          <w:rFonts w:ascii="Arial" w:cs="Arial" w:eastAsia="Arial" w:hAnsi="Arial"/>
          <w:sz w:val="36"/>
          <w:szCs w:val="36"/>
          <w:color w:val="963634"/>
        </w:rPr>
      </w:pPr>
    </w:p>
    <w:p>
      <w:pPr>
        <w:ind w:left="440" w:hanging="229"/>
        <w:spacing w:after="0"/>
        <w:tabs>
          <w:tab w:leader="none" w:pos="440" w:val="left"/>
        </w:tabs>
        <w:numPr>
          <w:ilvl w:val="0"/>
          <w:numId w:val="73"/>
        </w:numPr>
        <w:rPr>
          <w:rFonts w:ascii="Arial" w:cs="Arial" w:eastAsia="Arial" w:hAnsi="Arial"/>
          <w:sz w:val="36"/>
          <w:szCs w:val="36"/>
          <w:color w:val="963634"/>
        </w:rPr>
      </w:pPr>
      <w:r>
        <w:rPr>
          <w:rFonts w:ascii="Arial" w:cs="Arial" w:eastAsia="Arial" w:hAnsi="Arial"/>
          <w:sz w:val="18"/>
          <w:szCs w:val="18"/>
          <w:b w:val="1"/>
          <w:bCs w:val="1"/>
          <w:color w:val="auto"/>
        </w:rPr>
        <w:t>Compensation program responsive to stockholder</w:t>
      </w:r>
    </w:p>
    <w:p>
      <w:pPr>
        <w:spacing w:after="0" w:line="40" w:lineRule="exact"/>
        <w:rPr>
          <w:sz w:val="20"/>
          <w:szCs w:val="20"/>
          <w:color w:val="auto"/>
        </w:rPr>
      </w:pPr>
    </w:p>
    <w:p>
      <w:pPr>
        <w:ind w:left="700" w:right="100"/>
        <w:spacing w:after="0" w:line="246" w:lineRule="auto"/>
        <w:rPr>
          <w:sz w:val="20"/>
          <w:szCs w:val="20"/>
          <w:color w:val="auto"/>
        </w:rPr>
      </w:pPr>
      <w:r>
        <w:rPr>
          <w:rFonts w:ascii="Arial" w:cs="Arial" w:eastAsia="Arial" w:hAnsi="Arial"/>
          <w:sz w:val="18"/>
          <w:szCs w:val="18"/>
          <w:b w:val="1"/>
          <w:bCs w:val="1"/>
          <w:color w:val="auto"/>
        </w:rPr>
        <w:t xml:space="preserve">feedback. </w:t>
      </w:r>
      <w:r>
        <w:rPr>
          <w:rFonts w:ascii="Arial" w:cs="Arial" w:eastAsia="Arial" w:hAnsi="Arial"/>
          <w:sz w:val="18"/>
          <w:szCs w:val="18"/>
          <w:color w:val="auto"/>
        </w:rPr>
        <w:t>We seek stockholder input and perspective on our</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program.</w:t>
      </w:r>
    </w:p>
    <w:p>
      <w:pPr>
        <w:spacing w:after="0" w:line="54" w:lineRule="exact"/>
        <w:rPr>
          <w:sz w:val="20"/>
          <w:szCs w:val="20"/>
          <w:color w:val="auto"/>
        </w:rPr>
      </w:pPr>
    </w:p>
    <w:p>
      <w:pPr>
        <w:ind w:left="440" w:hanging="229"/>
        <w:spacing w:after="0"/>
        <w:tabs>
          <w:tab w:leader="none" w:pos="440" w:val="left"/>
        </w:tabs>
        <w:numPr>
          <w:ilvl w:val="0"/>
          <w:numId w:val="74"/>
        </w:numPr>
        <w:rPr>
          <w:rFonts w:ascii="Arial" w:cs="Arial" w:eastAsia="Arial" w:hAnsi="Arial"/>
          <w:sz w:val="36"/>
          <w:szCs w:val="36"/>
          <w:color w:val="963634"/>
        </w:rPr>
      </w:pPr>
      <w:r>
        <w:rPr>
          <w:rFonts w:ascii="Arial" w:cs="Arial" w:eastAsia="Arial" w:hAnsi="Arial"/>
          <w:sz w:val="18"/>
          <w:szCs w:val="18"/>
          <w:b w:val="1"/>
          <w:bCs w:val="1"/>
          <w:color w:val="auto"/>
        </w:rPr>
        <w:t xml:space="preserve">Benchmarking to Similarly Sized Companies. </w:t>
      </w:r>
      <w:r>
        <w:rPr>
          <w:rFonts w:ascii="Arial" w:cs="Arial" w:eastAsia="Arial" w:hAnsi="Arial"/>
          <w:sz w:val="18"/>
          <w:szCs w:val="18"/>
          <w:color w:val="auto"/>
        </w:rPr>
        <w:t>We avoid</w:t>
      </w:r>
    </w:p>
    <w:p>
      <w:pPr>
        <w:spacing w:after="0" w:line="40" w:lineRule="exact"/>
        <w:rPr>
          <w:sz w:val="20"/>
          <w:szCs w:val="20"/>
          <w:color w:val="auto"/>
        </w:rPr>
      </w:pPr>
    </w:p>
    <w:p>
      <w:pPr>
        <w:jc w:val="both"/>
        <w:ind w:left="700" w:right="280"/>
        <w:spacing w:after="0"/>
        <w:rPr>
          <w:sz w:val="20"/>
          <w:szCs w:val="20"/>
          <w:color w:val="auto"/>
        </w:rPr>
      </w:pPr>
      <w:r>
        <w:rPr>
          <w:rFonts w:ascii="Arial" w:cs="Arial" w:eastAsia="Arial" w:hAnsi="Arial"/>
          <w:sz w:val="18"/>
          <w:szCs w:val="18"/>
          <w:color w:val="auto"/>
        </w:rPr>
        <w:t>benchmarking executive pay to oversized peers by utilizing data that is revenue regressed to account for our company size.</w:t>
      </w:r>
    </w:p>
    <w:p>
      <w:pPr>
        <w:spacing w:after="0" w:line="235" w:lineRule="exact"/>
        <w:rPr>
          <w:sz w:val="20"/>
          <w:szCs w:val="20"/>
          <w:color w:val="auto"/>
        </w:rPr>
      </w:pPr>
    </w:p>
    <w:p>
      <w:pPr>
        <w:ind w:left="700" w:hanging="489"/>
        <w:spacing w:after="0" w:line="191" w:lineRule="auto"/>
        <w:tabs>
          <w:tab w:leader="none" w:pos="448" w:val="left"/>
        </w:tabs>
        <w:numPr>
          <w:ilvl w:val="0"/>
          <w:numId w:val="75"/>
        </w:numPr>
        <w:rPr>
          <w:rFonts w:ascii="Arial" w:cs="Arial" w:eastAsia="Arial" w:hAnsi="Arial"/>
          <w:sz w:val="36"/>
          <w:szCs w:val="36"/>
          <w:color w:val="963634"/>
        </w:rPr>
      </w:pPr>
      <w:r>
        <w:rPr>
          <w:rFonts w:ascii="Arial" w:cs="Arial" w:eastAsia="Arial" w:hAnsi="Arial"/>
          <w:sz w:val="18"/>
          <w:szCs w:val="18"/>
          <w:b w:val="1"/>
          <w:bCs w:val="1"/>
          <w:color w:val="auto"/>
        </w:rPr>
        <w:t xml:space="preserve">Clawbacks. </w:t>
      </w:r>
      <w:r>
        <w:rPr>
          <w:rFonts w:ascii="Arial" w:cs="Arial" w:eastAsia="Arial" w:hAnsi="Arial"/>
          <w:sz w:val="18"/>
          <w:szCs w:val="18"/>
          <w:color w:val="auto"/>
        </w:rPr>
        <w:t>We can recover compensation under our annual and</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incentive plans in various circumstances.</w:t>
      </w:r>
    </w:p>
    <w:p>
      <w:pPr>
        <w:spacing w:after="0" w:line="60" w:lineRule="exact"/>
        <w:rPr>
          <w:rFonts w:ascii="Arial" w:cs="Arial" w:eastAsia="Arial" w:hAnsi="Arial"/>
          <w:sz w:val="36"/>
          <w:szCs w:val="36"/>
          <w:color w:val="963634"/>
        </w:rPr>
      </w:pPr>
    </w:p>
    <w:p>
      <w:pPr>
        <w:ind w:left="440" w:hanging="229"/>
        <w:spacing w:after="0"/>
        <w:tabs>
          <w:tab w:leader="none" w:pos="440" w:val="left"/>
        </w:tabs>
        <w:numPr>
          <w:ilvl w:val="0"/>
          <w:numId w:val="75"/>
        </w:numPr>
        <w:rPr>
          <w:rFonts w:ascii="Arial" w:cs="Arial" w:eastAsia="Arial" w:hAnsi="Arial"/>
          <w:sz w:val="36"/>
          <w:szCs w:val="36"/>
          <w:color w:val="963634"/>
        </w:rPr>
      </w:pPr>
      <w:r>
        <w:rPr>
          <w:rFonts w:ascii="Arial" w:cs="Arial" w:eastAsia="Arial" w:hAnsi="Arial"/>
          <w:sz w:val="18"/>
          <w:szCs w:val="18"/>
          <w:b w:val="1"/>
          <w:bCs w:val="1"/>
          <w:color w:val="auto"/>
        </w:rPr>
        <w:t>“Double Trigger” cash severance in a change-in-control.</w:t>
      </w:r>
    </w:p>
    <w:p>
      <w:pPr>
        <w:spacing w:after="0" w:line="112" w:lineRule="exact"/>
        <w:rPr>
          <w:rFonts w:ascii="Arial" w:cs="Arial" w:eastAsia="Arial" w:hAnsi="Arial"/>
          <w:sz w:val="36"/>
          <w:szCs w:val="36"/>
          <w:color w:val="963634"/>
        </w:rPr>
      </w:pPr>
    </w:p>
    <w:p>
      <w:pPr>
        <w:ind w:left="440" w:hanging="229"/>
        <w:spacing w:after="0"/>
        <w:tabs>
          <w:tab w:leader="none" w:pos="440" w:val="left"/>
        </w:tabs>
        <w:numPr>
          <w:ilvl w:val="0"/>
          <w:numId w:val="75"/>
        </w:numPr>
        <w:rPr>
          <w:rFonts w:ascii="Arial" w:cs="Arial" w:eastAsia="Arial" w:hAnsi="Arial"/>
          <w:sz w:val="36"/>
          <w:szCs w:val="36"/>
          <w:color w:val="963634"/>
        </w:rPr>
      </w:pPr>
      <w:r>
        <w:rPr>
          <w:rFonts w:ascii="Arial" w:cs="Arial" w:eastAsia="Arial" w:hAnsi="Arial"/>
          <w:sz w:val="18"/>
          <w:szCs w:val="18"/>
          <w:b w:val="1"/>
          <w:bCs w:val="1"/>
          <w:color w:val="auto"/>
        </w:rPr>
        <w:t>Limited perquisites and tax reimbursements.</w:t>
      </w:r>
    </w:p>
    <w:p>
      <w:pPr>
        <w:spacing w:after="0" w:line="287" w:lineRule="exact"/>
        <w:rPr>
          <w:rFonts w:ascii="Arial" w:cs="Arial" w:eastAsia="Arial" w:hAnsi="Arial"/>
          <w:sz w:val="36"/>
          <w:szCs w:val="36"/>
          <w:color w:val="963634"/>
        </w:rPr>
      </w:pPr>
    </w:p>
    <w:p>
      <w:pPr>
        <w:ind w:left="700" w:right="740" w:hanging="489"/>
        <w:spacing w:after="0" w:line="202" w:lineRule="auto"/>
        <w:tabs>
          <w:tab w:leader="none" w:pos="448" w:val="left"/>
        </w:tabs>
        <w:numPr>
          <w:ilvl w:val="0"/>
          <w:numId w:val="75"/>
        </w:numPr>
        <w:rPr>
          <w:rFonts w:ascii="Arial" w:cs="Arial" w:eastAsia="Arial" w:hAnsi="Arial"/>
          <w:sz w:val="34"/>
          <w:szCs w:val="34"/>
          <w:color w:val="963634"/>
        </w:rPr>
      </w:pPr>
      <w:r>
        <w:rPr>
          <w:rFonts w:ascii="Arial" w:cs="Arial" w:eastAsia="Arial" w:hAnsi="Arial"/>
          <w:sz w:val="17"/>
          <w:szCs w:val="17"/>
          <w:b w:val="1"/>
          <w:bCs w:val="1"/>
          <w:color w:val="auto"/>
        </w:rPr>
        <w:t xml:space="preserve">Stock Ownership Requirements. </w:t>
      </w:r>
      <w:r>
        <w:rPr>
          <w:rFonts w:ascii="Arial" w:cs="Arial" w:eastAsia="Arial" w:hAnsi="Arial"/>
          <w:sz w:val="17"/>
          <w:szCs w:val="17"/>
          <w:color w:val="auto"/>
        </w:rPr>
        <w:t>We maintain robust</w:t>
      </w:r>
      <w:r>
        <w:rPr>
          <w:rFonts w:ascii="Arial" w:cs="Arial" w:eastAsia="Arial" w:hAnsi="Arial"/>
          <w:sz w:val="17"/>
          <w:szCs w:val="17"/>
          <w:b w:val="1"/>
          <w:bCs w:val="1"/>
          <w:color w:val="auto"/>
        </w:rPr>
        <w:t xml:space="preserve"> </w:t>
      </w:r>
      <w:r>
        <w:rPr>
          <w:rFonts w:ascii="Arial" w:cs="Arial" w:eastAsia="Arial" w:hAnsi="Arial"/>
          <w:sz w:val="17"/>
          <w:szCs w:val="17"/>
          <w:color w:val="auto"/>
        </w:rPr>
        <w:t>requirements for our executives and board members.</w:t>
      </w:r>
    </w:p>
    <w:p>
      <w:pPr>
        <w:spacing w:after="0" w:line="60" w:lineRule="exact"/>
        <w:rPr>
          <w:rFonts w:ascii="Arial" w:cs="Arial" w:eastAsia="Arial" w:hAnsi="Arial"/>
          <w:sz w:val="34"/>
          <w:szCs w:val="34"/>
          <w:color w:val="963634"/>
        </w:rPr>
      </w:pPr>
    </w:p>
    <w:p>
      <w:pPr>
        <w:ind w:left="440" w:hanging="229"/>
        <w:spacing w:after="0"/>
        <w:tabs>
          <w:tab w:leader="none" w:pos="440" w:val="left"/>
        </w:tabs>
        <w:numPr>
          <w:ilvl w:val="0"/>
          <w:numId w:val="75"/>
        </w:numPr>
        <w:rPr>
          <w:rFonts w:ascii="Arial" w:cs="Arial" w:eastAsia="Arial" w:hAnsi="Arial"/>
          <w:sz w:val="36"/>
          <w:szCs w:val="36"/>
          <w:color w:val="963634"/>
        </w:rPr>
      </w:pPr>
      <w:r>
        <w:rPr>
          <w:rFonts w:ascii="Arial" w:cs="Arial" w:eastAsia="Arial" w:hAnsi="Arial"/>
          <w:sz w:val="18"/>
          <w:szCs w:val="18"/>
          <w:b w:val="1"/>
          <w:bCs w:val="1"/>
          <w:color w:val="auto"/>
        </w:rPr>
        <w:t>Independent Compensation Consultant.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477" w:right="20" w:hanging="447"/>
        <w:spacing w:after="0" w:line="237" w:lineRule="auto"/>
        <w:tabs>
          <w:tab w:leader="none" w:pos="278" w:val="left"/>
        </w:tabs>
        <w:numPr>
          <w:ilvl w:val="0"/>
          <w:numId w:val="76"/>
        </w:numPr>
        <w:rPr>
          <w:rFonts w:ascii="Arial" w:cs="Arial" w:eastAsia="Arial" w:hAnsi="Arial"/>
          <w:sz w:val="22"/>
          <w:szCs w:val="22"/>
          <w:b w:val="1"/>
          <w:bCs w:val="1"/>
          <w:i w:val="1"/>
          <w:iCs w:val="1"/>
          <w:color w:val="828282"/>
        </w:rPr>
      </w:pPr>
      <w:r>
        <w:rPr>
          <w:rFonts w:ascii="Arial" w:cs="Arial" w:eastAsia="Arial" w:hAnsi="Arial"/>
          <w:sz w:val="18"/>
          <w:szCs w:val="18"/>
          <w:b w:val="1"/>
          <w:bCs w:val="1"/>
          <w:color w:val="auto"/>
        </w:rPr>
        <w:t xml:space="preserve">No Hedging or Pledging. </w:t>
      </w:r>
      <w:r>
        <w:rPr>
          <w:rFonts w:ascii="Arial" w:cs="Arial" w:eastAsia="Arial" w:hAnsi="Arial"/>
          <w:sz w:val="18"/>
          <w:szCs w:val="18"/>
          <w:color w:val="auto"/>
        </w:rPr>
        <w:t>We do not permit hedging or pledging</w:t>
      </w:r>
      <w:r>
        <w:rPr>
          <w:rFonts w:ascii="Arial" w:cs="Arial" w:eastAsia="Arial" w:hAnsi="Arial"/>
          <w:sz w:val="18"/>
          <w:szCs w:val="18"/>
          <w:b w:val="1"/>
          <w:bCs w:val="1"/>
          <w:color w:val="auto"/>
        </w:rPr>
        <w:t xml:space="preserve"> </w:t>
      </w:r>
      <w:r>
        <w:rPr>
          <w:rFonts w:ascii="Arial" w:cs="Arial" w:eastAsia="Arial" w:hAnsi="Arial"/>
          <w:sz w:val="18"/>
          <w:szCs w:val="18"/>
          <w:color w:val="auto"/>
        </w:rPr>
        <w:t>of our securities by our officers/directors.</w:t>
      </w:r>
    </w:p>
    <w:p>
      <w:pPr>
        <w:spacing w:after="0" w:line="154" w:lineRule="exact"/>
        <w:rPr>
          <w:sz w:val="20"/>
          <w:szCs w:val="20"/>
          <w:color w:val="auto"/>
        </w:rPr>
      </w:pPr>
    </w:p>
    <w:p>
      <w:pPr>
        <w:ind w:left="477" w:right="540" w:hanging="477"/>
        <w:spacing w:after="0" w:line="237" w:lineRule="auto"/>
        <w:tabs>
          <w:tab w:leader="none" w:pos="248" w:val="left"/>
        </w:tabs>
        <w:numPr>
          <w:ilvl w:val="0"/>
          <w:numId w:val="77"/>
        </w:numPr>
        <w:rPr>
          <w:rFonts w:ascii="Arial" w:cs="Arial" w:eastAsia="Arial" w:hAnsi="Arial"/>
          <w:sz w:val="22"/>
          <w:szCs w:val="22"/>
          <w:b w:val="1"/>
          <w:bCs w:val="1"/>
          <w:i w:val="1"/>
          <w:iCs w:val="1"/>
          <w:color w:val="828282"/>
        </w:rPr>
      </w:pPr>
      <w:r>
        <w:rPr>
          <w:rFonts w:ascii="Arial" w:cs="Arial" w:eastAsia="Arial" w:hAnsi="Arial"/>
          <w:sz w:val="18"/>
          <w:szCs w:val="18"/>
          <w:b w:val="1"/>
          <w:bCs w:val="1"/>
          <w:color w:val="auto"/>
        </w:rPr>
        <w:t xml:space="preserve">No Excise Tax Gross-ups. </w:t>
      </w:r>
      <w:r>
        <w:rPr>
          <w:rFonts w:ascii="Arial" w:cs="Arial" w:eastAsia="Arial" w:hAnsi="Arial"/>
          <w:sz w:val="18"/>
          <w:szCs w:val="18"/>
          <w:color w:val="auto"/>
        </w:rPr>
        <w:t>There are no tax gross-ups on</w:t>
      </w:r>
      <w:r>
        <w:rPr>
          <w:rFonts w:ascii="Arial" w:cs="Arial" w:eastAsia="Arial" w:hAnsi="Arial"/>
          <w:sz w:val="18"/>
          <w:szCs w:val="18"/>
          <w:b w:val="1"/>
          <w:bCs w:val="1"/>
          <w:color w:val="auto"/>
        </w:rPr>
        <w:t xml:space="preserve"> </w:t>
      </w:r>
      <w:r>
        <w:rPr>
          <w:rFonts w:ascii="Arial" w:cs="Arial" w:eastAsia="Arial" w:hAnsi="Arial"/>
          <w:sz w:val="18"/>
          <w:szCs w:val="18"/>
          <w:color w:val="auto"/>
        </w:rPr>
        <w:t>change-in-control benefits.</w:t>
      </w:r>
    </w:p>
    <w:p>
      <w:pPr>
        <w:spacing w:after="0" w:line="139" w:lineRule="exact"/>
        <w:rPr>
          <w:rFonts w:ascii="Arial" w:cs="Arial" w:eastAsia="Arial" w:hAnsi="Arial"/>
          <w:sz w:val="22"/>
          <w:szCs w:val="22"/>
          <w:b w:val="1"/>
          <w:bCs w:val="1"/>
          <w:i w:val="1"/>
          <w:iCs w:val="1"/>
          <w:color w:val="828282"/>
        </w:rPr>
      </w:pPr>
    </w:p>
    <w:p>
      <w:pPr>
        <w:ind w:left="257" w:hanging="257"/>
        <w:spacing w:after="0"/>
        <w:tabs>
          <w:tab w:leader="none" w:pos="257" w:val="left"/>
        </w:tabs>
        <w:numPr>
          <w:ilvl w:val="0"/>
          <w:numId w:val="77"/>
        </w:numPr>
        <w:rPr>
          <w:rFonts w:ascii="Arial" w:cs="Arial" w:eastAsia="Arial" w:hAnsi="Arial"/>
          <w:sz w:val="22"/>
          <w:szCs w:val="22"/>
          <w:b w:val="1"/>
          <w:bCs w:val="1"/>
          <w:i w:val="1"/>
          <w:iCs w:val="1"/>
          <w:color w:val="828282"/>
        </w:rPr>
      </w:pPr>
      <w:r>
        <w:rPr>
          <w:rFonts w:ascii="Arial" w:cs="Arial" w:eastAsia="Arial" w:hAnsi="Arial"/>
          <w:sz w:val="18"/>
          <w:szCs w:val="18"/>
          <w:b w:val="1"/>
          <w:bCs w:val="1"/>
          <w:color w:val="auto"/>
        </w:rPr>
        <w:t>No Employment Agreements for our Executive Officers.</w:t>
      </w:r>
    </w:p>
    <w:p>
      <w:pPr>
        <w:spacing w:after="0" w:line="151" w:lineRule="exact"/>
        <w:rPr>
          <w:rFonts w:ascii="Arial" w:cs="Arial" w:eastAsia="Arial" w:hAnsi="Arial"/>
          <w:sz w:val="22"/>
          <w:szCs w:val="22"/>
          <w:b w:val="1"/>
          <w:bCs w:val="1"/>
          <w:i w:val="1"/>
          <w:iCs w:val="1"/>
          <w:color w:val="828282"/>
        </w:rPr>
      </w:pPr>
    </w:p>
    <w:p>
      <w:pPr>
        <w:ind w:left="257" w:hanging="257"/>
        <w:spacing w:after="0"/>
        <w:tabs>
          <w:tab w:leader="none" w:pos="257" w:val="left"/>
        </w:tabs>
        <w:numPr>
          <w:ilvl w:val="0"/>
          <w:numId w:val="77"/>
        </w:numPr>
        <w:rPr>
          <w:rFonts w:ascii="Arial" w:cs="Arial" w:eastAsia="Arial" w:hAnsi="Arial"/>
          <w:sz w:val="22"/>
          <w:szCs w:val="22"/>
          <w:b w:val="1"/>
          <w:bCs w:val="1"/>
          <w:i w:val="1"/>
          <w:iCs w:val="1"/>
          <w:color w:val="828282"/>
        </w:rPr>
      </w:pPr>
      <w:r>
        <w:rPr>
          <w:rFonts w:ascii="Arial" w:cs="Arial" w:eastAsia="Arial" w:hAnsi="Arial"/>
          <w:sz w:val="18"/>
          <w:szCs w:val="18"/>
          <w:b w:val="1"/>
          <w:bCs w:val="1"/>
          <w:color w:val="auto"/>
        </w:rPr>
        <w:t>No Excessive Risk-Taking in Our Incentive</w:t>
      </w:r>
    </w:p>
    <w:p>
      <w:pPr>
        <w:ind w:left="477"/>
        <w:spacing w:after="0" w:line="239" w:lineRule="auto"/>
        <w:rPr>
          <w:sz w:val="20"/>
          <w:szCs w:val="20"/>
          <w:color w:val="auto"/>
        </w:rPr>
      </w:pPr>
      <w:r>
        <w:rPr>
          <w:rFonts w:ascii="Arial" w:cs="Arial" w:eastAsia="Arial" w:hAnsi="Arial"/>
          <w:sz w:val="18"/>
          <w:szCs w:val="18"/>
          <w:b w:val="1"/>
          <w:bCs w:val="1"/>
          <w:color w:val="auto"/>
        </w:rPr>
        <w:t xml:space="preserve">Compensation. </w:t>
      </w:r>
      <w:r>
        <w:rPr>
          <w:rFonts w:ascii="Arial" w:cs="Arial" w:eastAsia="Arial" w:hAnsi="Arial"/>
          <w:sz w:val="18"/>
          <w:szCs w:val="18"/>
          <w:color w:val="auto"/>
        </w:rPr>
        <w:t>Our annual and long-term incentive programs</w:t>
      </w:r>
      <w:r>
        <w:rPr>
          <w:rFonts w:ascii="Arial" w:cs="Arial" w:eastAsia="Arial" w:hAnsi="Arial"/>
          <w:sz w:val="18"/>
          <w:szCs w:val="18"/>
          <w:b w:val="1"/>
          <w:bCs w:val="1"/>
          <w:color w:val="auto"/>
        </w:rPr>
        <w:t xml:space="preserve"> </w:t>
      </w:r>
      <w:r>
        <w:rPr>
          <w:rFonts w:ascii="Arial" w:cs="Arial" w:eastAsia="Arial" w:hAnsi="Arial"/>
          <w:sz w:val="18"/>
          <w:szCs w:val="18"/>
          <w:color w:val="auto"/>
        </w:rPr>
        <w:t>use multiple performance metrics and capped pay-outs and other features intended to minimize the incentive to take overly risky actions.</w:t>
      </w:r>
    </w:p>
    <w:p>
      <w:pPr>
        <w:spacing w:after="0" w:line="153" w:lineRule="exact"/>
        <w:rPr>
          <w:sz w:val="20"/>
          <w:szCs w:val="20"/>
          <w:color w:val="auto"/>
        </w:rPr>
      </w:pPr>
    </w:p>
    <w:p>
      <w:pPr>
        <w:ind w:left="477" w:right="20" w:hanging="477"/>
        <w:spacing w:after="0" w:line="237" w:lineRule="auto"/>
        <w:tabs>
          <w:tab w:leader="none" w:pos="248" w:val="left"/>
        </w:tabs>
        <w:numPr>
          <w:ilvl w:val="0"/>
          <w:numId w:val="78"/>
        </w:numPr>
        <w:rPr>
          <w:rFonts w:ascii="Arial" w:cs="Arial" w:eastAsia="Arial" w:hAnsi="Arial"/>
          <w:sz w:val="22"/>
          <w:szCs w:val="22"/>
          <w:b w:val="1"/>
          <w:bCs w:val="1"/>
          <w:i w:val="1"/>
          <w:iCs w:val="1"/>
          <w:color w:val="828282"/>
        </w:rPr>
      </w:pPr>
      <w:r>
        <w:rPr>
          <w:rFonts w:ascii="Arial" w:cs="Arial" w:eastAsia="Arial" w:hAnsi="Arial"/>
          <w:sz w:val="18"/>
          <w:szCs w:val="18"/>
          <w:b w:val="1"/>
          <w:bCs w:val="1"/>
          <w:color w:val="auto"/>
        </w:rPr>
        <w:t>No guaranteed minimum pay-out for our annual or long-term performance-based awards.</w:t>
      </w:r>
    </w:p>
    <w:p>
      <w:pPr>
        <w:spacing w:after="0" w:line="2469" w:lineRule="exact"/>
        <w:rPr>
          <w:sz w:val="20"/>
          <w:szCs w:val="20"/>
          <w:color w:val="auto"/>
        </w:rPr>
      </w:pPr>
    </w:p>
    <w:p>
      <w:pPr>
        <w:sectPr>
          <w:pgSz w:w="11900" w:h="16838" w:orient="portrait"/>
          <w:cols w:equalWidth="0" w:num="2">
            <w:col w:w="5660" w:space="263"/>
            <w:col w:w="5457"/>
          </w:cols>
          <w:pgMar w:left="240" w:top="125" w:right="279" w:bottom="1440" w:gutter="0" w:footer="0" w:header="0"/>
          <w:type w:val="continuous"/>
        </w:sect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color w:val="2C2C2C"/>
        </w:rPr>
        <w:t xml:space="preserve">26 </w:t>
      </w:r>
      <w:r>
        <w:rPr>
          <w:sz w:val="1"/>
          <w:szCs w:val="1"/>
          <w:color w:val="auto"/>
        </w:rPr>
        <w:drawing>
          <wp:inline distT="0" distB="0" distL="0" distR="0">
            <wp:extent cx="445770" cy="180340"/>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45770" cy="180340"/>
                    </a:xfrm>
                    <a:prstGeom prst="rect">
                      <a:avLst/>
                    </a:prstGeom>
                    <a:noFill/>
                    <a:ln>
                      <a:noFill/>
                    </a:ln>
                  </pic:spPr>
                </pic:pic>
              </a:graphicData>
            </a:graphic>
          </wp:inline>
        </w:drawing>
      </w:r>
      <w:r>
        <w:rPr>
          <w:rFonts w:ascii="Arial" w:cs="Arial" w:eastAsia="Arial" w:hAnsi="Arial"/>
          <w:sz w:val="17"/>
          <w:szCs w:val="17"/>
          <w:color w:val="auto"/>
        </w:rPr>
        <w:t xml:space="preserve"> 2018 PROXY STATEMENT</w:t>
      </w:r>
    </w:p>
    <w:p>
      <w:pPr>
        <w:sectPr>
          <w:pgSz w:w="11900" w:h="16838" w:orient="portrait"/>
          <w:cols w:equalWidth="0" w:num="1">
            <w:col w:w="11380"/>
          </w:cols>
          <w:pgMar w:left="240" w:top="125" w:right="279" w:bottom="1440" w:gutter="0" w:footer="0" w:header="0"/>
          <w:type w:val="continuous"/>
        </w:sectPr>
      </w:pPr>
    </w:p>
    <w:bookmarkStart w:id="35" w:name="page36"/>
    <w:bookmarkEnd w:id="35"/>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960"/>
        <w:spacing w:after="0"/>
        <w:rPr>
          <w:sz w:val="20"/>
          <w:szCs w:val="20"/>
          <w:color w:val="auto"/>
        </w:rPr>
      </w:pPr>
      <w:r>
        <w:rPr>
          <w:rFonts w:ascii="Arial" w:cs="Arial" w:eastAsia="Arial" w:hAnsi="Arial"/>
          <w:sz w:val="14"/>
          <w:szCs w:val="14"/>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 COMPENSATION STRUCTURE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PHILOSOPHY AND OBJECTIVES OF EXECUTIVE COMPENSATION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We seek to provide reasonable and competitive compensation to executives through programs structured to:</w:t>
      </w:r>
    </w:p>
    <w:p>
      <w:pPr>
        <w:spacing w:after="0" w:line="117"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attract and retain well-qualified executives;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incent and reward short- and long-term financial and other company performance, as well as individual contributions;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align the interests of our executives with those of our stockholders.</w:t>
      </w:r>
    </w:p>
    <w:p>
      <w:pPr>
        <w:spacing w:after="0" w:line="90"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We also subscribe to a “pay-for-performance” philosophy when designing executive compensation. For us that means a substantial portion of an executive’s target compensation should be “at risk” and performance-based, where the value of one or more elements of compensation is tied to the achievement of pre-determined financial and/or other measures we consider important drivers in the creation of stockholder value.</w:t>
      </w:r>
    </w:p>
    <w:p>
      <w:pPr>
        <w:spacing w:after="0" w:line="67"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Our compensation philosophy requires that a substantial portion of total compensation be designed to appropriately balance short- and long-term performance incentives to align our Named Executives’ interests with those of our stockholders.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w:t>
      </w:r>
    </w:p>
    <w:p>
      <w:pPr>
        <w:spacing w:after="0" w:line="112" w:lineRule="exact"/>
        <w:rPr>
          <w:sz w:val="20"/>
          <w:szCs w:val="20"/>
          <w:color w:val="auto"/>
        </w:rPr>
      </w:pPr>
    </w:p>
    <w:p>
      <w:pPr>
        <w:jc w:val="both"/>
        <w:ind w:right="320"/>
        <w:spacing w:after="0" w:line="278" w:lineRule="auto"/>
        <w:rPr>
          <w:sz w:val="20"/>
          <w:szCs w:val="20"/>
          <w:color w:val="auto"/>
        </w:rPr>
      </w:pPr>
      <w:r>
        <w:rPr>
          <w:rFonts w:ascii="Arial" w:cs="Arial" w:eastAsia="Arial" w:hAnsi="Arial"/>
          <w:sz w:val="17"/>
          <w:szCs w:val="17"/>
          <w:color w:val="auto"/>
        </w:rPr>
        <w:t>To support our compensation philosophy and objectives, our executive compensation program consists of the key elements identified in the graphs below. In addition to the elements of Total Direct Compensation, we also offer other benefits and practices to promote retention. See “Section 3: Other Benefits and Practices” on the following pages of this CD&amp;A for additional information on these benefits and practices.</w:t>
      </w:r>
    </w:p>
    <w:p>
      <w:pPr>
        <w:spacing w:after="0" w:line="5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Compensation Committee does not set a specific target allocation among the elements of total direct compensation; however, long-term incentive compensation typically represents the largest single element of target total direct compensation, and performance-based compensation constitutes the substantial majority of a Named Executive’s target total direct compensation, as demonstrated in the chart below.</w:t>
      </w:r>
    </w:p>
    <w:p>
      <w:pPr>
        <w:spacing w:after="0" w:line="6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following chart and table reflect the key elements and proportion of each Named Executive’s target total direct compensation for 2017, the rationale for each element, and the financial performance metrics selected for our 2017 annual incentive awards. We typically use the term “Total Direct Compensation” to refer to an executive’s annual base salary, the dollar value of the executive’s target annual incentive award and the dollar value of the executive’s long-term incentive opportunity.</w:t>
      </w: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2017 Total Direct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51435</wp:posOffset>
            </wp:positionV>
            <wp:extent cx="5848985" cy="20237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848985" cy="2023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sz w:val="1"/>
          <w:szCs w:val="1"/>
          <w:color w:val="auto"/>
        </w:rPr>
        <w:drawing>
          <wp:inline distT="0" distB="0" distL="0" distR="0">
            <wp:extent cx="488950" cy="20574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88950" cy="205740"/>
                    </a:xfrm>
                    <a:prstGeom prst="rect">
                      <a:avLst/>
                    </a:prstGeom>
                    <a:noFill/>
                    <a:ln>
                      <a:noFill/>
                    </a:ln>
                  </pic:spPr>
                </pic:pic>
              </a:graphicData>
            </a:graphic>
          </wp:inline>
        </w:drawing>
      </w:r>
      <w:r>
        <w:rPr>
          <w:rFonts w:ascii="Arial" w:cs="Arial" w:eastAsia="Arial" w:hAnsi="Arial"/>
          <w:sz w:val="18"/>
          <w:szCs w:val="18"/>
          <w:color w:val="auto"/>
        </w:rPr>
        <w:t xml:space="preserve"> 2018 PROXY STATEMENT </w:t>
      </w:r>
      <w:r>
        <w:rPr>
          <w:rFonts w:ascii="Arial" w:cs="Arial" w:eastAsia="Arial" w:hAnsi="Arial"/>
          <w:sz w:val="18"/>
          <w:szCs w:val="18"/>
          <w:b w:val="1"/>
          <w:bCs w:val="1"/>
          <w:color w:val="2C2C2C"/>
        </w:rPr>
        <w:t>27</w:t>
      </w:r>
    </w:p>
    <w:p>
      <w:pPr>
        <w:sectPr>
          <w:pgSz w:w="11900" w:h="16838" w:orient="portrait"/>
          <w:cols w:equalWidth="0" w:num="1">
            <w:col w:w="11420"/>
          </w:cols>
          <w:pgMar w:left="240" w:top="125" w:right="239" w:bottom="1440" w:gutter="0" w:footer="0" w:header="0"/>
        </w:sectPr>
      </w:pPr>
    </w:p>
    <w:bookmarkStart w:id="36" w:name="page37"/>
    <w:bookmarkEnd w:id="36"/>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178"/>
        </w:trPr>
        <w:tc>
          <w:tcPr>
            <w:tcW w:w="18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48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COMPENSATION DISCUSSION AND ANALYSIS</w:t>
            </w:r>
          </w:p>
        </w:tc>
      </w:tr>
      <w:tr>
        <w:trPr>
          <w:trHeight w:val="675"/>
        </w:trPr>
        <w:tc>
          <w:tcPr>
            <w:tcW w:w="6660" w:type="dxa"/>
            <w:vAlign w:val="bottom"/>
            <w:gridSpan w:val="5"/>
          </w:tcPr>
          <w:p>
            <w:pPr>
              <w:spacing w:after="0"/>
              <w:rPr>
                <w:sz w:val="20"/>
                <w:szCs w:val="20"/>
                <w:color w:val="auto"/>
              </w:rPr>
            </w:pPr>
            <w:r>
              <w:rPr>
                <w:rFonts w:ascii="Arial" w:cs="Arial" w:eastAsia="Arial" w:hAnsi="Arial"/>
                <w:sz w:val="18"/>
                <w:szCs w:val="18"/>
                <w:b w:val="1"/>
                <w:bCs w:val="1"/>
                <w:color w:val="auto"/>
              </w:rPr>
              <w:t>2017 TOTAL DIRECT COMPENSATION ELEMENTS</w:t>
            </w:r>
          </w:p>
        </w:tc>
        <w:tc>
          <w:tcPr>
            <w:tcW w:w="30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135"/>
        </w:trPr>
        <w:tc>
          <w:tcPr>
            <w:tcW w:w="1860" w:type="dxa"/>
            <w:vAlign w:val="bottom"/>
            <w:tcBorders>
              <w:bottom w:val="single" w:sz="8" w:color="auto"/>
            </w:tcBorders>
          </w:tcPr>
          <w:p>
            <w:pPr>
              <w:spacing w:after="0"/>
              <w:rPr>
                <w:sz w:val="11"/>
                <w:szCs w:val="11"/>
                <w:color w:val="auto"/>
              </w:rPr>
            </w:pPr>
          </w:p>
        </w:tc>
        <w:tc>
          <w:tcPr>
            <w:tcW w:w="4800" w:type="dxa"/>
            <w:vAlign w:val="bottom"/>
            <w:tcBorders>
              <w:bottom w:val="single" w:sz="8" w:color="auto"/>
            </w:tcBorders>
            <w:gridSpan w:val="4"/>
          </w:tcPr>
          <w:p>
            <w:pPr>
              <w:spacing w:after="0"/>
              <w:rPr>
                <w:sz w:val="11"/>
                <w:szCs w:val="11"/>
                <w:color w:val="auto"/>
              </w:rPr>
            </w:pPr>
          </w:p>
        </w:tc>
        <w:tc>
          <w:tcPr>
            <w:tcW w:w="4780" w:type="dxa"/>
            <w:vAlign w:val="bottom"/>
            <w:tcBorders>
              <w:bottom w:val="single" w:sz="8" w:color="auto"/>
            </w:tcBorders>
            <w:gridSpan w:val="2"/>
          </w:tcPr>
          <w:p>
            <w:pPr>
              <w:spacing w:after="0"/>
              <w:rPr>
                <w:sz w:val="11"/>
                <w:szCs w:val="11"/>
                <w:color w:val="auto"/>
              </w:rPr>
            </w:pPr>
          </w:p>
        </w:tc>
      </w:tr>
      <w:tr>
        <w:trPr>
          <w:trHeight w:val="244"/>
        </w:trPr>
        <w:tc>
          <w:tcPr>
            <w:tcW w:w="1860" w:type="dxa"/>
            <w:vAlign w:val="bottom"/>
            <w:tcBorders>
              <w:left w:val="single" w:sz="8" w:color="auto"/>
              <w:bottom w:val="single" w:sz="8" w:color="auto"/>
              <w:right w:val="single" w:sz="8" w:color="525252"/>
            </w:tcBorders>
            <w:shd w:val="clear" w:color="auto" w:fill="525252"/>
          </w:tcPr>
          <w:p>
            <w:pPr>
              <w:ind w:left="40"/>
              <w:spacing w:after="0"/>
              <w:rPr>
                <w:sz w:val="20"/>
                <w:szCs w:val="20"/>
                <w:color w:val="auto"/>
              </w:rPr>
            </w:pPr>
            <w:r>
              <w:rPr>
                <w:rFonts w:ascii="Arial" w:cs="Arial" w:eastAsia="Arial" w:hAnsi="Arial"/>
                <w:sz w:val="18"/>
                <w:szCs w:val="18"/>
                <w:b w:val="1"/>
                <w:bCs w:val="1"/>
                <w:color w:val="FFFFFF"/>
              </w:rPr>
              <w:t>Element</w:t>
            </w:r>
          </w:p>
        </w:tc>
        <w:tc>
          <w:tcPr>
            <w:tcW w:w="4800" w:type="dxa"/>
            <w:vAlign w:val="bottom"/>
            <w:tcBorders>
              <w:bottom w:val="single" w:sz="8" w:color="auto"/>
              <w:right w:val="single" w:sz="8" w:color="525252"/>
            </w:tcBorders>
            <w:gridSpan w:val="4"/>
            <w:shd w:val="clear" w:color="auto" w:fill="525252"/>
          </w:tcPr>
          <w:p>
            <w:pPr>
              <w:ind w:left="20"/>
              <w:spacing w:after="0"/>
              <w:rPr>
                <w:sz w:val="20"/>
                <w:szCs w:val="20"/>
                <w:color w:val="auto"/>
              </w:rPr>
            </w:pPr>
            <w:r>
              <w:rPr>
                <w:rFonts w:ascii="Arial" w:cs="Arial" w:eastAsia="Arial" w:hAnsi="Arial"/>
                <w:sz w:val="18"/>
                <w:szCs w:val="18"/>
                <w:b w:val="1"/>
                <w:bCs w:val="1"/>
                <w:color w:val="FFFFFF"/>
              </w:rPr>
              <w:t>Description</w:t>
            </w:r>
          </w:p>
        </w:tc>
        <w:tc>
          <w:tcPr>
            <w:tcW w:w="4780" w:type="dxa"/>
            <w:vAlign w:val="bottom"/>
            <w:tcBorders>
              <w:bottom w:val="single" w:sz="8" w:color="auto"/>
              <w:right w:val="single" w:sz="8" w:color="auto"/>
            </w:tcBorders>
            <w:gridSpan w:val="2"/>
            <w:shd w:val="clear" w:color="auto" w:fill="525252"/>
          </w:tcPr>
          <w:p>
            <w:pPr>
              <w:spacing w:after="0"/>
              <w:rPr>
                <w:sz w:val="20"/>
                <w:szCs w:val="20"/>
                <w:color w:val="auto"/>
              </w:rPr>
            </w:pPr>
            <w:r>
              <w:rPr>
                <w:rFonts w:ascii="Arial" w:cs="Arial" w:eastAsia="Arial" w:hAnsi="Arial"/>
                <w:sz w:val="18"/>
                <w:szCs w:val="18"/>
                <w:b w:val="1"/>
                <w:bCs w:val="1"/>
                <w:color w:val="FFFFFF"/>
              </w:rPr>
              <w:t>Primary Design Objectives</w:t>
            </w:r>
          </w:p>
        </w:tc>
      </w:tr>
      <w:tr>
        <w:trPr>
          <w:trHeight w:val="250"/>
        </w:trPr>
        <w:tc>
          <w:tcPr>
            <w:tcW w:w="18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Base Salary</w:t>
            </w:r>
          </w:p>
        </w:tc>
        <w:tc>
          <w:tcPr>
            <w:tcW w:w="3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450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Annual fixed cash compensation</w:t>
            </w:r>
          </w:p>
        </w:tc>
        <w:tc>
          <w:tcPr>
            <w:tcW w:w="3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44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Attract and retain leadership talent</w:t>
            </w:r>
          </w:p>
        </w:tc>
      </w:tr>
      <w:tr>
        <w:trPr>
          <w:trHeight w:val="207"/>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Annual</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45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Pay-out based on 80% financial performance goals,</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44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Emphasize operating results by heavily weighting</w:t>
            </w:r>
          </w:p>
        </w:tc>
      </w:tr>
      <w:tr>
        <w:trPr>
          <w:trHeight w:val="225"/>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Incentive</w:t>
            </w:r>
          </w:p>
        </w:tc>
        <w:tc>
          <w:tcPr>
            <w:tcW w:w="480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10% safety goals and 10% individual goals</w:t>
            </w:r>
          </w:p>
        </w:tc>
        <w:tc>
          <w:tcPr>
            <w:tcW w:w="47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financial performance</w:t>
            </w: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30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4500" w:type="dxa"/>
            <w:vAlign w:val="bottom"/>
            <w:tcBorders>
              <w:right w:val="single" w:sz="8" w:color="auto"/>
            </w:tcBorders>
            <w:gridSpan w:val="3"/>
          </w:tcPr>
          <w:p>
            <w:pPr>
              <w:ind w:left="40"/>
              <w:spacing w:after="0" w:line="202" w:lineRule="exact"/>
              <w:rPr>
                <w:sz w:val="20"/>
                <w:szCs w:val="20"/>
                <w:color w:val="auto"/>
              </w:rPr>
            </w:pPr>
            <w:r>
              <w:rPr>
                <w:rFonts w:ascii="Arial" w:cs="Arial" w:eastAsia="Arial" w:hAnsi="Arial"/>
                <w:sz w:val="18"/>
                <w:szCs w:val="18"/>
                <w:color w:val="auto"/>
              </w:rPr>
              <w:t>Financial performance metrics (% of overall pay-out):</w:t>
            </w:r>
          </w:p>
        </w:tc>
        <w:tc>
          <w:tcPr>
            <w:tcW w:w="30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44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Select financial performance metrics that align with</w:t>
            </w: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416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operating income (55%) and</w:t>
            </w:r>
          </w:p>
        </w:tc>
        <w:tc>
          <w:tcPr>
            <w:tcW w:w="4780" w:type="dxa"/>
            <w:vAlign w:val="bottom"/>
            <w:tcBorders>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strategic priorities</w:t>
            </w: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416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free cash flow (25%)</w:t>
            </w:r>
          </w:p>
        </w:tc>
        <w:tc>
          <w:tcPr>
            <w:tcW w:w="30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44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Align compensation with safety, which we view as a</w:t>
            </w: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30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4500" w:type="dxa"/>
            <w:vAlign w:val="bottom"/>
            <w:tcBorders>
              <w:right w:val="single" w:sz="8" w:color="auto"/>
            </w:tcBorders>
            <w:gridSpan w:val="3"/>
          </w:tcPr>
          <w:p>
            <w:pPr>
              <w:ind w:left="40"/>
              <w:spacing w:after="0" w:line="202" w:lineRule="exact"/>
              <w:rPr>
                <w:sz w:val="20"/>
                <w:szCs w:val="20"/>
                <w:color w:val="auto"/>
              </w:rPr>
            </w:pPr>
            <w:r>
              <w:rPr>
                <w:rFonts w:ascii="Arial" w:cs="Arial" w:eastAsia="Arial" w:hAnsi="Arial"/>
                <w:sz w:val="18"/>
                <w:szCs w:val="18"/>
                <w:color w:val="auto"/>
              </w:rPr>
              <w:t>Financial results determine payout multiplier</w:t>
            </w:r>
          </w:p>
        </w:tc>
        <w:tc>
          <w:tcPr>
            <w:tcW w:w="4780" w:type="dxa"/>
            <w:vAlign w:val="bottom"/>
            <w:tcBorders>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key component for the success of our business</w:t>
            </w: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30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4500" w:type="dxa"/>
            <w:vAlign w:val="bottom"/>
            <w:tcBorders>
              <w:right w:val="single" w:sz="8" w:color="auto"/>
            </w:tcBorders>
            <w:gridSpan w:val="3"/>
          </w:tcPr>
          <w:p>
            <w:pPr>
              <w:ind w:left="40"/>
              <w:spacing w:after="0" w:line="202" w:lineRule="exact"/>
              <w:rPr>
                <w:sz w:val="20"/>
                <w:szCs w:val="20"/>
                <w:color w:val="auto"/>
              </w:rPr>
            </w:pPr>
            <w:r>
              <w:rPr>
                <w:rFonts w:ascii="Arial" w:cs="Arial" w:eastAsia="Arial" w:hAnsi="Arial"/>
                <w:sz w:val="18"/>
                <w:szCs w:val="18"/>
                <w:color w:val="auto"/>
              </w:rPr>
              <w:t>No pay-out unless at least threshold operating income</w:t>
            </w:r>
          </w:p>
        </w:tc>
        <w:tc>
          <w:tcPr>
            <w:tcW w:w="30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44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Retain individual performance component to allow the</w:t>
            </w: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4800" w:type="dxa"/>
            <w:vAlign w:val="bottom"/>
            <w:tcBorders>
              <w:right w:val="single" w:sz="8" w:color="auto"/>
            </w:tcBorders>
            <w:gridSpan w:val="4"/>
          </w:tcPr>
          <w:p>
            <w:pPr>
              <w:ind w:left="20"/>
              <w:spacing w:after="0" w:line="202" w:lineRule="exact"/>
              <w:rPr>
                <w:sz w:val="20"/>
                <w:szCs w:val="20"/>
                <w:color w:val="auto"/>
              </w:rPr>
            </w:pPr>
            <w:r>
              <w:rPr>
                <w:rFonts w:ascii="Arial" w:cs="Arial" w:eastAsia="Arial" w:hAnsi="Arial"/>
                <w:sz w:val="18"/>
                <w:szCs w:val="18"/>
                <w:color w:val="auto"/>
              </w:rPr>
              <w:t>goal is achieved</w:t>
            </w:r>
          </w:p>
        </w:tc>
        <w:tc>
          <w:tcPr>
            <w:tcW w:w="4780" w:type="dxa"/>
            <w:vAlign w:val="bottom"/>
            <w:tcBorders>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exercise of negative discretion to differentiate among</w:t>
            </w: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30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4500" w:type="dxa"/>
            <w:vAlign w:val="bottom"/>
            <w:tcBorders>
              <w:right w:val="single" w:sz="8" w:color="auto"/>
            </w:tcBorders>
            <w:gridSpan w:val="3"/>
          </w:tcPr>
          <w:p>
            <w:pPr>
              <w:ind w:left="40"/>
              <w:spacing w:after="0" w:line="202" w:lineRule="exact"/>
              <w:rPr>
                <w:sz w:val="20"/>
                <w:szCs w:val="20"/>
                <w:color w:val="auto"/>
              </w:rPr>
            </w:pPr>
            <w:r>
              <w:rPr>
                <w:rFonts w:ascii="Arial" w:cs="Arial" w:eastAsia="Arial" w:hAnsi="Arial"/>
                <w:sz w:val="18"/>
                <w:szCs w:val="18"/>
                <w:color w:val="auto"/>
              </w:rPr>
              <w:t>See below for discussion of financial performance</w:t>
            </w:r>
          </w:p>
        </w:tc>
        <w:tc>
          <w:tcPr>
            <w:tcW w:w="4780" w:type="dxa"/>
            <w:vAlign w:val="bottom"/>
            <w:tcBorders>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Named Executive performance</w:t>
            </w:r>
          </w:p>
        </w:tc>
      </w:tr>
      <w:tr>
        <w:trPr>
          <w:trHeight w:val="224"/>
        </w:trPr>
        <w:tc>
          <w:tcPr>
            <w:tcW w:w="1860" w:type="dxa"/>
            <w:vAlign w:val="bottom"/>
            <w:tcBorders>
              <w:left w:val="single" w:sz="8" w:color="auto"/>
              <w:bottom w:val="single" w:sz="8" w:color="auto"/>
              <w:right w:val="single" w:sz="8" w:color="auto"/>
            </w:tcBorders>
          </w:tcPr>
          <w:p>
            <w:pPr>
              <w:spacing w:after="0"/>
              <w:rPr>
                <w:sz w:val="19"/>
                <w:szCs w:val="19"/>
                <w:color w:val="auto"/>
              </w:rPr>
            </w:pPr>
          </w:p>
        </w:tc>
        <w:tc>
          <w:tcPr>
            <w:tcW w:w="6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metrics</w:t>
            </w:r>
          </w:p>
        </w:tc>
        <w:tc>
          <w:tcPr>
            <w:tcW w:w="416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480" w:type="dxa"/>
            <w:vAlign w:val="bottom"/>
            <w:tcBorders>
              <w:bottom w:val="single" w:sz="8" w:color="auto"/>
              <w:right w:val="single" w:sz="8" w:color="auto"/>
            </w:tcBorders>
          </w:tcPr>
          <w:p>
            <w:pPr>
              <w:spacing w:after="0"/>
              <w:rPr>
                <w:sz w:val="19"/>
                <w:szCs w:val="19"/>
                <w:color w:val="auto"/>
              </w:rPr>
            </w:pPr>
          </w:p>
        </w:tc>
      </w:tr>
      <w:tr>
        <w:trPr>
          <w:trHeight w:val="207"/>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Long-Term</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45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Long-term incentive value allocated among the</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44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Align interest of executives with our stockholders</w:t>
            </w:r>
          </w:p>
        </w:tc>
      </w:tr>
      <w:tr>
        <w:trPr>
          <w:trHeight w:val="225"/>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Incentive</w:t>
            </w:r>
          </w:p>
        </w:tc>
        <w:tc>
          <w:tcPr>
            <w:tcW w:w="480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following mix of equity award types:</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44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Promote executive focus on long-term company</w:t>
            </w: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434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40% 3-year ratable vesting restricted stock units</w:t>
            </w:r>
          </w:p>
        </w:tc>
        <w:tc>
          <w:tcPr>
            <w:tcW w:w="4780" w:type="dxa"/>
            <w:vAlign w:val="bottom"/>
            <w:tcBorders>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performance</w:t>
            </w: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434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60% 3-year cliff vesting performance restricted stock</w:t>
            </w:r>
          </w:p>
        </w:tc>
        <w:tc>
          <w:tcPr>
            <w:tcW w:w="30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44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Utilize performance metrics that management can</w:t>
            </w: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4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units</w:t>
            </w:r>
          </w:p>
        </w:tc>
        <w:tc>
          <w:tcPr>
            <w:tcW w:w="180" w:type="dxa"/>
            <w:vAlign w:val="bottom"/>
          </w:tcPr>
          <w:p>
            <w:pPr>
              <w:spacing w:after="0"/>
              <w:rPr>
                <w:sz w:val="17"/>
                <w:szCs w:val="17"/>
                <w:color w:val="auto"/>
              </w:rPr>
            </w:pPr>
          </w:p>
        </w:tc>
        <w:tc>
          <w:tcPr>
            <w:tcW w:w="4160" w:type="dxa"/>
            <w:vAlign w:val="bottom"/>
            <w:tcBorders>
              <w:right w:val="single" w:sz="8" w:color="auto"/>
            </w:tcBorders>
          </w:tcPr>
          <w:p>
            <w:pPr>
              <w:spacing w:after="0"/>
              <w:rPr>
                <w:sz w:val="17"/>
                <w:szCs w:val="17"/>
                <w:color w:val="auto"/>
              </w:rPr>
            </w:pPr>
          </w:p>
        </w:tc>
        <w:tc>
          <w:tcPr>
            <w:tcW w:w="4780" w:type="dxa"/>
            <w:vAlign w:val="bottom"/>
            <w:tcBorders>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impact and are meaningful drivers of long-term value</w:t>
            </w:r>
          </w:p>
        </w:tc>
      </w:tr>
      <w:tr>
        <w:trPr>
          <w:trHeight w:val="224"/>
        </w:trPr>
        <w:tc>
          <w:tcPr>
            <w:tcW w:w="1860" w:type="dxa"/>
            <w:vAlign w:val="bottom"/>
            <w:tcBorders>
              <w:left w:val="single" w:sz="8" w:color="auto"/>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160" w:type="dxa"/>
            <w:vAlign w:val="bottom"/>
            <w:tcBorders>
              <w:bottom w:val="single" w:sz="8" w:color="auto"/>
              <w:right w:val="single" w:sz="8" w:color="auto"/>
            </w:tcBorders>
          </w:tcPr>
          <w:p>
            <w:pPr>
              <w:spacing w:after="0"/>
              <w:rPr>
                <w:sz w:val="19"/>
                <w:szCs w:val="19"/>
                <w:color w:val="auto"/>
              </w:rPr>
            </w:pPr>
          </w:p>
        </w:tc>
        <w:tc>
          <w:tcPr>
            <w:tcW w:w="478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creation</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DETERMINING NAMED EXECUTIVE COMPENSATION</w:t>
      </w:r>
    </w:p>
    <w:p>
      <w:pPr>
        <w:spacing w:after="0" w:line="193" w:lineRule="exact"/>
        <w:rPr>
          <w:sz w:val="20"/>
          <w:szCs w:val="20"/>
          <w:color w:val="auto"/>
        </w:rPr>
      </w:pPr>
    </w:p>
    <w:p>
      <w:pPr>
        <w:ind w:right="1100"/>
        <w:spacing w:after="0" w:line="262" w:lineRule="auto"/>
        <w:rPr>
          <w:sz w:val="20"/>
          <w:szCs w:val="20"/>
          <w:color w:val="auto"/>
        </w:rPr>
      </w:pPr>
      <w:r>
        <w:rPr>
          <w:rFonts w:ascii="Arial" w:cs="Arial" w:eastAsia="Arial" w:hAnsi="Arial"/>
          <w:sz w:val="18"/>
          <w:szCs w:val="18"/>
          <w:color w:val="auto"/>
        </w:rPr>
        <w:t>The following is a summary of responsibilities and data sources used by our Compensation Committee to determine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176530</wp:posOffset>
            </wp:positionV>
            <wp:extent cx="7212330" cy="171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FFFFFF"/>
        </w:rPr>
        <w:t>How Compensation Decisions Are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3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400" w:type="dxa"/>
            <w:vAlign w:val="bottom"/>
          </w:tcPr>
          <w:p>
            <w:pPr>
              <w:ind w:left="20"/>
              <w:spacing w:after="0"/>
              <w:rPr>
                <w:sz w:val="20"/>
                <w:szCs w:val="20"/>
                <w:color w:val="auto"/>
              </w:rPr>
            </w:pPr>
            <w:r>
              <w:rPr>
                <w:rFonts w:ascii="Arial" w:cs="Arial" w:eastAsia="Arial" w:hAnsi="Arial"/>
                <w:sz w:val="18"/>
                <w:szCs w:val="18"/>
                <w:b w:val="1"/>
                <w:bCs w:val="1"/>
                <w:color w:val="auto"/>
              </w:rPr>
              <w:t>Our</w:t>
            </w:r>
          </w:p>
        </w:tc>
        <w:tc>
          <w:tcPr>
            <w:tcW w:w="8960" w:type="dxa"/>
            <w:vAlign w:val="bottom"/>
          </w:tcPr>
          <w:p>
            <w:pPr>
              <w:ind w:left="300"/>
              <w:spacing w:after="0"/>
              <w:rPr>
                <w:sz w:val="20"/>
                <w:szCs w:val="20"/>
                <w:color w:val="auto"/>
              </w:rPr>
            </w:pPr>
            <w:r>
              <w:rPr>
                <w:rFonts w:ascii="Arial" w:cs="Arial" w:eastAsia="Arial" w:hAnsi="Arial"/>
                <w:sz w:val="18"/>
                <w:szCs w:val="18"/>
                <w:color w:val="auto"/>
              </w:rPr>
              <w:t>• The Compensation Committee establishes the target total direct compensation of our executives and</w:t>
            </w:r>
          </w:p>
        </w:tc>
      </w:tr>
      <w:tr>
        <w:trPr>
          <w:trHeight w:val="225"/>
        </w:trPr>
        <w:tc>
          <w:tcPr>
            <w:tcW w:w="2400" w:type="dxa"/>
            <w:vAlign w:val="bottom"/>
          </w:tcPr>
          <w:p>
            <w:pPr>
              <w:ind w:left="20"/>
              <w:spacing w:after="0"/>
              <w:rPr>
                <w:sz w:val="20"/>
                <w:szCs w:val="20"/>
                <w:color w:val="auto"/>
              </w:rPr>
            </w:pPr>
            <w:r>
              <w:rPr>
                <w:rFonts w:ascii="Arial" w:cs="Arial" w:eastAsia="Arial" w:hAnsi="Arial"/>
                <w:sz w:val="18"/>
                <w:szCs w:val="18"/>
                <w:b w:val="1"/>
                <w:bCs w:val="1"/>
                <w:color w:val="auto"/>
              </w:rPr>
              <w:t>Compensation Committee</w:t>
            </w:r>
          </w:p>
        </w:tc>
        <w:tc>
          <w:tcPr>
            <w:tcW w:w="8960" w:type="dxa"/>
            <w:vAlign w:val="bottom"/>
          </w:tcPr>
          <w:p>
            <w:pPr>
              <w:ind w:left="140"/>
              <w:spacing w:after="0"/>
              <w:rPr>
                <w:sz w:val="20"/>
                <w:szCs w:val="20"/>
                <w:color w:val="auto"/>
              </w:rPr>
            </w:pPr>
            <w:r>
              <w:rPr>
                <w:rFonts w:ascii="Arial" w:cs="Arial" w:eastAsia="Arial" w:hAnsi="Arial"/>
                <w:sz w:val="18"/>
                <w:szCs w:val="18"/>
                <w:color w:val="auto"/>
              </w:rPr>
              <w:t>administers other benefit programs.</w:t>
            </w:r>
          </w:p>
        </w:tc>
      </w:tr>
      <w:tr>
        <w:trPr>
          <w:trHeight w:val="203"/>
        </w:trPr>
        <w:tc>
          <w:tcPr>
            <w:tcW w:w="2400" w:type="dxa"/>
            <w:vAlign w:val="bottom"/>
          </w:tcPr>
          <w:p>
            <w:pPr>
              <w:spacing w:after="0"/>
              <w:rPr>
                <w:sz w:val="17"/>
                <w:szCs w:val="17"/>
                <w:color w:val="auto"/>
              </w:rPr>
            </w:pPr>
          </w:p>
        </w:tc>
        <w:tc>
          <w:tcPr>
            <w:tcW w:w="8960" w:type="dxa"/>
            <w:vAlign w:val="bottom"/>
          </w:tcPr>
          <w:p>
            <w:pPr>
              <w:ind w:left="300"/>
              <w:spacing w:after="0" w:line="202" w:lineRule="exact"/>
              <w:rPr>
                <w:sz w:val="20"/>
                <w:szCs w:val="20"/>
                <w:color w:val="auto"/>
              </w:rPr>
            </w:pPr>
            <w:r>
              <w:rPr>
                <w:rFonts w:ascii="Arial" w:cs="Arial" w:eastAsia="Arial" w:hAnsi="Arial"/>
                <w:sz w:val="18"/>
                <w:szCs w:val="18"/>
                <w:color w:val="auto"/>
              </w:rPr>
              <w:t>• The committee reviews the design of the program and establishes the performance metrics and goals</w:t>
            </w:r>
          </w:p>
        </w:tc>
      </w:tr>
      <w:tr>
        <w:trPr>
          <w:trHeight w:val="203"/>
        </w:trPr>
        <w:tc>
          <w:tcPr>
            <w:tcW w:w="2400" w:type="dxa"/>
            <w:vAlign w:val="bottom"/>
          </w:tcPr>
          <w:p>
            <w:pPr>
              <w:spacing w:after="0"/>
              <w:rPr>
                <w:sz w:val="17"/>
                <w:szCs w:val="17"/>
                <w:color w:val="auto"/>
              </w:rPr>
            </w:pPr>
          </w:p>
        </w:tc>
        <w:tc>
          <w:tcPr>
            <w:tcW w:w="8960" w:type="dxa"/>
            <w:vAlign w:val="bottom"/>
          </w:tcPr>
          <w:p>
            <w:pPr>
              <w:ind w:left="140"/>
              <w:spacing w:after="0" w:line="202" w:lineRule="exact"/>
              <w:rPr>
                <w:sz w:val="20"/>
                <w:szCs w:val="20"/>
                <w:color w:val="auto"/>
              </w:rPr>
            </w:pPr>
            <w:r>
              <w:rPr>
                <w:rFonts w:ascii="Arial" w:cs="Arial" w:eastAsia="Arial" w:hAnsi="Arial"/>
                <w:sz w:val="18"/>
                <w:szCs w:val="18"/>
                <w:color w:val="auto"/>
              </w:rPr>
              <w:t>under the incentive programs.</w:t>
            </w:r>
          </w:p>
        </w:tc>
      </w:tr>
      <w:tr>
        <w:trPr>
          <w:trHeight w:val="203"/>
        </w:trPr>
        <w:tc>
          <w:tcPr>
            <w:tcW w:w="2400" w:type="dxa"/>
            <w:vAlign w:val="bottom"/>
          </w:tcPr>
          <w:p>
            <w:pPr>
              <w:spacing w:after="0"/>
              <w:rPr>
                <w:sz w:val="17"/>
                <w:szCs w:val="17"/>
                <w:color w:val="auto"/>
              </w:rPr>
            </w:pPr>
          </w:p>
        </w:tc>
        <w:tc>
          <w:tcPr>
            <w:tcW w:w="8960" w:type="dxa"/>
            <w:vAlign w:val="bottom"/>
          </w:tcPr>
          <w:p>
            <w:pPr>
              <w:ind w:left="300"/>
              <w:spacing w:after="0" w:line="202" w:lineRule="exact"/>
              <w:rPr>
                <w:sz w:val="20"/>
                <w:szCs w:val="20"/>
                <w:color w:val="auto"/>
              </w:rPr>
            </w:pPr>
            <w:r>
              <w:rPr>
                <w:rFonts w:ascii="Arial" w:cs="Arial" w:eastAsia="Arial" w:hAnsi="Arial"/>
                <w:sz w:val="18"/>
                <w:szCs w:val="18"/>
                <w:color w:val="auto"/>
              </w:rPr>
              <w:t>• The committee evaluates Company and individual performance outcomes and ensures the appropriate</w:t>
            </w:r>
          </w:p>
        </w:tc>
      </w:tr>
      <w:tr>
        <w:trPr>
          <w:trHeight w:val="224"/>
        </w:trPr>
        <w:tc>
          <w:tcPr>
            <w:tcW w:w="2400" w:type="dxa"/>
            <w:vAlign w:val="bottom"/>
            <w:tcBorders>
              <w:bottom w:val="single" w:sz="8" w:color="auto"/>
            </w:tcBorders>
          </w:tcPr>
          <w:p>
            <w:pPr>
              <w:spacing w:after="0"/>
              <w:rPr>
                <w:sz w:val="19"/>
                <w:szCs w:val="19"/>
                <w:color w:val="auto"/>
              </w:rPr>
            </w:pPr>
          </w:p>
        </w:tc>
        <w:tc>
          <w:tcPr>
            <w:tcW w:w="89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balance of performance metrics is used.</w:t>
            </w:r>
          </w:p>
        </w:tc>
      </w:tr>
      <w:tr>
        <w:trPr>
          <w:trHeight w:val="207"/>
        </w:trPr>
        <w:tc>
          <w:tcPr>
            <w:tcW w:w="2400" w:type="dxa"/>
            <w:vAlign w:val="bottom"/>
          </w:tcPr>
          <w:p>
            <w:pPr>
              <w:ind w:left="20"/>
              <w:spacing w:after="0"/>
              <w:rPr>
                <w:sz w:val="20"/>
                <w:szCs w:val="20"/>
                <w:color w:val="auto"/>
              </w:rPr>
            </w:pPr>
            <w:r>
              <w:rPr>
                <w:rFonts w:ascii="Arial" w:cs="Arial" w:eastAsia="Arial" w:hAnsi="Arial"/>
                <w:sz w:val="18"/>
                <w:szCs w:val="18"/>
                <w:b w:val="1"/>
                <w:bCs w:val="1"/>
                <w:color w:val="auto"/>
              </w:rPr>
              <w:t>Compensation</w:t>
            </w:r>
          </w:p>
        </w:tc>
        <w:tc>
          <w:tcPr>
            <w:tcW w:w="8960" w:type="dxa"/>
            <w:vAlign w:val="bottom"/>
          </w:tcPr>
          <w:p>
            <w:pPr>
              <w:ind w:left="300"/>
              <w:spacing w:after="0"/>
              <w:rPr>
                <w:sz w:val="20"/>
                <w:szCs w:val="20"/>
                <w:color w:val="auto"/>
              </w:rPr>
            </w:pPr>
            <w:r>
              <w:rPr>
                <w:rFonts w:ascii="Arial" w:cs="Arial" w:eastAsia="Arial" w:hAnsi="Arial"/>
                <w:sz w:val="18"/>
                <w:szCs w:val="18"/>
                <w:b w:val="1"/>
                <w:bCs w:val="1"/>
                <w:i w:val="1"/>
                <w:iCs w:val="1"/>
                <w:color w:val="auto"/>
              </w:rPr>
              <w:t xml:space="preserve">• August 2016 – October 2016: </w:t>
            </w:r>
            <w:r>
              <w:rPr>
                <w:rFonts w:ascii="Arial" w:cs="Arial" w:eastAsia="Arial" w:hAnsi="Arial"/>
                <w:sz w:val="18"/>
                <w:szCs w:val="18"/>
                <w:color w:val="auto"/>
              </w:rPr>
              <w:t>Members of our management team and our Lead Independent Director</w:t>
            </w:r>
          </w:p>
        </w:tc>
      </w:tr>
      <w:tr>
        <w:trPr>
          <w:trHeight w:val="203"/>
        </w:trPr>
        <w:tc>
          <w:tcPr>
            <w:tcW w:w="24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Planning Timeline</w:t>
            </w:r>
          </w:p>
        </w:tc>
        <w:tc>
          <w:tcPr>
            <w:tcW w:w="8960" w:type="dxa"/>
            <w:vAlign w:val="bottom"/>
          </w:tcPr>
          <w:p>
            <w:pPr>
              <w:ind w:left="140"/>
              <w:spacing w:after="0" w:line="202" w:lineRule="exact"/>
              <w:rPr>
                <w:sz w:val="20"/>
                <w:szCs w:val="20"/>
                <w:color w:val="auto"/>
              </w:rPr>
            </w:pPr>
            <w:r>
              <w:rPr>
                <w:rFonts w:ascii="Arial" w:cs="Arial" w:eastAsia="Arial" w:hAnsi="Arial"/>
                <w:sz w:val="18"/>
                <w:szCs w:val="18"/>
                <w:color w:val="auto"/>
              </w:rPr>
              <w:t>engaged directly with our stockholders to discuss our compensation programs and governance practices.</w:t>
            </w:r>
          </w:p>
        </w:tc>
      </w:tr>
      <w:tr>
        <w:trPr>
          <w:trHeight w:val="225"/>
        </w:trPr>
        <w:tc>
          <w:tcPr>
            <w:tcW w:w="2400" w:type="dxa"/>
            <w:vAlign w:val="bottom"/>
          </w:tcPr>
          <w:p>
            <w:pPr>
              <w:spacing w:after="0"/>
              <w:rPr>
                <w:sz w:val="19"/>
                <w:szCs w:val="19"/>
                <w:color w:val="auto"/>
              </w:rPr>
            </w:pPr>
          </w:p>
        </w:tc>
        <w:tc>
          <w:tcPr>
            <w:tcW w:w="8960" w:type="dxa"/>
            <w:vAlign w:val="bottom"/>
          </w:tcPr>
          <w:p>
            <w:pPr>
              <w:ind w:left="300"/>
              <w:spacing w:after="0"/>
              <w:rPr>
                <w:sz w:val="20"/>
                <w:szCs w:val="20"/>
                <w:color w:val="auto"/>
              </w:rPr>
            </w:pPr>
            <w:r>
              <w:rPr>
                <w:rFonts w:ascii="Arial" w:cs="Arial" w:eastAsia="Arial" w:hAnsi="Arial"/>
                <w:sz w:val="18"/>
                <w:szCs w:val="18"/>
                <w:b w:val="1"/>
                <w:bCs w:val="1"/>
                <w:i w:val="1"/>
                <w:iCs w:val="1"/>
                <w:color w:val="auto"/>
              </w:rPr>
              <w:t xml:space="preserve">• October 2016 – January 2017: </w:t>
            </w:r>
            <w:r>
              <w:rPr>
                <w:rFonts w:ascii="Arial" w:cs="Arial" w:eastAsia="Arial" w:hAnsi="Arial"/>
                <w:sz w:val="18"/>
                <w:szCs w:val="18"/>
                <w:color w:val="auto"/>
              </w:rPr>
              <w:t>Stockholder feedback was reported at meetings of the committee; 2017</w:t>
            </w:r>
          </w:p>
        </w:tc>
      </w:tr>
      <w:tr>
        <w:trPr>
          <w:trHeight w:val="203"/>
        </w:trPr>
        <w:tc>
          <w:tcPr>
            <w:tcW w:w="2400" w:type="dxa"/>
            <w:vAlign w:val="bottom"/>
          </w:tcPr>
          <w:p>
            <w:pPr>
              <w:spacing w:after="0"/>
              <w:rPr>
                <w:sz w:val="17"/>
                <w:szCs w:val="17"/>
                <w:color w:val="auto"/>
              </w:rPr>
            </w:pPr>
          </w:p>
        </w:tc>
        <w:tc>
          <w:tcPr>
            <w:tcW w:w="8960" w:type="dxa"/>
            <w:vAlign w:val="bottom"/>
          </w:tcPr>
          <w:p>
            <w:pPr>
              <w:ind w:left="140"/>
              <w:spacing w:after="0" w:line="202" w:lineRule="exact"/>
              <w:rPr>
                <w:sz w:val="20"/>
                <w:szCs w:val="20"/>
                <w:color w:val="auto"/>
              </w:rPr>
            </w:pPr>
            <w:r>
              <w:rPr>
                <w:rFonts w:ascii="Arial" w:cs="Arial" w:eastAsia="Arial" w:hAnsi="Arial"/>
                <w:sz w:val="18"/>
                <w:szCs w:val="18"/>
                <w:color w:val="auto"/>
              </w:rPr>
              <w:t>plan design alternatives and considerations were discussed and refined; 2016 performance results were</w:t>
            </w:r>
          </w:p>
        </w:tc>
      </w:tr>
      <w:tr>
        <w:trPr>
          <w:trHeight w:val="181"/>
        </w:trPr>
        <w:tc>
          <w:tcPr>
            <w:tcW w:w="2400" w:type="dxa"/>
            <w:vAlign w:val="bottom"/>
          </w:tcPr>
          <w:p>
            <w:pPr>
              <w:spacing w:after="0"/>
              <w:rPr>
                <w:sz w:val="15"/>
                <w:szCs w:val="15"/>
                <w:color w:val="auto"/>
              </w:rPr>
            </w:pPr>
          </w:p>
        </w:tc>
        <w:tc>
          <w:tcPr>
            <w:tcW w:w="8960" w:type="dxa"/>
            <w:vAlign w:val="bottom"/>
          </w:tcPr>
          <w:p>
            <w:pPr>
              <w:ind w:left="140"/>
              <w:spacing w:after="0" w:line="181" w:lineRule="exact"/>
              <w:rPr>
                <w:sz w:val="20"/>
                <w:szCs w:val="20"/>
                <w:color w:val="auto"/>
              </w:rPr>
            </w:pPr>
            <w:r>
              <w:rPr>
                <w:rFonts w:ascii="Arial" w:cs="Arial" w:eastAsia="Arial" w:hAnsi="Arial"/>
                <w:sz w:val="18"/>
                <w:szCs w:val="18"/>
                <w:color w:val="auto"/>
              </w:rPr>
              <w:t>monitored.</w:t>
            </w:r>
          </w:p>
        </w:tc>
      </w:tr>
      <w:tr>
        <w:trPr>
          <w:trHeight w:val="225"/>
        </w:trPr>
        <w:tc>
          <w:tcPr>
            <w:tcW w:w="2400" w:type="dxa"/>
            <w:vAlign w:val="bottom"/>
          </w:tcPr>
          <w:p>
            <w:pPr>
              <w:spacing w:after="0"/>
              <w:rPr>
                <w:sz w:val="19"/>
                <w:szCs w:val="19"/>
                <w:color w:val="auto"/>
              </w:rPr>
            </w:pPr>
          </w:p>
        </w:tc>
        <w:tc>
          <w:tcPr>
            <w:tcW w:w="8960" w:type="dxa"/>
            <w:vAlign w:val="bottom"/>
          </w:tcPr>
          <w:p>
            <w:pPr>
              <w:ind w:left="300"/>
              <w:spacing w:after="0"/>
              <w:rPr>
                <w:sz w:val="20"/>
                <w:szCs w:val="20"/>
                <w:color w:val="auto"/>
              </w:rPr>
            </w:pPr>
            <w:r>
              <w:rPr>
                <w:rFonts w:ascii="Arial" w:cs="Arial" w:eastAsia="Arial" w:hAnsi="Arial"/>
                <w:sz w:val="18"/>
                <w:szCs w:val="18"/>
                <w:b w:val="1"/>
                <w:bCs w:val="1"/>
                <w:i w:val="1"/>
                <w:iCs w:val="1"/>
                <w:color w:val="auto"/>
              </w:rPr>
              <w:t xml:space="preserve">• February 2017: </w:t>
            </w:r>
            <w:r>
              <w:rPr>
                <w:rFonts w:ascii="Arial" w:cs="Arial" w:eastAsia="Arial" w:hAnsi="Arial"/>
                <w:sz w:val="18"/>
                <w:szCs w:val="18"/>
                <w:color w:val="auto"/>
              </w:rPr>
              <w:t>The 2017 compensation plan design and performance goals were approved in</w:t>
            </w:r>
          </w:p>
        </w:tc>
      </w:tr>
      <w:tr>
        <w:trPr>
          <w:trHeight w:val="224"/>
        </w:trPr>
        <w:tc>
          <w:tcPr>
            <w:tcW w:w="2400" w:type="dxa"/>
            <w:vAlign w:val="bottom"/>
            <w:tcBorders>
              <w:bottom w:val="single" w:sz="8" w:color="auto"/>
            </w:tcBorders>
          </w:tcPr>
          <w:p>
            <w:pPr>
              <w:spacing w:after="0"/>
              <w:rPr>
                <w:sz w:val="19"/>
                <w:szCs w:val="19"/>
                <w:color w:val="auto"/>
              </w:rPr>
            </w:pPr>
          </w:p>
        </w:tc>
        <w:tc>
          <w:tcPr>
            <w:tcW w:w="89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February 2017.</w:t>
            </w: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C2C2C"/>
        </w:rPr>
        <w:t xml:space="preserve">28 </w:t>
      </w:r>
      <w:r>
        <w:rPr>
          <w:sz w:val="1"/>
          <w:szCs w:val="1"/>
          <w:color w:val="auto"/>
        </w:rPr>
        <w:drawing>
          <wp:inline distT="0" distB="0" distL="0" distR="0">
            <wp:extent cx="445770" cy="18034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45770" cy="180340"/>
                    </a:xfrm>
                    <a:prstGeom prst="rect">
                      <a:avLst/>
                    </a:prstGeom>
                    <a:noFill/>
                    <a:ln>
                      <a:noFill/>
                    </a:ln>
                  </pic:spPr>
                </pic:pic>
              </a:graphicData>
            </a:graphic>
          </wp:inline>
        </w:drawing>
      </w:r>
      <w:r>
        <w:rPr>
          <w:rFonts w:ascii="Arial" w:cs="Arial" w:eastAsia="Arial" w:hAnsi="Arial"/>
          <w:sz w:val="18"/>
          <w:szCs w:val="18"/>
          <w:color w:val="auto"/>
        </w:rPr>
        <w:t xml:space="preserve"> 2018 PROXY STATEMENT</w:t>
      </w:r>
    </w:p>
    <w:p>
      <w:pPr>
        <w:sectPr>
          <w:pgSz w:w="11900" w:h="16838" w:orient="portrait"/>
          <w:cols w:equalWidth="0" w:num="1">
            <w:col w:w="11440"/>
          </w:cols>
          <w:pgMar w:left="240" w:top="125" w:right="219" w:bottom="1440" w:gutter="0" w:footer="0" w:header="0"/>
        </w:sectPr>
      </w:pPr>
    </w:p>
    <w:bookmarkStart w:id="37" w:name="page38"/>
    <w:bookmarkEnd w:id="37"/>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960"/>
        <w:spacing w:after="0"/>
        <w:rPr>
          <w:sz w:val="20"/>
          <w:szCs w:val="20"/>
          <w:color w:val="auto"/>
        </w:rPr>
      </w:pPr>
      <w:r>
        <w:rPr>
          <w:rFonts w:ascii="Arial" w:cs="Arial" w:eastAsia="Arial" w:hAnsi="Arial"/>
          <w:sz w:val="14"/>
          <w:szCs w:val="14"/>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631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FFFFFF"/>
        </w:rPr>
        <w:t>How Our Compensation Committee Sets Annual and Long-Term Incentive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75" w:lineRule="exact"/>
        <w:rPr>
          <w:sz w:val="20"/>
          <w:szCs w:val="20"/>
          <w:color w:val="auto"/>
        </w:rPr>
      </w:pPr>
    </w:p>
    <w:p>
      <w:pPr>
        <w:ind w:left="40" w:right="460"/>
        <w:spacing w:after="0" w:line="302" w:lineRule="auto"/>
        <w:rPr>
          <w:sz w:val="20"/>
          <w:szCs w:val="20"/>
          <w:color w:val="auto"/>
        </w:rPr>
      </w:pPr>
      <w:r>
        <w:rPr>
          <w:rFonts w:ascii="Arial" w:cs="Arial" w:eastAsia="Arial" w:hAnsi="Arial"/>
          <w:sz w:val="17"/>
          <w:szCs w:val="17"/>
          <w:b w:val="1"/>
          <w:bCs w:val="1"/>
          <w:color w:val="auto"/>
        </w:rPr>
        <w:t>Determining Financial Goals</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Our Compensation Committee strives to set financial performance goals that are rigorous enough to</w:t>
      </w:r>
    </w:p>
    <w:p>
      <w:pPr>
        <w:spacing w:after="0" w:line="234" w:lineRule="auto"/>
        <w:rPr>
          <w:sz w:val="20"/>
          <w:szCs w:val="20"/>
          <w:color w:val="auto"/>
        </w:rPr>
      </w:pPr>
      <w:r>
        <w:rPr>
          <w:rFonts w:ascii="Arial" w:cs="Arial" w:eastAsia="Arial" w:hAnsi="Arial"/>
          <w:sz w:val="18"/>
          <w:szCs w:val="18"/>
          <w:color w:val="auto"/>
        </w:rPr>
        <w:t>motivate our executives and our businesses to achieve meaningful increases over prior year results, but within</w:t>
      </w:r>
    </w:p>
    <w:p>
      <w:pPr>
        <w:spacing w:after="0" w:line="235" w:lineRule="auto"/>
        <w:rPr>
          <w:sz w:val="20"/>
          <w:szCs w:val="20"/>
          <w:color w:val="auto"/>
        </w:rPr>
      </w:pPr>
      <w:r>
        <w:rPr>
          <w:rFonts w:ascii="Arial" w:cs="Arial" w:eastAsia="Arial" w:hAnsi="Arial"/>
          <w:sz w:val="18"/>
          <w:szCs w:val="18"/>
          <w:color w:val="auto"/>
        </w:rPr>
        <w:t>reasonably obtainable parameters to discourage pursuit of excessively risky business strategies.</w:t>
      </w:r>
    </w:p>
    <w:p>
      <w:pPr>
        <w:ind w:left="160"/>
        <w:spacing w:after="0" w:line="235" w:lineRule="auto"/>
        <w:rPr>
          <w:sz w:val="20"/>
          <w:szCs w:val="20"/>
          <w:color w:val="auto"/>
        </w:rPr>
      </w:pPr>
      <w:r>
        <w:rPr>
          <w:rFonts w:ascii="Arial" w:cs="Arial" w:eastAsia="Arial" w:hAnsi="Arial"/>
          <w:sz w:val="18"/>
          <w:szCs w:val="18"/>
          <w:color w:val="auto"/>
        </w:rPr>
        <w:t>• For our annual incentive plan, the committee set financial performance goals as follows:</w:t>
      </w:r>
    </w:p>
    <w:p>
      <w:pPr>
        <w:ind w:left="580"/>
        <w:spacing w:after="0" w:line="235"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Operating Income (55%):</w:t>
      </w:r>
      <w:r>
        <w:rPr>
          <w:rFonts w:ascii="Arial" w:cs="Arial" w:eastAsia="Arial" w:hAnsi="Arial"/>
          <w:sz w:val="18"/>
          <w:szCs w:val="18"/>
          <w:color w:val="auto"/>
        </w:rPr>
        <w:t xml:space="preserve"> The committee set a target goal representing a 7.1% year-over-year</w:t>
      </w:r>
    </w:p>
    <w:p>
      <w:pPr>
        <w:spacing w:after="0" w:line="235" w:lineRule="auto"/>
        <w:rPr>
          <w:sz w:val="20"/>
          <w:szCs w:val="20"/>
          <w:color w:val="auto"/>
        </w:rPr>
      </w:pPr>
      <w:r>
        <w:rPr>
          <w:rFonts w:ascii="Arial" w:cs="Arial" w:eastAsia="Arial" w:hAnsi="Arial"/>
          <w:sz w:val="18"/>
          <w:szCs w:val="18"/>
          <w:color w:val="auto"/>
        </w:rPr>
        <w:t>increase following a bottoms-up operations and management review.</w:t>
      </w:r>
    </w:p>
    <w:p>
      <w:pPr>
        <w:ind w:left="580"/>
        <w:spacing w:after="0" w:line="235"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Free Cash Flow (25%):</w:t>
      </w:r>
      <w:r>
        <w:rPr>
          <w:rFonts w:ascii="Arial" w:cs="Arial" w:eastAsia="Arial" w:hAnsi="Arial"/>
          <w:sz w:val="18"/>
          <w:szCs w:val="18"/>
          <w:color w:val="auto"/>
        </w:rPr>
        <w:t xml:space="preserve"> The committee set the target goal based on the Company's 2017 free cash</w:t>
      </w:r>
    </w:p>
    <w:p>
      <w:pPr>
        <w:spacing w:after="0" w:line="235" w:lineRule="auto"/>
        <w:rPr>
          <w:sz w:val="20"/>
          <w:szCs w:val="20"/>
          <w:color w:val="auto"/>
        </w:rPr>
      </w:pPr>
      <w:r>
        <w:rPr>
          <w:rFonts w:ascii="Arial" w:cs="Arial" w:eastAsia="Arial" w:hAnsi="Arial"/>
          <w:sz w:val="18"/>
          <w:szCs w:val="18"/>
          <w:color w:val="auto"/>
        </w:rPr>
        <w:t>flow forecast.</w:t>
      </w:r>
    </w:p>
    <w:p>
      <w:pPr>
        <w:ind w:left="160"/>
        <w:spacing w:after="0" w:line="235" w:lineRule="auto"/>
        <w:rPr>
          <w:sz w:val="20"/>
          <w:szCs w:val="20"/>
          <w:color w:val="auto"/>
        </w:rPr>
      </w:pP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set our 2017 long-term incentive plan financial performance goals as follows:</w:t>
      </w:r>
    </w:p>
    <w:p>
      <w:pPr>
        <w:ind w:left="580"/>
        <w:spacing w:after="0" w:line="235"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3-Year Cumulative Earnings Per Share (50%):</w:t>
      </w:r>
      <w:r>
        <w:rPr>
          <w:rFonts w:ascii="Arial" w:cs="Arial" w:eastAsia="Arial" w:hAnsi="Arial"/>
          <w:sz w:val="18"/>
          <w:szCs w:val="18"/>
          <w:color w:val="auto"/>
        </w:rPr>
        <w:t xml:space="preserve"> The target goal was set to align with the Company's</w:t>
      </w:r>
    </w:p>
    <w:p>
      <w:pPr>
        <w:spacing w:after="0" w:line="234" w:lineRule="auto"/>
        <w:rPr>
          <w:sz w:val="20"/>
          <w:szCs w:val="20"/>
          <w:color w:val="auto"/>
        </w:rPr>
      </w:pPr>
      <w:r>
        <w:rPr>
          <w:rFonts w:ascii="Arial" w:cs="Arial" w:eastAsia="Arial" w:hAnsi="Arial"/>
          <w:sz w:val="18"/>
          <w:szCs w:val="18"/>
          <w:color w:val="auto"/>
        </w:rPr>
        <w:t>strategic plan and to drive towards mid to high range of external analyst guidance.</w:t>
      </w:r>
    </w:p>
    <w:p>
      <w:pPr>
        <w:ind w:left="580"/>
        <w:spacing w:after="0" w:line="235"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Return on Invested Capital (50%):</w:t>
      </w:r>
      <w:r>
        <w:rPr>
          <w:rFonts w:ascii="Arial" w:cs="Arial" w:eastAsia="Arial" w:hAnsi="Arial"/>
          <w:sz w:val="18"/>
          <w:szCs w:val="18"/>
          <w:color w:val="auto"/>
        </w:rPr>
        <w:t xml:space="preserve"> The target goal was established to be higher than the average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return on invested capital of our compensation peer group and historical internal target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-1607185</wp:posOffset>
            </wp:positionH>
            <wp:positionV relativeFrom="paragraph">
              <wp:posOffset>177800</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20" w:space="720"/>
            <w:col w:w="8880"/>
          </w:cols>
          <w:pgMar w:left="240" w:top="125" w:right="239" w:bottom="1440" w:gutter="0" w:footer="0" w:header="0"/>
          <w:type w:val="continuous"/>
        </w:sectPr>
      </w:pPr>
    </w:p>
    <w:p>
      <w:pPr>
        <w:spacing w:after="0" w:line="98" w:lineRule="exact"/>
        <w:rPr>
          <w:sz w:val="20"/>
          <w:szCs w:val="20"/>
          <w:color w:val="auto"/>
        </w:rPr>
      </w:pPr>
    </w:p>
    <w:p>
      <w:pPr>
        <w:ind w:left="2540" w:right="80" w:hanging="2511"/>
        <w:spacing w:after="0" w:line="234" w:lineRule="auto"/>
        <w:tabs>
          <w:tab w:leader="none" w:pos="2520" w:val="left"/>
        </w:tabs>
        <w:rPr>
          <w:sz w:val="20"/>
          <w:szCs w:val="20"/>
          <w:color w:val="auto"/>
        </w:rPr>
      </w:pPr>
      <w:r>
        <w:rPr>
          <w:rFonts w:ascii="Arial" w:cs="Arial" w:eastAsia="Arial" w:hAnsi="Arial"/>
          <w:sz w:val="18"/>
          <w:szCs w:val="18"/>
          <w:b w:val="1"/>
          <w:bCs w:val="1"/>
          <w:color w:val="auto"/>
        </w:rPr>
        <w:t>Determining Safety Goals</w:t>
      </w:r>
      <w:r>
        <w:rPr>
          <w:sz w:val="20"/>
          <w:szCs w:val="20"/>
          <w:color w:val="auto"/>
        </w:rPr>
        <w:tab/>
      </w:r>
      <w:r>
        <w:rPr>
          <w:rFonts w:ascii="Arial" w:cs="Arial" w:eastAsia="Arial" w:hAnsi="Arial"/>
          <w:sz w:val="18"/>
          <w:szCs w:val="18"/>
          <w:color w:val="auto"/>
        </w:rPr>
        <w:t>• To promote rigor and continuous improvement in our safety goals, our committee set our primary safety goals, Total Recordable Incident Rate ("TRIR") and Days Away, Restricted or Transferred ("DART") to achieve a 5% improvement on the average of prior three years' results, while still incentivizing continuous improvement by capping safety performance payout at 1X if performance does not meet or exceed prior year's results.</w:t>
      </w:r>
    </w:p>
    <w:p>
      <w:pPr>
        <w:spacing w:after="0" w:line="25" w:lineRule="exact"/>
        <w:rPr>
          <w:sz w:val="20"/>
          <w:szCs w:val="20"/>
          <w:color w:val="auto"/>
        </w:rPr>
      </w:pPr>
    </w:p>
    <w:p>
      <w:pPr>
        <w:ind w:left="2540" w:right="700" w:firstLine="169"/>
        <w:spacing w:after="0" w:line="246" w:lineRule="auto"/>
        <w:tabs>
          <w:tab w:leader="none" w:pos="2864" w:val="left"/>
        </w:tabs>
        <w:numPr>
          <w:ilvl w:val="0"/>
          <w:numId w:val="80"/>
        </w:numPr>
        <w:rPr>
          <w:rFonts w:ascii="Arial" w:cs="Arial" w:eastAsia="Arial" w:hAnsi="Arial"/>
          <w:sz w:val="18"/>
          <w:szCs w:val="18"/>
          <w:color w:val="auto"/>
        </w:rPr>
      </w:pPr>
      <w:r>
        <w:rPr>
          <w:rFonts w:ascii="Arial" w:cs="Arial" w:eastAsia="Arial" w:hAnsi="Arial"/>
          <w:sz w:val="18"/>
          <w:szCs w:val="18"/>
          <w:color w:val="auto"/>
        </w:rPr>
        <w:t>For our third safety goal, EHS Business Plans ("EHS BP"), our committee established only a target performance goal, so that any result below target goal results in zero payout for EHS BP.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Resources and Advisers to Our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tcPr>
          <w:p>
            <w:pPr>
              <w:ind w:left="40"/>
              <w:spacing w:after="0"/>
              <w:rPr>
                <w:sz w:val="20"/>
                <w:szCs w:val="20"/>
                <w:color w:val="auto"/>
              </w:rPr>
            </w:pPr>
            <w:r>
              <w:rPr>
                <w:rFonts w:ascii="Arial" w:cs="Arial" w:eastAsia="Arial" w:hAnsi="Arial"/>
                <w:sz w:val="18"/>
                <w:szCs w:val="18"/>
                <w:b w:val="1"/>
                <w:bCs w:val="1"/>
                <w:color w:val="auto"/>
              </w:rPr>
              <w:t>Independent</w:t>
            </w:r>
          </w:p>
        </w:tc>
        <w:tc>
          <w:tcPr>
            <w:tcW w:w="520" w:type="dxa"/>
            <w:vAlign w:val="bottom"/>
          </w:tcPr>
          <w:p>
            <w:pPr>
              <w:ind w:left="400"/>
              <w:spacing w:after="0"/>
              <w:rPr>
                <w:sz w:val="20"/>
                <w:szCs w:val="20"/>
                <w:color w:val="auto"/>
              </w:rPr>
            </w:pPr>
            <w:r>
              <w:rPr>
                <w:rFonts w:ascii="Arial" w:cs="Arial" w:eastAsia="Arial" w:hAnsi="Arial"/>
                <w:sz w:val="18"/>
                <w:szCs w:val="18"/>
                <w:color w:val="auto"/>
              </w:rPr>
              <w:t>•</w:t>
            </w:r>
          </w:p>
        </w:tc>
        <w:tc>
          <w:tcPr>
            <w:tcW w:w="8600" w:type="dxa"/>
            <w:vAlign w:val="bottom"/>
          </w:tcPr>
          <w:p>
            <w:pPr>
              <w:ind w:left="60"/>
              <w:spacing w:after="0"/>
              <w:rPr>
                <w:sz w:val="20"/>
                <w:szCs w:val="20"/>
                <w:color w:val="auto"/>
              </w:rPr>
            </w:pPr>
            <w:r>
              <w:rPr>
                <w:rFonts w:ascii="Arial" w:cs="Arial" w:eastAsia="Arial" w:hAnsi="Arial"/>
                <w:sz w:val="18"/>
                <w:szCs w:val="18"/>
                <w:color w:val="auto"/>
              </w:rPr>
              <w:t>Provides the Compensation Committee with information and advice on the design, structure and level of</w:t>
            </w:r>
          </w:p>
        </w:tc>
      </w:tr>
      <w:tr>
        <w:trPr>
          <w:trHeight w:val="203"/>
        </w:trPr>
        <w:tc>
          <w:tcPr>
            <w:tcW w:w="230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Outside Consultant</w:t>
            </w:r>
          </w:p>
        </w:tc>
        <w:tc>
          <w:tcPr>
            <w:tcW w:w="91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executive and director compensation.</w:t>
            </w:r>
          </w:p>
        </w:tc>
      </w:tr>
      <w:tr>
        <w:trPr>
          <w:trHeight w:val="225"/>
        </w:trPr>
        <w:tc>
          <w:tcPr>
            <w:tcW w:w="2300" w:type="dxa"/>
            <w:vAlign w:val="bottom"/>
          </w:tcPr>
          <w:p>
            <w:pPr>
              <w:ind w:left="40"/>
              <w:spacing w:after="0"/>
              <w:rPr>
                <w:sz w:val="20"/>
                <w:szCs w:val="20"/>
                <w:color w:val="auto"/>
              </w:rPr>
            </w:pPr>
            <w:r>
              <w:rPr>
                <w:rFonts w:ascii="Arial" w:cs="Arial" w:eastAsia="Arial" w:hAnsi="Arial"/>
                <w:sz w:val="18"/>
                <w:szCs w:val="18"/>
                <w:b w:val="1"/>
                <w:bCs w:val="1"/>
                <w:color w:val="auto"/>
              </w:rPr>
              <w:t>(Korn Ferry Hay Group)</w:t>
            </w:r>
          </w:p>
        </w:tc>
        <w:tc>
          <w:tcPr>
            <w:tcW w:w="520" w:type="dxa"/>
            <w:vAlign w:val="bottom"/>
          </w:tcPr>
          <w:p>
            <w:pPr>
              <w:ind w:left="400"/>
              <w:spacing w:after="0"/>
              <w:rPr>
                <w:sz w:val="20"/>
                <w:szCs w:val="20"/>
                <w:color w:val="auto"/>
              </w:rPr>
            </w:pPr>
            <w:r>
              <w:rPr>
                <w:rFonts w:ascii="Arial" w:cs="Arial" w:eastAsia="Arial" w:hAnsi="Arial"/>
                <w:sz w:val="18"/>
                <w:szCs w:val="18"/>
                <w:color w:val="auto"/>
              </w:rPr>
              <w:t>•</w:t>
            </w:r>
          </w:p>
        </w:tc>
        <w:tc>
          <w:tcPr>
            <w:tcW w:w="8600" w:type="dxa"/>
            <w:vAlign w:val="bottom"/>
          </w:tcPr>
          <w:p>
            <w:pPr>
              <w:ind w:left="60"/>
              <w:spacing w:after="0"/>
              <w:rPr>
                <w:sz w:val="20"/>
                <w:szCs w:val="20"/>
                <w:color w:val="auto"/>
              </w:rPr>
            </w:pPr>
            <w:r>
              <w:rPr>
                <w:rFonts w:ascii="Arial" w:cs="Arial" w:eastAsia="Arial" w:hAnsi="Arial"/>
                <w:sz w:val="18"/>
                <w:szCs w:val="18"/>
                <w:color w:val="auto"/>
              </w:rPr>
              <w:t>Attends Compensation Committee meetings, including executive sessions.</w:t>
            </w:r>
          </w:p>
        </w:tc>
      </w:tr>
      <w:tr>
        <w:trPr>
          <w:trHeight w:val="203"/>
        </w:trPr>
        <w:tc>
          <w:tcPr>
            <w:tcW w:w="2300" w:type="dxa"/>
            <w:vAlign w:val="bottom"/>
          </w:tcPr>
          <w:p>
            <w:pPr>
              <w:spacing w:after="0"/>
              <w:rPr>
                <w:sz w:val="17"/>
                <w:szCs w:val="17"/>
                <w:color w:val="auto"/>
              </w:rPr>
            </w:pPr>
          </w:p>
        </w:tc>
        <w:tc>
          <w:tcPr>
            <w:tcW w:w="912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 Engaged and directed by the Compensation Committee.</w:t>
            </w:r>
          </w:p>
        </w:tc>
      </w:tr>
      <w:tr>
        <w:trPr>
          <w:trHeight w:val="203"/>
        </w:trPr>
        <w:tc>
          <w:tcPr>
            <w:tcW w:w="2300" w:type="dxa"/>
            <w:vAlign w:val="bottom"/>
          </w:tcPr>
          <w:p>
            <w:pPr>
              <w:spacing w:after="0"/>
              <w:rPr>
                <w:sz w:val="17"/>
                <w:szCs w:val="17"/>
                <w:color w:val="auto"/>
              </w:rPr>
            </w:pPr>
          </w:p>
        </w:tc>
        <w:tc>
          <w:tcPr>
            <w:tcW w:w="520" w:type="dxa"/>
            <w:vAlign w:val="bottom"/>
          </w:tcPr>
          <w:p>
            <w:pPr>
              <w:ind w:left="400"/>
              <w:spacing w:after="0" w:line="202" w:lineRule="exact"/>
              <w:rPr>
                <w:sz w:val="20"/>
                <w:szCs w:val="20"/>
                <w:color w:val="auto"/>
              </w:rPr>
            </w:pPr>
            <w:r>
              <w:rPr>
                <w:rFonts w:ascii="Arial" w:cs="Arial" w:eastAsia="Arial" w:hAnsi="Arial"/>
                <w:sz w:val="18"/>
                <w:szCs w:val="18"/>
                <w:color w:val="auto"/>
              </w:rPr>
              <w:t>•</w:t>
            </w:r>
          </w:p>
        </w:tc>
        <w:tc>
          <w:tcPr>
            <w:tcW w:w="8600" w:type="dxa"/>
            <w:vAlign w:val="bottom"/>
          </w:tcPr>
          <w:p>
            <w:pPr>
              <w:ind w:left="60"/>
              <w:spacing w:after="0" w:line="202" w:lineRule="exact"/>
              <w:rPr>
                <w:sz w:val="20"/>
                <w:szCs w:val="20"/>
                <w:color w:val="auto"/>
              </w:rPr>
            </w:pPr>
            <w:r>
              <w:rPr>
                <w:rFonts w:ascii="Arial" w:cs="Arial" w:eastAsia="Arial" w:hAnsi="Arial"/>
                <w:sz w:val="18"/>
                <w:szCs w:val="18"/>
                <w:color w:val="auto"/>
              </w:rPr>
              <w:t>Works directly with our Compensation Committee on executive compensation, including our Executive</w:t>
            </w:r>
          </w:p>
        </w:tc>
      </w:tr>
      <w:tr>
        <w:trPr>
          <w:trHeight w:val="224"/>
        </w:trPr>
        <w:tc>
          <w:tcPr>
            <w:tcW w:w="2300" w:type="dxa"/>
            <w:vAlign w:val="bottom"/>
            <w:tcBorders>
              <w:bottom w:val="single" w:sz="8" w:color="auto"/>
            </w:tcBorders>
          </w:tcPr>
          <w:p>
            <w:pPr>
              <w:spacing w:after="0"/>
              <w:rPr>
                <w:sz w:val="19"/>
                <w:szCs w:val="19"/>
                <w:color w:val="auto"/>
              </w:rPr>
            </w:pPr>
          </w:p>
        </w:tc>
        <w:tc>
          <w:tcPr>
            <w:tcW w:w="91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Chairman’s and Chief Executive Officer’s compensation.</w:t>
            </w:r>
          </w:p>
        </w:tc>
      </w:tr>
      <w:tr>
        <w:trPr>
          <w:trHeight w:val="229"/>
        </w:trPr>
        <w:tc>
          <w:tcPr>
            <w:tcW w:w="2300" w:type="dxa"/>
            <w:vAlign w:val="bottom"/>
          </w:tcPr>
          <w:p>
            <w:pPr>
              <w:ind w:left="40"/>
              <w:spacing w:after="0"/>
              <w:rPr>
                <w:sz w:val="20"/>
                <w:szCs w:val="20"/>
                <w:color w:val="auto"/>
              </w:rPr>
            </w:pPr>
            <w:r>
              <w:rPr>
                <w:rFonts w:ascii="Arial" w:cs="Arial" w:eastAsia="Arial" w:hAnsi="Arial"/>
                <w:sz w:val="18"/>
                <w:szCs w:val="18"/>
                <w:b w:val="1"/>
                <w:bCs w:val="1"/>
                <w:color w:val="auto"/>
              </w:rPr>
              <w:t>Management</w:t>
            </w:r>
          </w:p>
        </w:tc>
        <w:tc>
          <w:tcPr>
            <w:tcW w:w="9120" w:type="dxa"/>
            <w:vAlign w:val="bottom"/>
            <w:gridSpan w:val="2"/>
          </w:tcPr>
          <w:p>
            <w:pPr>
              <w:ind w:left="400"/>
              <w:spacing w:after="0"/>
              <w:rPr>
                <w:sz w:val="20"/>
                <w:szCs w:val="20"/>
                <w:color w:val="auto"/>
              </w:rPr>
            </w:pPr>
            <w:r>
              <w:rPr>
                <w:rFonts w:ascii="Arial" w:cs="Arial" w:eastAsia="Arial" w:hAnsi="Arial"/>
                <w:sz w:val="18"/>
                <w:szCs w:val="18"/>
                <w:color w:val="auto"/>
              </w:rPr>
              <w:t>• Our Human Resources department, in consultation with the Compensation Committee chair and Hay</w:t>
            </w:r>
          </w:p>
        </w:tc>
      </w:tr>
      <w:tr>
        <w:trPr>
          <w:trHeight w:val="203"/>
        </w:trPr>
        <w:tc>
          <w:tcPr>
            <w:tcW w:w="2300" w:type="dxa"/>
            <w:vAlign w:val="bottom"/>
          </w:tcPr>
          <w:p>
            <w:pPr>
              <w:spacing w:after="0"/>
              <w:rPr>
                <w:sz w:val="17"/>
                <w:szCs w:val="17"/>
                <w:color w:val="auto"/>
              </w:rPr>
            </w:pPr>
          </w:p>
        </w:tc>
        <w:tc>
          <w:tcPr>
            <w:tcW w:w="91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Group, prepares information for the Compensation Committee, including market data provided by Hay Group</w:t>
            </w:r>
          </w:p>
        </w:tc>
      </w:tr>
      <w:tr>
        <w:trPr>
          <w:trHeight w:val="203"/>
        </w:trPr>
        <w:tc>
          <w:tcPr>
            <w:tcW w:w="2300" w:type="dxa"/>
            <w:vAlign w:val="bottom"/>
          </w:tcPr>
          <w:p>
            <w:pPr>
              <w:spacing w:after="0"/>
              <w:rPr>
                <w:sz w:val="17"/>
                <w:szCs w:val="17"/>
                <w:color w:val="auto"/>
              </w:rPr>
            </w:pPr>
          </w:p>
        </w:tc>
        <w:tc>
          <w:tcPr>
            <w:tcW w:w="91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and recommendations of our Executive Chairman and Chief Executive Officer regarding compensation of other</w:t>
            </w:r>
          </w:p>
        </w:tc>
      </w:tr>
      <w:tr>
        <w:trPr>
          <w:trHeight w:val="203"/>
        </w:trPr>
        <w:tc>
          <w:tcPr>
            <w:tcW w:w="2300" w:type="dxa"/>
            <w:vAlign w:val="bottom"/>
          </w:tcPr>
          <w:p>
            <w:pPr>
              <w:spacing w:after="0"/>
              <w:rPr>
                <w:sz w:val="17"/>
                <w:szCs w:val="17"/>
                <w:color w:val="auto"/>
              </w:rPr>
            </w:pPr>
          </w:p>
        </w:tc>
        <w:tc>
          <w:tcPr>
            <w:tcW w:w="91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executives.</w:t>
            </w:r>
          </w:p>
        </w:tc>
      </w:tr>
      <w:tr>
        <w:trPr>
          <w:trHeight w:val="203"/>
        </w:trPr>
        <w:tc>
          <w:tcPr>
            <w:tcW w:w="2300" w:type="dxa"/>
            <w:vAlign w:val="bottom"/>
          </w:tcPr>
          <w:p>
            <w:pPr>
              <w:spacing w:after="0"/>
              <w:rPr>
                <w:sz w:val="17"/>
                <w:szCs w:val="17"/>
                <w:color w:val="auto"/>
              </w:rPr>
            </w:pPr>
          </w:p>
        </w:tc>
        <w:tc>
          <w:tcPr>
            <w:tcW w:w="520" w:type="dxa"/>
            <w:vAlign w:val="bottom"/>
          </w:tcPr>
          <w:p>
            <w:pPr>
              <w:ind w:left="400"/>
              <w:spacing w:after="0" w:line="202" w:lineRule="exact"/>
              <w:rPr>
                <w:sz w:val="20"/>
                <w:szCs w:val="20"/>
                <w:color w:val="auto"/>
              </w:rPr>
            </w:pPr>
            <w:r>
              <w:rPr>
                <w:rFonts w:ascii="Arial" w:cs="Arial" w:eastAsia="Arial" w:hAnsi="Arial"/>
                <w:sz w:val="18"/>
                <w:szCs w:val="18"/>
                <w:color w:val="auto"/>
              </w:rPr>
              <w:t>•</w:t>
            </w:r>
          </w:p>
        </w:tc>
        <w:tc>
          <w:tcPr>
            <w:tcW w:w="8600" w:type="dxa"/>
            <w:vAlign w:val="bottom"/>
          </w:tcPr>
          <w:p>
            <w:pPr>
              <w:ind w:left="60"/>
              <w:spacing w:after="0" w:line="202" w:lineRule="exact"/>
              <w:rPr>
                <w:sz w:val="20"/>
                <w:szCs w:val="20"/>
                <w:color w:val="auto"/>
              </w:rPr>
            </w:pPr>
            <w:r>
              <w:rPr>
                <w:rFonts w:ascii="Arial" w:cs="Arial" w:eastAsia="Arial" w:hAnsi="Arial"/>
                <w:sz w:val="18"/>
                <w:szCs w:val="18"/>
                <w:color w:val="auto"/>
              </w:rPr>
              <w:t>Our Executive Chairman, Chief Executive Officer and senior Human Resources personnel attend</w:t>
            </w:r>
          </w:p>
        </w:tc>
      </w:tr>
      <w:tr>
        <w:trPr>
          <w:trHeight w:val="203"/>
        </w:trPr>
        <w:tc>
          <w:tcPr>
            <w:tcW w:w="2300" w:type="dxa"/>
            <w:vAlign w:val="bottom"/>
          </w:tcPr>
          <w:p>
            <w:pPr>
              <w:spacing w:after="0"/>
              <w:rPr>
                <w:sz w:val="17"/>
                <w:szCs w:val="17"/>
                <w:color w:val="auto"/>
              </w:rPr>
            </w:pPr>
          </w:p>
        </w:tc>
        <w:tc>
          <w:tcPr>
            <w:tcW w:w="91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committee meetings and, as requested by the Compensation Committee, participate in deliberations on</w:t>
            </w:r>
          </w:p>
        </w:tc>
      </w:tr>
      <w:tr>
        <w:trPr>
          <w:trHeight w:val="224"/>
        </w:trPr>
        <w:tc>
          <w:tcPr>
            <w:tcW w:w="2300" w:type="dxa"/>
            <w:vAlign w:val="bottom"/>
            <w:tcBorders>
              <w:bottom w:val="single" w:sz="8" w:color="auto"/>
            </w:tcBorders>
          </w:tcPr>
          <w:p>
            <w:pPr>
              <w:spacing w:after="0"/>
              <w:rPr>
                <w:sz w:val="19"/>
                <w:szCs w:val="19"/>
                <w:color w:val="auto"/>
              </w:rPr>
            </w:pPr>
          </w:p>
        </w:tc>
        <w:tc>
          <w:tcPr>
            <w:tcW w:w="91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executive compensation (except in respect to their own compensation) and select executive sessions.</w:t>
            </w:r>
          </w:p>
        </w:tc>
      </w:tr>
      <w:tr>
        <w:trPr>
          <w:trHeight w:val="207"/>
        </w:trPr>
        <w:tc>
          <w:tcPr>
            <w:tcW w:w="2300" w:type="dxa"/>
            <w:vAlign w:val="bottom"/>
          </w:tcPr>
          <w:p>
            <w:pPr>
              <w:ind w:left="40"/>
              <w:spacing w:after="0"/>
              <w:rPr>
                <w:sz w:val="20"/>
                <w:szCs w:val="20"/>
                <w:color w:val="auto"/>
              </w:rPr>
            </w:pPr>
            <w:r>
              <w:rPr>
                <w:rFonts w:ascii="Arial" w:cs="Arial" w:eastAsia="Arial" w:hAnsi="Arial"/>
                <w:sz w:val="18"/>
                <w:szCs w:val="18"/>
                <w:b w:val="1"/>
                <w:bCs w:val="1"/>
                <w:color w:val="auto"/>
              </w:rPr>
              <w:t>Stockholder</w:t>
            </w:r>
          </w:p>
        </w:tc>
        <w:tc>
          <w:tcPr>
            <w:tcW w:w="520" w:type="dxa"/>
            <w:vAlign w:val="bottom"/>
          </w:tcPr>
          <w:p>
            <w:pPr>
              <w:ind w:left="400"/>
              <w:spacing w:after="0"/>
              <w:rPr>
                <w:sz w:val="20"/>
                <w:szCs w:val="20"/>
                <w:color w:val="auto"/>
              </w:rPr>
            </w:pPr>
            <w:r>
              <w:rPr>
                <w:rFonts w:ascii="Arial" w:cs="Arial" w:eastAsia="Arial" w:hAnsi="Arial"/>
                <w:sz w:val="18"/>
                <w:szCs w:val="18"/>
                <w:color w:val="auto"/>
              </w:rPr>
              <w:t>•</w:t>
            </w:r>
          </w:p>
        </w:tc>
        <w:tc>
          <w:tcPr>
            <w:tcW w:w="8600" w:type="dxa"/>
            <w:vAlign w:val="bottom"/>
          </w:tcPr>
          <w:p>
            <w:pPr>
              <w:ind w:left="60"/>
              <w:spacing w:after="0"/>
              <w:rPr>
                <w:sz w:val="20"/>
                <w:szCs w:val="20"/>
                <w:color w:val="auto"/>
              </w:rPr>
            </w:pPr>
            <w:r>
              <w:rPr>
                <w:rFonts w:ascii="Arial" w:cs="Arial" w:eastAsia="Arial" w:hAnsi="Arial"/>
                <w:sz w:val="18"/>
                <w:szCs w:val="18"/>
                <w:color w:val="auto"/>
              </w:rPr>
              <w:t>We provide our stockholders with the opportunity to cast an annual advisory vote on the compensation of</w:t>
            </w:r>
          </w:p>
        </w:tc>
      </w:tr>
      <w:tr>
        <w:trPr>
          <w:trHeight w:val="203"/>
        </w:trPr>
        <w:tc>
          <w:tcPr>
            <w:tcW w:w="230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Outreach and</w:t>
            </w:r>
          </w:p>
        </w:tc>
        <w:tc>
          <w:tcPr>
            <w:tcW w:w="91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our Named Executives.</w:t>
            </w:r>
          </w:p>
        </w:tc>
      </w:tr>
      <w:tr>
        <w:trPr>
          <w:trHeight w:val="203"/>
        </w:trPr>
        <w:tc>
          <w:tcPr>
            <w:tcW w:w="230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Stockholder Vote</w:t>
            </w:r>
          </w:p>
        </w:tc>
        <w:tc>
          <w:tcPr>
            <w:tcW w:w="520" w:type="dxa"/>
            <w:vAlign w:val="bottom"/>
          </w:tcPr>
          <w:p>
            <w:pPr>
              <w:ind w:left="400"/>
              <w:spacing w:after="0" w:line="202" w:lineRule="exact"/>
              <w:rPr>
                <w:sz w:val="20"/>
                <w:szCs w:val="20"/>
                <w:color w:val="auto"/>
              </w:rPr>
            </w:pPr>
            <w:r>
              <w:rPr>
                <w:rFonts w:ascii="Arial" w:cs="Arial" w:eastAsia="Arial" w:hAnsi="Arial"/>
                <w:sz w:val="18"/>
                <w:szCs w:val="18"/>
                <w:color w:val="auto"/>
              </w:rPr>
              <w:t>•</w:t>
            </w:r>
          </w:p>
        </w:tc>
        <w:tc>
          <w:tcPr>
            <w:tcW w:w="8600" w:type="dxa"/>
            <w:vAlign w:val="bottom"/>
          </w:tcPr>
          <w:p>
            <w:pPr>
              <w:ind w:left="60"/>
              <w:spacing w:after="0" w:line="202" w:lineRule="exact"/>
              <w:rPr>
                <w:sz w:val="20"/>
                <w:szCs w:val="20"/>
                <w:color w:val="auto"/>
              </w:rPr>
            </w:pPr>
            <w:r>
              <w:rPr>
                <w:rFonts w:ascii="Arial" w:cs="Arial" w:eastAsia="Arial" w:hAnsi="Arial"/>
                <w:sz w:val="18"/>
                <w:szCs w:val="18"/>
                <w:color w:val="auto"/>
              </w:rPr>
              <w:t>Over 96% of the votes cast at our 2017 annual meeting of stockholders on the executive compensation</w:t>
            </w:r>
          </w:p>
        </w:tc>
      </w:tr>
      <w:tr>
        <w:trPr>
          <w:trHeight w:val="203"/>
        </w:trPr>
        <w:tc>
          <w:tcPr>
            <w:tcW w:w="230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on Executive</w:t>
            </w:r>
          </w:p>
        </w:tc>
        <w:tc>
          <w:tcPr>
            <w:tcW w:w="91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proposal were voted in favor of our executive compensation.</w:t>
            </w:r>
          </w:p>
        </w:tc>
      </w:tr>
      <w:tr>
        <w:trPr>
          <w:trHeight w:val="225"/>
        </w:trPr>
        <w:tc>
          <w:tcPr>
            <w:tcW w:w="2300" w:type="dxa"/>
            <w:vAlign w:val="bottom"/>
          </w:tcPr>
          <w:p>
            <w:pPr>
              <w:ind w:left="40"/>
              <w:spacing w:after="0"/>
              <w:rPr>
                <w:sz w:val="20"/>
                <w:szCs w:val="20"/>
                <w:color w:val="auto"/>
              </w:rPr>
            </w:pPr>
            <w:r>
              <w:rPr>
                <w:rFonts w:ascii="Arial" w:cs="Arial" w:eastAsia="Arial" w:hAnsi="Arial"/>
                <w:sz w:val="18"/>
                <w:szCs w:val="18"/>
                <w:b w:val="1"/>
                <w:bCs w:val="1"/>
                <w:color w:val="auto"/>
              </w:rPr>
              <w:t>Compensation</w:t>
            </w:r>
          </w:p>
        </w:tc>
        <w:tc>
          <w:tcPr>
            <w:tcW w:w="520" w:type="dxa"/>
            <w:vAlign w:val="bottom"/>
          </w:tcPr>
          <w:p>
            <w:pPr>
              <w:ind w:left="400"/>
              <w:spacing w:after="0"/>
              <w:rPr>
                <w:sz w:val="20"/>
                <w:szCs w:val="20"/>
                <w:color w:val="auto"/>
              </w:rPr>
            </w:pPr>
            <w:r>
              <w:rPr>
                <w:rFonts w:ascii="Arial" w:cs="Arial" w:eastAsia="Arial" w:hAnsi="Arial"/>
                <w:sz w:val="18"/>
                <w:szCs w:val="18"/>
                <w:color w:val="auto"/>
              </w:rPr>
              <w:t>•</w:t>
            </w:r>
          </w:p>
        </w:tc>
        <w:tc>
          <w:tcPr>
            <w:tcW w:w="8600" w:type="dxa"/>
            <w:vAlign w:val="bottom"/>
          </w:tcPr>
          <w:p>
            <w:pPr>
              <w:ind w:left="60"/>
              <w:spacing w:after="0"/>
              <w:rPr>
                <w:sz w:val="20"/>
                <w:szCs w:val="20"/>
                <w:color w:val="auto"/>
              </w:rPr>
            </w:pPr>
            <w:r>
              <w:rPr>
                <w:rFonts w:ascii="Arial" w:cs="Arial" w:eastAsia="Arial" w:hAnsi="Arial"/>
                <w:sz w:val="18"/>
                <w:szCs w:val="18"/>
                <w:color w:val="auto"/>
              </w:rPr>
              <w:t>Although our stockholders expressed strong support for our executive compensation proposals in the past</w:t>
            </w:r>
          </w:p>
        </w:tc>
      </w:tr>
      <w:tr>
        <w:trPr>
          <w:trHeight w:val="203"/>
        </w:trPr>
        <w:tc>
          <w:tcPr>
            <w:tcW w:w="2300" w:type="dxa"/>
            <w:vAlign w:val="bottom"/>
          </w:tcPr>
          <w:p>
            <w:pPr>
              <w:spacing w:after="0"/>
              <w:rPr>
                <w:sz w:val="17"/>
                <w:szCs w:val="17"/>
                <w:color w:val="auto"/>
              </w:rPr>
            </w:pPr>
          </w:p>
        </w:tc>
        <w:tc>
          <w:tcPr>
            <w:tcW w:w="91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three years, members of our management team have conducted outreach programs with our stockholders in</w:t>
            </w:r>
          </w:p>
        </w:tc>
      </w:tr>
      <w:tr>
        <w:trPr>
          <w:trHeight w:val="203"/>
        </w:trPr>
        <w:tc>
          <w:tcPr>
            <w:tcW w:w="2300" w:type="dxa"/>
            <w:vAlign w:val="bottom"/>
          </w:tcPr>
          <w:p>
            <w:pPr>
              <w:spacing w:after="0"/>
              <w:rPr>
                <w:sz w:val="17"/>
                <w:szCs w:val="17"/>
                <w:color w:val="auto"/>
              </w:rPr>
            </w:pPr>
          </w:p>
        </w:tc>
        <w:tc>
          <w:tcPr>
            <w:tcW w:w="91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2015, 2016 and again in 2017, to discuss executive compensation, corporate governance and other matters.</w:t>
            </w:r>
          </w:p>
        </w:tc>
      </w:tr>
      <w:tr>
        <w:trPr>
          <w:trHeight w:val="203"/>
        </w:trPr>
        <w:tc>
          <w:tcPr>
            <w:tcW w:w="2300" w:type="dxa"/>
            <w:vAlign w:val="bottom"/>
          </w:tcPr>
          <w:p>
            <w:pPr>
              <w:spacing w:after="0"/>
              <w:rPr>
                <w:sz w:val="17"/>
                <w:szCs w:val="17"/>
                <w:color w:val="auto"/>
              </w:rPr>
            </w:pPr>
          </w:p>
        </w:tc>
        <w:tc>
          <w:tcPr>
            <w:tcW w:w="520" w:type="dxa"/>
            <w:vAlign w:val="bottom"/>
          </w:tcPr>
          <w:p>
            <w:pPr>
              <w:ind w:left="400"/>
              <w:spacing w:after="0" w:line="202" w:lineRule="exact"/>
              <w:rPr>
                <w:sz w:val="20"/>
                <w:szCs w:val="20"/>
                <w:color w:val="auto"/>
              </w:rPr>
            </w:pPr>
            <w:r>
              <w:rPr>
                <w:rFonts w:ascii="Arial" w:cs="Arial" w:eastAsia="Arial" w:hAnsi="Arial"/>
                <w:sz w:val="18"/>
                <w:szCs w:val="18"/>
                <w:color w:val="auto"/>
              </w:rPr>
              <w:t>•</w:t>
            </w:r>
          </w:p>
        </w:tc>
        <w:tc>
          <w:tcPr>
            <w:tcW w:w="8600" w:type="dxa"/>
            <w:vAlign w:val="bottom"/>
          </w:tcPr>
          <w:p>
            <w:pPr>
              <w:ind w:left="60"/>
              <w:spacing w:after="0" w:line="202" w:lineRule="exact"/>
              <w:rPr>
                <w:sz w:val="20"/>
                <w:szCs w:val="20"/>
                <w:color w:val="auto"/>
              </w:rPr>
            </w:pPr>
            <w:r>
              <w:rPr>
                <w:rFonts w:ascii="Arial" w:cs="Arial" w:eastAsia="Arial" w:hAnsi="Arial"/>
                <w:sz w:val="18"/>
                <w:szCs w:val="18"/>
                <w:color w:val="auto"/>
              </w:rPr>
              <w:t>Our Compensation Committee considered stockholder feedback when selecting financial performance</w:t>
            </w:r>
          </w:p>
        </w:tc>
      </w:tr>
      <w:tr>
        <w:trPr>
          <w:trHeight w:val="203"/>
        </w:trPr>
        <w:tc>
          <w:tcPr>
            <w:tcW w:w="2300" w:type="dxa"/>
            <w:vAlign w:val="bottom"/>
          </w:tcPr>
          <w:p>
            <w:pPr>
              <w:spacing w:after="0"/>
              <w:rPr>
                <w:sz w:val="17"/>
                <w:szCs w:val="17"/>
                <w:color w:val="auto"/>
              </w:rPr>
            </w:pPr>
          </w:p>
        </w:tc>
        <w:tc>
          <w:tcPr>
            <w:tcW w:w="91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metrics and the mix of equity award vehicles. Our stockholder engagement efforts have informed our</w:t>
            </w:r>
          </w:p>
        </w:tc>
      </w:tr>
    </w:tbl>
    <w:p>
      <w:pPr>
        <w:ind w:left="2540" w:right="800"/>
        <w:spacing w:after="0" w:line="246" w:lineRule="auto"/>
        <w:rPr>
          <w:sz w:val="20"/>
          <w:szCs w:val="20"/>
          <w:color w:val="auto"/>
        </w:rPr>
      </w:pPr>
      <w:r>
        <w:rPr>
          <w:rFonts w:ascii="Arial" w:cs="Arial" w:eastAsia="Arial" w:hAnsi="Arial"/>
          <w:sz w:val="18"/>
          <w:szCs w:val="18"/>
          <w:color w:val="auto"/>
        </w:rPr>
        <w:t>committee’s decision to eliminate stock options and to select return on invested capital as a long-term performance metric in 2016 and 2017</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sz w:val="1"/>
          <w:szCs w:val="1"/>
          <w:color w:val="auto"/>
        </w:rPr>
        <w:drawing>
          <wp:inline distT="0" distB="0" distL="0" distR="0">
            <wp:extent cx="488950" cy="205740"/>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88950" cy="205740"/>
                    </a:xfrm>
                    <a:prstGeom prst="rect">
                      <a:avLst/>
                    </a:prstGeom>
                    <a:noFill/>
                    <a:ln>
                      <a:noFill/>
                    </a:ln>
                  </pic:spPr>
                </pic:pic>
              </a:graphicData>
            </a:graphic>
          </wp:inline>
        </w:drawing>
      </w:r>
      <w:r>
        <w:rPr>
          <w:rFonts w:ascii="Arial" w:cs="Arial" w:eastAsia="Arial" w:hAnsi="Arial"/>
          <w:sz w:val="18"/>
          <w:szCs w:val="18"/>
          <w:color w:val="auto"/>
        </w:rPr>
        <w:t xml:space="preserve"> 2018 PROXY STATEMENT </w:t>
      </w:r>
      <w:r>
        <w:rPr>
          <w:rFonts w:ascii="Arial" w:cs="Arial" w:eastAsia="Arial" w:hAnsi="Arial"/>
          <w:sz w:val="18"/>
          <w:szCs w:val="18"/>
          <w:b w:val="1"/>
          <w:bCs w:val="1"/>
          <w:color w:val="2C2C2C"/>
        </w:rPr>
        <w:t>29</w:t>
      </w:r>
    </w:p>
    <w:p>
      <w:pPr>
        <w:sectPr>
          <w:pgSz w:w="11900" w:h="16838" w:orient="portrait"/>
          <w:cols w:equalWidth="0" w:num="1">
            <w:col w:w="11420"/>
          </w:cols>
          <w:pgMar w:left="240" w:top="125" w:right="239" w:bottom="1440" w:gutter="0" w:footer="0" w:header="0"/>
          <w:type w:val="continuous"/>
        </w:sectPr>
      </w:pPr>
    </w:p>
    <w:bookmarkStart w:id="38" w:name="page39"/>
    <w:bookmarkEnd w:id="38"/>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040" w:type="dxa"/>
            <w:vAlign w:val="bottom"/>
            <w:tcBorders>
              <w:bottom w:val="single" w:sz="8" w:color="auto"/>
            </w:tcBorders>
          </w:tcPr>
          <w:p>
            <w:pPr>
              <w:ind w:left="3940"/>
              <w:spacing w:after="0"/>
              <w:rPr>
                <w:sz w:val="20"/>
                <w:szCs w:val="20"/>
                <w:color w:val="auto"/>
              </w:rPr>
            </w:pPr>
            <w:r>
              <w:rPr>
                <w:rFonts w:ascii="Arial" w:cs="Arial" w:eastAsia="Arial" w:hAnsi="Arial"/>
                <w:sz w:val="14"/>
                <w:szCs w:val="14"/>
                <w:color w:val="auto"/>
              </w:rPr>
              <w:t>COMPENSATION DISCUSSION AND ANALYSIS</w:t>
            </w:r>
          </w:p>
        </w:tc>
      </w:tr>
      <w:tr>
        <w:trPr>
          <w:trHeight w:val="378"/>
        </w:trPr>
        <w:tc>
          <w:tcPr>
            <w:tcW w:w="3380" w:type="dxa"/>
            <w:vAlign w:val="bottom"/>
            <w:gridSpan w:val="2"/>
          </w:tcPr>
          <w:p>
            <w:pPr>
              <w:spacing w:after="0"/>
              <w:rPr>
                <w:sz w:val="24"/>
                <w:szCs w:val="24"/>
                <w:color w:val="auto"/>
              </w:rPr>
            </w:pPr>
          </w:p>
        </w:tc>
        <w:tc>
          <w:tcPr>
            <w:tcW w:w="8040" w:type="dxa"/>
            <w:vAlign w:val="bottom"/>
          </w:tcPr>
          <w:p>
            <w:pPr>
              <w:spacing w:after="0"/>
              <w:rPr>
                <w:sz w:val="24"/>
                <w:szCs w:val="24"/>
                <w:color w:val="auto"/>
              </w:rPr>
            </w:pPr>
          </w:p>
        </w:tc>
      </w:tr>
      <w:tr>
        <w:trPr>
          <w:trHeight w:val="250"/>
        </w:trPr>
        <w:tc>
          <w:tcPr>
            <w:tcW w:w="3380" w:type="dxa"/>
            <w:vAlign w:val="bottom"/>
            <w:tcBorders>
              <w:bottom w:val="single" w:sz="8" w:color="auto"/>
            </w:tcBorders>
            <w:gridSpan w:val="2"/>
            <w:shd w:val="clear" w:color="auto" w:fill="525252"/>
          </w:tcPr>
          <w:p>
            <w:pPr>
              <w:ind w:left="40"/>
              <w:spacing w:after="0"/>
              <w:rPr>
                <w:sz w:val="20"/>
                <w:szCs w:val="20"/>
                <w:color w:val="auto"/>
              </w:rPr>
            </w:pPr>
            <w:r>
              <w:rPr>
                <w:rFonts w:ascii="Arial" w:cs="Arial" w:eastAsia="Arial" w:hAnsi="Arial"/>
                <w:sz w:val="18"/>
                <w:szCs w:val="18"/>
                <w:b w:val="1"/>
                <w:bCs w:val="1"/>
                <w:color w:val="FFFFFF"/>
              </w:rPr>
              <w:t>How We Set Target Compensation</w:t>
            </w:r>
          </w:p>
        </w:tc>
        <w:tc>
          <w:tcPr>
            <w:tcW w:w="8040" w:type="dxa"/>
            <w:vAlign w:val="bottom"/>
            <w:tcBorders>
              <w:bottom w:val="single" w:sz="8" w:color="auto"/>
            </w:tcBorders>
            <w:shd w:val="clear" w:color="auto" w:fill="525252"/>
          </w:tcPr>
          <w:p>
            <w:pPr>
              <w:spacing w:after="0"/>
              <w:rPr>
                <w:sz w:val="21"/>
                <w:szCs w:val="21"/>
                <w:color w:val="auto"/>
              </w:rPr>
            </w:pPr>
          </w:p>
        </w:tc>
      </w:tr>
      <w:tr>
        <w:trPr>
          <w:trHeight w:val="207"/>
        </w:trPr>
        <w:tc>
          <w:tcPr>
            <w:tcW w:w="2260" w:type="dxa"/>
            <w:vAlign w:val="bottom"/>
          </w:tcPr>
          <w:p>
            <w:pPr>
              <w:ind w:left="40"/>
              <w:spacing w:after="0"/>
              <w:rPr>
                <w:sz w:val="20"/>
                <w:szCs w:val="20"/>
                <w:color w:val="auto"/>
              </w:rPr>
            </w:pPr>
            <w:r>
              <w:rPr>
                <w:rFonts w:ascii="Arial" w:cs="Arial" w:eastAsia="Arial" w:hAnsi="Arial"/>
                <w:sz w:val="18"/>
                <w:szCs w:val="18"/>
                <w:b w:val="1"/>
                <w:bCs w:val="1"/>
                <w:color w:val="auto"/>
              </w:rPr>
              <w:t>Target +/-15% of</w:t>
            </w:r>
          </w:p>
        </w:tc>
        <w:tc>
          <w:tcPr>
            <w:tcW w:w="9160" w:type="dxa"/>
            <w:vAlign w:val="bottom"/>
            <w:gridSpan w:val="2"/>
          </w:tcPr>
          <w:p>
            <w:pPr>
              <w:ind w:left="440"/>
              <w:spacing w:after="0"/>
              <w:rPr>
                <w:sz w:val="20"/>
                <w:szCs w:val="20"/>
                <w:color w:val="auto"/>
              </w:rPr>
            </w:pPr>
            <w:r>
              <w:rPr>
                <w:rFonts w:ascii="Arial" w:cs="Arial" w:eastAsia="Arial" w:hAnsi="Arial"/>
                <w:sz w:val="18"/>
                <w:szCs w:val="18"/>
                <w:color w:val="auto"/>
              </w:rPr>
              <w:t>• We believe compensation is competitive at or near the median compensation paid for comparable</w:t>
            </w:r>
          </w:p>
        </w:tc>
      </w:tr>
      <w:tr>
        <w:trPr>
          <w:trHeight w:val="203"/>
        </w:trPr>
        <w:tc>
          <w:tcPr>
            <w:tcW w:w="226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Median Compensation</w:t>
            </w:r>
          </w:p>
        </w:tc>
        <w:tc>
          <w:tcPr>
            <w:tcW w:w="1120" w:type="dxa"/>
            <w:vAlign w:val="bottom"/>
          </w:tcPr>
          <w:p>
            <w:pPr>
              <w:ind w:left="280"/>
              <w:spacing w:after="0" w:line="202" w:lineRule="exact"/>
              <w:rPr>
                <w:sz w:val="20"/>
                <w:szCs w:val="20"/>
                <w:color w:val="auto"/>
              </w:rPr>
            </w:pPr>
            <w:r>
              <w:rPr>
                <w:rFonts w:ascii="Arial" w:cs="Arial" w:eastAsia="Arial" w:hAnsi="Arial"/>
                <w:sz w:val="18"/>
                <w:szCs w:val="18"/>
                <w:color w:val="auto"/>
              </w:rPr>
              <w:t>positions.</w:t>
            </w:r>
          </w:p>
        </w:tc>
        <w:tc>
          <w:tcPr>
            <w:tcW w:w="8040" w:type="dxa"/>
            <w:vAlign w:val="bottom"/>
          </w:tcPr>
          <w:p>
            <w:pPr>
              <w:spacing w:after="0"/>
              <w:rPr>
                <w:sz w:val="17"/>
                <w:szCs w:val="17"/>
                <w:color w:val="auto"/>
              </w:rPr>
            </w:pPr>
          </w:p>
        </w:tc>
      </w:tr>
      <w:tr>
        <w:trPr>
          <w:trHeight w:val="225"/>
        </w:trPr>
        <w:tc>
          <w:tcPr>
            <w:tcW w:w="2260" w:type="dxa"/>
            <w:vAlign w:val="bottom"/>
          </w:tcPr>
          <w:p>
            <w:pPr>
              <w:spacing w:after="0"/>
              <w:rPr>
                <w:sz w:val="19"/>
                <w:szCs w:val="19"/>
                <w:color w:val="auto"/>
              </w:rPr>
            </w:pPr>
          </w:p>
        </w:tc>
        <w:tc>
          <w:tcPr>
            <w:tcW w:w="9160" w:type="dxa"/>
            <w:vAlign w:val="bottom"/>
            <w:gridSpan w:val="2"/>
          </w:tcPr>
          <w:p>
            <w:pPr>
              <w:ind w:left="440"/>
              <w:spacing w:after="0"/>
              <w:rPr>
                <w:sz w:val="20"/>
                <w:szCs w:val="20"/>
                <w:color w:val="auto"/>
              </w:rPr>
            </w:pP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generally seek to set target compensation for each element of total direct compensation and in the</w:t>
            </w:r>
          </w:p>
        </w:tc>
      </w:tr>
      <w:tr>
        <w:trPr>
          <w:trHeight w:val="203"/>
        </w:trPr>
        <w:tc>
          <w:tcPr>
            <w:tcW w:w="2260" w:type="dxa"/>
            <w:vAlign w:val="bottom"/>
          </w:tcPr>
          <w:p>
            <w:pPr>
              <w:spacing w:after="0"/>
              <w:rPr>
                <w:sz w:val="17"/>
                <w:szCs w:val="17"/>
                <w:color w:val="auto"/>
              </w:rPr>
            </w:pPr>
          </w:p>
        </w:tc>
        <w:tc>
          <w:tcPr>
            <w:tcW w:w="916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aggregate at approximately +/-15% of the median compensation determined through benchmarking (referred</w:t>
            </w:r>
          </w:p>
        </w:tc>
      </w:tr>
      <w:tr>
        <w:trPr>
          <w:trHeight w:val="181"/>
        </w:trPr>
        <w:tc>
          <w:tcPr>
            <w:tcW w:w="2260" w:type="dxa"/>
            <w:vAlign w:val="bottom"/>
          </w:tcPr>
          <w:p>
            <w:pPr>
              <w:spacing w:after="0"/>
              <w:rPr>
                <w:sz w:val="15"/>
                <w:szCs w:val="15"/>
                <w:color w:val="auto"/>
              </w:rPr>
            </w:pPr>
          </w:p>
        </w:tc>
        <w:tc>
          <w:tcPr>
            <w:tcW w:w="9160" w:type="dxa"/>
            <w:vAlign w:val="bottom"/>
            <w:gridSpan w:val="2"/>
          </w:tcPr>
          <w:p>
            <w:pPr>
              <w:ind w:left="280"/>
              <w:spacing w:after="0" w:line="181" w:lineRule="exact"/>
              <w:rPr>
                <w:sz w:val="20"/>
                <w:szCs w:val="20"/>
                <w:color w:val="auto"/>
              </w:rPr>
            </w:pPr>
            <w:r>
              <w:rPr>
                <w:rFonts w:ascii="Arial" w:cs="Arial" w:eastAsia="Arial" w:hAnsi="Arial"/>
                <w:sz w:val="18"/>
                <w:szCs w:val="18"/>
                <w:color w:val="auto"/>
              </w:rPr>
              <w:t>to as “median” or “median range” in this CD&amp;A).</w:t>
            </w:r>
          </w:p>
        </w:tc>
      </w:tr>
      <w:tr>
        <w:trPr>
          <w:trHeight w:val="225"/>
        </w:trPr>
        <w:tc>
          <w:tcPr>
            <w:tcW w:w="2260" w:type="dxa"/>
            <w:vAlign w:val="bottom"/>
          </w:tcPr>
          <w:p>
            <w:pPr>
              <w:spacing w:after="0"/>
              <w:rPr>
                <w:sz w:val="19"/>
                <w:szCs w:val="19"/>
                <w:color w:val="auto"/>
              </w:rPr>
            </w:pPr>
          </w:p>
        </w:tc>
        <w:tc>
          <w:tcPr>
            <w:tcW w:w="9160" w:type="dxa"/>
            <w:vAlign w:val="bottom"/>
            <w:gridSpan w:val="2"/>
          </w:tcPr>
          <w:p>
            <w:pPr>
              <w:ind w:left="4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The Compensation Committee may adjust a Named Executive’s target compensation, including setting it</w:t>
            </w:r>
          </w:p>
        </w:tc>
      </w:tr>
      <w:tr>
        <w:trPr>
          <w:trHeight w:val="203"/>
        </w:trPr>
        <w:tc>
          <w:tcPr>
            <w:tcW w:w="2260" w:type="dxa"/>
            <w:vAlign w:val="bottom"/>
          </w:tcPr>
          <w:p>
            <w:pPr>
              <w:spacing w:after="0"/>
              <w:rPr>
                <w:sz w:val="17"/>
                <w:szCs w:val="17"/>
                <w:color w:val="auto"/>
              </w:rPr>
            </w:pPr>
          </w:p>
        </w:tc>
        <w:tc>
          <w:tcPr>
            <w:tcW w:w="916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outside the median range, for a variety of reasons, including:</w:t>
            </w:r>
          </w:p>
        </w:tc>
      </w:tr>
      <w:tr>
        <w:trPr>
          <w:trHeight w:val="203"/>
        </w:trPr>
        <w:tc>
          <w:tcPr>
            <w:tcW w:w="2260" w:type="dxa"/>
            <w:vAlign w:val="bottom"/>
          </w:tcPr>
          <w:p>
            <w:pPr>
              <w:spacing w:after="0"/>
              <w:rPr>
                <w:sz w:val="17"/>
                <w:szCs w:val="17"/>
                <w:color w:val="auto"/>
              </w:rPr>
            </w:pPr>
          </w:p>
        </w:tc>
        <w:tc>
          <w:tcPr>
            <w:tcW w:w="1120" w:type="dxa"/>
            <w:vAlign w:val="bottom"/>
          </w:tcPr>
          <w:p>
            <w:pPr>
              <w:ind w:left="1020"/>
              <w:spacing w:after="0" w:line="202" w:lineRule="exact"/>
              <w:rPr>
                <w:sz w:val="20"/>
                <w:szCs w:val="20"/>
                <w:color w:val="auto"/>
              </w:rPr>
            </w:pPr>
            <w:r>
              <w:rPr>
                <w:rFonts w:ascii="Arial" w:cs="Arial" w:eastAsia="Arial" w:hAnsi="Arial"/>
                <w:sz w:val="18"/>
                <w:szCs w:val="18"/>
                <w:color w:val="auto"/>
              </w:rPr>
              <w:t>◦</w:t>
            </w:r>
          </w:p>
        </w:tc>
        <w:tc>
          <w:tcPr>
            <w:tcW w:w="8040" w:type="dxa"/>
            <w:vAlign w:val="bottom"/>
          </w:tcPr>
          <w:p>
            <w:pPr>
              <w:ind w:left="60"/>
              <w:spacing w:after="0" w:line="202" w:lineRule="exact"/>
              <w:rPr>
                <w:sz w:val="20"/>
                <w:szCs w:val="20"/>
                <w:color w:val="auto"/>
              </w:rPr>
            </w:pPr>
            <w:r>
              <w:rPr>
                <w:rFonts w:ascii="Arial" w:cs="Arial" w:eastAsia="Arial" w:hAnsi="Arial"/>
                <w:sz w:val="18"/>
                <w:szCs w:val="18"/>
                <w:color w:val="auto"/>
              </w:rPr>
              <w:t>performance;</w:t>
            </w:r>
          </w:p>
        </w:tc>
      </w:tr>
      <w:tr>
        <w:trPr>
          <w:trHeight w:val="203"/>
        </w:trPr>
        <w:tc>
          <w:tcPr>
            <w:tcW w:w="2260" w:type="dxa"/>
            <w:vAlign w:val="bottom"/>
          </w:tcPr>
          <w:p>
            <w:pPr>
              <w:spacing w:after="0"/>
              <w:rPr>
                <w:sz w:val="17"/>
                <w:szCs w:val="17"/>
                <w:color w:val="auto"/>
              </w:rPr>
            </w:pPr>
          </w:p>
        </w:tc>
        <w:tc>
          <w:tcPr>
            <w:tcW w:w="1120" w:type="dxa"/>
            <w:vAlign w:val="bottom"/>
          </w:tcPr>
          <w:p>
            <w:pPr>
              <w:ind w:left="1020"/>
              <w:spacing w:after="0" w:line="202" w:lineRule="exact"/>
              <w:rPr>
                <w:sz w:val="20"/>
                <w:szCs w:val="20"/>
                <w:color w:val="auto"/>
              </w:rPr>
            </w:pPr>
            <w:r>
              <w:rPr>
                <w:rFonts w:ascii="Arial" w:cs="Arial" w:eastAsia="Arial" w:hAnsi="Arial"/>
                <w:sz w:val="18"/>
                <w:szCs w:val="18"/>
                <w:color w:val="auto"/>
              </w:rPr>
              <w:t>◦</w:t>
            </w:r>
          </w:p>
        </w:tc>
        <w:tc>
          <w:tcPr>
            <w:tcW w:w="8040" w:type="dxa"/>
            <w:vAlign w:val="bottom"/>
          </w:tcPr>
          <w:p>
            <w:pPr>
              <w:ind w:left="60"/>
              <w:spacing w:after="0" w:line="202" w:lineRule="exact"/>
              <w:rPr>
                <w:sz w:val="20"/>
                <w:szCs w:val="20"/>
                <w:color w:val="auto"/>
              </w:rPr>
            </w:pPr>
            <w:r>
              <w:rPr>
                <w:rFonts w:ascii="Arial" w:cs="Arial" w:eastAsia="Arial" w:hAnsi="Arial"/>
                <w:sz w:val="18"/>
                <w:szCs w:val="18"/>
                <w:color w:val="auto"/>
              </w:rPr>
              <w:t>tenure;</w:t>
            </w:r>
          </w:p>
        </w:tc>
      </w:tr>
      <w:tr>
        <w:trPr>
          <w:trHeight w:val="203"/>
        </w:trPr>
        <w:tc>
          <w:tcPr>
            <w:tcW w:w="2260" w:type="dxa"/>
            <w:vAlign w:val="bottom"/>
          </w:tcPr>
          <w:p>
            <w:pPr>
              <w:spacing w:after="0"/>
              <w:rPr>
                <w:sz w:val="17"/>
                <w:szCs w:val="17"/>
                <w:color w:val="auto"/>
              </w:rPr>
            </w:pPr>
          </w:p>
        </w:tc>
        <w:tc>
          <w:tcPr>
            <w:tcW w:w="1120" w:type="dxa"/>
            <w:vAlign w:val="bottom"/>
          </w:tcPr>
          <w:p>
            <w:pPr>
              <w:ind w:left="1020"/>
              <w:spacing w:after="0" w:line="202" w:lineRule="exact"/>
              <w:rPr>
                <w:sz w:val="20"/>
                <w:szCs w:val="20"/>
                <w:color w:val="auto"/>
              </w:rPr>
            </w:pPr>
            <w:r>
              <w:rPr>
                <w:rFonts w:ascii="Arial" w:cs="Arial" w:eastAsia="Arial" w:hAnsi="Arial"/>
                <w:sz w:val="18"/>
                <w:szCs w:val="18"/>
                <w:color w:val="auto"/>
              </w:rPr>
              <w:t>◦</w:t>
            </w:r>
          </w:p>
        </w:tc>
        <w:tc>
          <w:tcPr>
            <w:tcW w:w="8040" w:type="dxa"/>
            <w:vAlign w:val="bottom"/>
          </w:tcPr>
          <w:p>
            <w:pPr>
              <w:ind w:left="60"/>
              <w:spacing w:after="0" w:line="202" w:lineRule="exact"/>
              <w:rPr>
                <w:sz w:val="20"/>
                <w:szCs w:val="20"/>
                <w:color w:val="auto"/>
              </w:rPr>
            </w:pPr>
            <w:r>
              <w:rPr>
                <w:rFonts w:ascii="Arial" w:cs="Arial" w:eastAsia="Arial" w:hAnsi="Arial"/>
                <w:sz w:val="18"/>
                <w:szCs w:val="18"/>
                <w:color w:val="auto"/>
              </w:rPr>
              <w:t>experience;</w:t>
            </w:r>
          </w:p>
        </w:tc>
      </w:tr>
      <w:tr>
        <w:trPr>
          <w:trHeight w:val="203"/>
        </w:trPr>
        <w:tc>
          <w:tcPr>
            <w:tcW w:w="2260" w:type="dxa"/>
            <w:vAlign w:val="bottom"/>
          </w:tcPr>
          <w:p>
            <w:pPr>
              <w:spacing w:after="0"/>
              <w:rPr>
                <w:sz w:val="17"/>
                <w:szCs w:val="17"/>
                <w:color w:val="auto"/>
              </w:rPr>
            </w:pPr>
          </w:p>
        </w:tc>
        <w:tc>
          <w:tcPr>
            <w:tcW w:w="1120" w:type="dxa"/>
            <w:vAlign w:val="bottom"/>
          </w:tcPr>
          <w:p>
            <w:pPr>
              <w:ind w:left="1020"/>
              <w:spacing w:after="0" w:line="202" w:lineRule="exact"/>
              <w:rPr>
                <w:sz w:val="20"/>
                <w:szCs w:val="20"/>
                <w:color w:val="auto"/>
              </w:rPr>
            </w:pPr>
            <w:r>
              <w:rPr>
                <w:rFonts w:ascii="Arial" w:cs="Arial" w:eastAsia="Arial" w:hAnsi="Arial"/>
                <w:sz w:val="18"/>
                <w:szCs w:val="18"/>
                <w:color w:val="auto"/>
              </w:rPr>
              <w:t>◦</w:t>
            </w:r>
          </w:p>
        </w:tc>
        <w:tc>
          <w:tcPr>
            <w:tcW w:w="8040" w:type="dxa"/>
            <w:vAlign w:val="bottom"/>
          </w:tcPr>
          <w:p>
            <w:pPr>
              <w:ind w:left="60"/>
              <w:spacing w:after="0" w:line="202" w:lineRule="exact"/>
              <w:rPr>
                <w:sz w:val="20"/>
                <w:szCs w:val="20"/>
                <w:color w:val="auto"/>
              </w:rPr>
            </w:pPr>
            <w:r>
              <w:rPr>
                <w:rFonts w:ascii="Arial" w:cs="Arial" w:eastAsia="Arial" w:hAnsi="Arial"/>
                <w:sz w:val="18"/>
                <w:szCs w:val="18"/>
                <w:color w:val="auto"/>
              </w:rPr>
              <w:t>succession planning;</w:t>
            </w:r>
          </w:p>
        </w:tc>
      </w:tr>
      <w:tr>
        <w:trPr>
          <w:trHeight w:val="203"/>
        </w:trPr>
        <w:tc>
          <w:tcPr>
            <w:tcW w:w="2260" w:type="dxa"/>
            <w:vAlign w:val="bottom"/>
          </w:tcPr>
          <w:p>
            <w:pPr>
              <w:spacing w:after="0"/>
              <w:rPr>
                <w:sz w:val="17"/>
                <w:szCs w:val="17"/>
                <w:color w:val="auto"/>
              </w:rPr>
            </w:pPr>
          </w:p>
        </w:tc>
        <w:tc>
          <w:tcPr>
            <w:tcW w:w="1120" w:type="dxa"/>
            <w:vAlign w:val="bottom"/>
          </w:tcPr>
          <w:p>
            <w:pPr>
              <w:ind w:left="1020"/>
              <w:spacing w:after="0" w:line="202" w:lineRule="exact"/>
              <w:rPr>
                <w:sz w:val="20"/>
                <w:szCs w:val="20"/>
                <w:color w:val="auto"/>
              </w:rPr>
            </w:pPr>
            <w:r>
              <w:rPr>
                <w:rFonts w:ascii="Arial" w:cs="Arial" w:eastAsia="Arial" w:hAnsi="Arial"/>
                <w:sz w:val="18"/>
                <w:szCs w:val="18"/>
                <w:color w:val="auto"/>
              </w:rPr>
              <w:t>◦</w:t>
            </w:r>
          </w:p>
        </w:tc>
        <w:tc>
          <w:tcPr>
            <w:tcW w:w="8040" w:type="dxa"/>
            <w:vAlign w:val="bottom"/>
          </w:tcPr>
          <w:p>
            <w:pPr>
              <w:ind w:left="60"/>
              <w:spacing w:after="0" w:line="202" w:lineRule="exact"/>
              <w:rPr>
                <w:sz w:val="20"/>
                <w:szCs w:val="20"/>
                <w:color w:val="auto"/>
              </w:rPr>
            </w:pPr>
            <w:r>
              <w:rPr>
                <w:rFonts w:ascii="Arial" w:cs="Arial" w:eastAsia="Arial" w:hAnsi="Arial"/>
                <w:sz w:val="18"/>
                <w:szCs w:val="18"/>
                <w:color w:val="auto"/>
              </w:rPr>
              <w:t>internal equity; and</w:t>
            </w:r>
          </w:p>
        </w:tc>
      </w:tr>
      <w:tr>
        <w:trPr>
          <w:trHeight w:val="203"/>
        </w:trPr>
        <w:tc>
          <w:tcPr>
            <w:tcW w:w="2260" w:type="dxa"/>
            <w:vAlign w:val="bottom"/>
          </w:tcPr>
          <w:p>
            <w:pPr>
              <w:spacing w:after="0"/>
              <w:rPr>
                <w:sz w:val="17"/>
                <w:szCs w:val="17"/>
                <w:color w:val="auto"/>
              </w:rPr>
            </w:pPr>
          </w:p>
        </w:tc>
        <w:tc>
          <w:tcPr>
            <w:tcW w:w="1120" w:type="dxa"/>
            <w:vAlign w:val="bottom"/>
          </w:tcPr>
          <w:p>
            <w:pPr>
              <w:ind w:left="1020"/>
              <w:spacing w:after="0" w:line="202" w:lineRule="exact"/>
              <w:rPr>
                <w:sz w:val="20"/>
                <w:szCs w:val="20"/>
                <w:color w:val="auto"/>
              </w:rPr>
            </w:pPr>
            <w:r>
              <w:rPr>
                <w:rFonts w:ascii="Arial" w:cs="Arial" w:eastAsia="Arial" w:hAnsi="Arial"/>
                <w:sz w:val="18"/>
                <w:szCs w:val="18"/>
                <w:color w:val="auto"/>
              </w:rPr>
              <w:t>◦</w:t>
            </w:r>
          </w:p>
        </w:tc>
        <w:tc>
          <w:tcPr>
            <w:tcW w:w="8040" w:type="dxa"/>
            <w:vAlign w:val="bottom"/>
          </w:tcPr>
          <w:p>
            <w:pPr>
              <w:ind w:left="60"/>
              <w:spacing w:after="0" w:line="202" w:lineRule="exact"/>
              <w:rPr>
                <w:sz w:val="20"/>
                <w:szCs w:val="20"/>
                <w:color w:val="auto"/>
              </w:rPr>
            </w:pPr>
            <w:r>
              <w:rPr>
                <w:rFonts w:ascii="Arial" w:cs="Arial" w:eastAsia="Arial" w:hAnsi="Arial"/>
                <w:sz w:val="18"/>
                <w:szCs w:val="18"/>
                <w:color w:val="auto"/>
              </w:rPr>
              <w:t>other factors or situations that are not typically captured by looking at standard market data.</w:t>
            </w:r>
          </w:p>
        </w:tc>
      </w:tr>
      <w:tr>
        <w:trPr>
          <w:trHeight w:val="203"/>
        </w:trPr>
        <w:tc>
          <w:tcPr>
            <w:tcW w:w="2260" w:type="dxa"/>
            <w:vAlign w:val="bottom"/>
          </w:tcPr>
          <w:p>
            <w:pPr>
              <w:spacing w:after="0"/>
              <w:rPr>
                <w:sz w:val="17"/>
                <w:szCs w:val="17"/>
                <w:color w:val="auto"/>
              </w:rPr>
            </w:pPr>
          </w:p>
        </w:tc>
        <w:tc>
          <w:tcPr>
            <w:tcW w:w="916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 Compensation actually earned by a Named Executive may be outside the median range targeted,</w:t>
            </w:r>
          </w:p>
        </w:tc>
      </w:tr>
      <w:tr>
        <w:trPr>
          <w:trHeight w:val="203"/>
        </w:trPr>
        <w:tc>
          <w:tcPr>
            <w:tcW w:w="2260" w:type="dxa"/>
            <w:vAlign w:val="bottom"/>
          </w:tcPr>
          <w:p>
            <w:pPr>
              <w:spacing w:after="0"/>
              <w:rPr>
                <w:sz w:val="17"/>
                <w:szCs w:val="17"/>
                <w:color w:val="auto"/>
              </w:rPr>
            </w:pPr>
          </w:p>
        </w:tc>
        <w:tc>
          <w:tcPr>
            <w:tcW w:w="916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depending on the achievement of performance goals, fluctuations in our stock price and/or satisfaction of</w:t>
            </w:r>
          </w:p>
        </w:tc>
      </w:tr>
      <w:tr>
        <w:trPr>
          <w:trHeight w:val="217"/>
        </w:trPr>
        <w:tc>
          <w:tcPr>
            <w:tcW w:w="2260" w:type="dxa"/>
            <w:vAlign w:val="bottom"/>
          </w:tcPr>
          <w:p>
            <w:pPr>
              <w:spacing w:after="0"/>
              <w:rPr>
                <w:sz w:val="18"/>
                <w:szCs w:val="18"/>
                <w:color w:val="auto"/>
              </w:rPr>
            </w:pPr>
          </w:p>
        </w:tc>
        <w:tc>
          <w:tcPr>
            <w:tcW w:w="9160" w:type="dxa"/>
            <w:vAlign w:val="bottom"/>
            <w:gridSpan w:val="2"/>
          </w:tcPr>
          <w:p>
            <w:pPr>
              <w:ind w:left="280"/>
              <w:spacing w:after="0"/>
              <w:rPr>
                <w:sz w:val="20"/>
                <w:szCs w:val="20"/>
                <w:color w:val="auto"/>
              </w:rPr>
            </w:pPr>
            <w:r>
              <w:rPr>
                <w:rFonts w:ascii="Arial" w:cs="Arial" w:eastAsia="Arial" w:hAnsi="Arial"/>
                <w:sz w:val="18"/>
                <w:szCs w:val="18"/>
                <w:color w:val="auto"/>
              </w:rPr>
              <w:t>vesting conditions.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How We Benchmark Total Direct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ind w:left="40"/>
              <w:spacing w:after="0"/>
              <w:rPr>
                <w:sz w:val="20"/>
                <w:szCs w:val="20"/>
                <w:color w:val="auto"/>
              </w:rPr>
            </w:pPr>
            <w:r>
              <w:rPr>
                <w:rFonts w:ascii="Arial" w:cs="Arial" w:eastAsia="Arial" w:hAnsi="Arial"/>
                <w:sz w:val="18"/>
                <w:szCs w:val="18"/>
                <w:b w:val="1"/>
                <w:bCs w:val="1"/>
                <w:color w:val="auto"/>
              </w:rPr>
              <w:t>Primary Benchmark:</w:t>
            </w:r>
          </w:p>
        </w:tc>
        <w:tc>
          <w:tcPr>
            <w:tcW w:w="640" w:type="dxa"/>
            <w:vAlign w:val="bottom"/>
          </w:tcPr>
          <w:p>
            <w:pPr>
              <w:ind w:left="520"/>
              <w:spacing w:after="0"/>
              <w:rPr>
                <w:sz w:val="20"/>
                <w:szCs w:val="20"/>
                <w:color w:val="auto"/>
              </w:rPr>
            </w:pPr>
            <w:r>
              <w:rPr>
                <w:rFonts w:ascii="Arial" w:cs="Arial" w:eastAsia="Arial" w:hAnsi="Arial"/>
                <w:sz w:val="18"/>
                <w:szCs w:val="18"/>
                <w:color w:val="auto"/>
              </w:rPr>
              <w:t>•</w:t>
            </w:r>
          </w:p>
        </w:tc>
        <w:tc>
          <w:tcPr>
            <w:tcW w:w="8600" w:type="dxa"/>
            <w:vAlign w:val="bottom"/>
          </w:tcPr>
          <w:p>
            <w:pPr>
              <w:ind w:left="60"/>
              <w:spacing w:after="0"/>
              <w:rPr>
                <w:sz w:val="20"/>
                <w:szCs w:val="20"/>
                <w:color w:val="auto"/>
              </w:rPr>
            </w:pPr>
            <w:r>
              <w:rPr>
                <w:rFonts w:ascii="Arial" w:cs="Arial" w:eastAsia="Arial" w:hAnsi="Arial"/>
                <w:sz w:val="18"/>
                <w:szCs w:val="18"/>
                <w:color w:val="auto"/>
              </w:rPr>
              <w:t>Hay Group’s Industrial Executive Compensation Survey served as the Compensation Committee’s primary</w:t>
            </w:r>
          </w:p>
        </w:tc>
      </w:tr>
      <w:tr>
        <w:trPr>
          <w:trHeight w:val="203"/>
        </w:trPr>
        <w:tc>
          <w:tcPr>
            <w:tcW w:w="218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Revenue-Regressed</w:t>
            </w:r>
          </w:p>
        </w:tc>
        <w:tc>
          <w:tcPr>
            <w:tcW w:w="92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benchmark for setting the amount of executive compensation in 2017. References to “median range” are</w:t>
            </w:r>
          </w:p>
        </w:tc>
      </w:tr>
      <w:tr>
        <w:trPr>
          <w:trHeight w:val="203"/>
        </w:trPr>
        <w:tc>
          <w:tcPr>
            <w:tcW w:w="218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Hay Group Survey</w:t>
            </w:r>
          </w:p>
        </w:tc>
        <w:tc>
          <w:tcPr>
            <w:tcW w:w="92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references to this survey data.</w:t>
            </w:r>
          </w:p>
        </w:tc>
      </w:tr>
      <w:tr>
        <w:trPr>
          <w:trHeight w:val="225"/>
        </w:trPr>
        <w:tc>
          <w:tcPr>
            <w:tcW w:w="2180" w:type="dxa"/>
            <w:vAlign w:val="bottom"/>
          </w:tcPr>
          <w:p>
            <w:pPr>
              <w:ind w:left="40"/>
              <w:spacing w:after="0"/>
              <w:rPr>
                <w:sz w:val="20"/>
                <w:szCs w:val="20"/>
                <w:color w:val="auto"/>
              </w:rPr>
            </w:pPr>
            <w:r>
              <w:rPr>
                <w:rFonts w:ascii="Arial" w:cs="Arial" w:eastAsia="Arial" w:hAnsi="Arial"/>
                <w:sz w:val="18"/>
                <w:szCs w:val="18"/>
                <w:b w:val="1"/>
                <w:bCs w:val="1"/>
                <w:color w:val="auto"/>
              </w:rPr>
              <w:t>Data</w:t>
            </w:r>
          </w:p>
        </w:tc>
        <w:tc>
          <w:tcPr>
            <w:tcW w:w="9240" w:type="dxa"/>
            <w:vAlign w:val="bottom"/>
            <w:gridSpan w:val="2"/>
          </w:tcPr>
          <w:p>
            <w:pPr>
              <w:ind w:left="5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Hay Group applies revenue regression to the survey data to account for our company size relative to the</w:t>
            </w:r>
          </w:p>
        </w:tc>
      </w:tr>
      <w:tr>
        <w:trPr>
          <w:trHeight w:val="181"/>
        </w:trPr>
        <w:tc>
          <w:tcPr>
            <w:tcW w:w="2180" w:type="dxa"/>
            <w:vAlign w:val="bottom"/>
          </w:tcPr>
          <w:p>
            <w:pPr>
              <w:spacing w:after="0"/>
              <w:rPr>
                <w:sz w:val="15"/>
                <w:szCs w:val="15"/>
                <w:color w:val="auto"/>
              </w:rPr>
            </w:pPr>
          </w:p>
        </w:tc>
        <w:tc>
          <w:tcPr>
            <w:tcW w:w="9240" w:type="dxa"/>
            <w:vAlign w:val="bottom"/>
            <w:gridSpan w:val="2"/>
          </w:tcPr>
          <w:p>
            <w:pPr>
              <w:ind w:left="360"/>
              <w:spacing w:after="0" w:line="181" w:lineRule="exact"/>
              <w:rPr>
                <w:sz w:val="20"/>
                <w:szCs w:val="20"/>
                <w:color w:val="auto"/>
              </w:rPr>
            </w:pPr>
            <w:r>
              <w:rPr>
                <w:rFonts w:ascii="Arial" w:cs="Arial" w:eastAsia="Arial" w:hAnsi="Arial"/>
                <w:sz w:val="18"/>
                <w:szCs w:val="18"/>
                <w:color w:val="auto"/>
              </w:rPr>
              <w:t>organizations comprising the survey.</w:t>
            </w:r>
          </w:p>
        </w:tc>
      </w:tr>
      <w:tr>
        <w:trPr>
          <w:trHeight w:val="225"/>
        </w:trPr>
        <w:tc>
          <w:tcPr>
            <w:tcW w:w="2180" w:type="dxa"/>
            <w:vAlign w:val="bottom"/>
          </w:tcPr>
          <w:p>
            <w:pPr>
              <w:spacing w:after="0"/>
              <w:rPr>
                <w:sz w:val="19"/>
                <w:szCs w:val="19"/>
                <w:color w:val="auto"/>
              </w:rPr>
            </w:pPr>
          </w:p>
        </w:tc>
        <w:tc>
          <w:tcPr>
            <w:tcW w:w="640" w:type="dxa"/>
            <w:vAlign w:val="bottom"/>
          </w:tcPr>
          <w:p>
            <w:pPr>
              <w:ind w:left="520"/>
              <w:spacing w:after="0"/>
              <w:rPr>
                <w:sz w:val="20"/>
                <w:szCs w:val="20"/>
                <w:color w:val="auto"/>
              </w:rPr>
            </w:pPr>
            <w:r>
              <w:rPr>
                <w:rFonts w:ascii="Arial" w:cs="Arial" w:eastAsia="Arial" w:hAnsi="Arial"/>
                <w:sz w:val="18"/>
                <w:szCs w:val="18"/>
                <w:b w:val="1"/>
                <w:bCs w:val="1"/>
                <w:color w:val="auto"/>
              </w:rPr>
              <w:t>•</w:t>
            </w:r>
          </w:p>
        </w:tc>
        <w:tc>
          <w:tcPr>
            <w:tcW w:w="8600" w:type="dxa"/>
            <w:vAlign w:val="bottom"/>
          </w:tcPr>
          <w:p>
            <w:pPr>
              <w:ind w:left="60"/>
              <w:spacing w:after="0"/>
              <w:rPr>
                <w:sz w:val="20"/>
                <w:szCs w:val="20"/>
                <w:color w:val="auto"/>
              </w:rPr>
            </w:pPr>
            <w:r>
              <w:rPr>
                <w:rFonts w:ascii="Arial" w:cs="Arial" w:eastAsia="Arial" w:hAnsi="Arial"/>
                <w:sz w:val="18"/>
                <w:szCs w:val="18"/>
                <w:color w:val="auto"/>
              </w:rPr>
              <w:t>On an annual basis, Hay Group provides the Compensation Committee with an analysis comparing prior</w:t>
            </w:r>
          </w:p>
        </w:tc>
      </w:tr>
      <w:tr>
        <w:trPr>
          <w:trHeight w:val="203"/>
        </w:trPr>
        <w:tc>
          <w:tcPr>
            <w:tcW w:w="2180" w:type="dxa"/>
            <w:vAlign w:val="bottom"/>
          </w:tcPr>
          <w:p>
            <w:pPr>
              <w:spacing w:after="0"/>
              <w:rPr>
                <w:sz w:val="17"/>
                <w:szCs w:val="17"/>
                <w:color w:val="auto"/>
              </w:rPr>
            </w:pPr>
          </w:p>
        </w:tc>
        <w:tc>
          <w:tcPr>
            <w:tcW w:w="92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year executive target compensation to compensation for comparable positions at the 25th, 50th (median) and</w:t>
            </w:r>
          </w:p>
        </w:tc>
      </w:tr>
      <w:tr>
        <w:trPr>
          <w:trHeight w:val="203"/>
        </w:trPr>
        <w:tc>
          <w:tcPr>
            <w:tcW w:w="2180" w:type="dxa"/>
            <w:vAlign w:val="bottom"/>
          </w:tcPr>
          <w:p>
            <w:pPr>
              <w:spacing w:after="0"/>
              <w:rPr>
                <w:sz w:val="17"/>
                <w:szCs w:val="17"/>
                <w:color w:val="auto"/>
              </w:rPr>
            </w:pPr>
          </w:p>
        </w:tc>
        <w:tc>
          <w:tcPr>
            <w:tcW w:w="92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75th percentiles using Hay Group survey data and, as applicable, data from public company proxy statements.</w:t>
            </w:r>
          </w:p>
        </w:tc>
      </w:tr>
      <w:tr>
        <w:trPr>
          <w:trHeight w:val="203"/>
        </w:trPr>
        <w:tc>
          <w:tcPr>
            <w:tcW w:w="2180" w:type="dxa"/>
            <w:vAlign w:val="bottom"/>
          </w:tcPr>
          <w:p>
            <w:pPr>
              <w:spacing w:after="0"/>
              <w:rPr>
                <w:sz w:val="17"/>
                <w:szCs w:val="17"/>
                <w:color w:val="auto"/>
              </w:rPr>
            </w:pPr>
          </w:p>
        </w:tc>
        <w:tc>
          <w:tcPr>
            <w:tcW w:w="640" w:type="dxa"/>
            <w:vAlign w:val="bottom"/>
          </w:tcPr>
          <w:p>
            <w:pPr>
              <w:ind w:left="520"/>
              <w:spacing w:after="0" w:line="202" w:lineRule="exact"/>
              <w:rPr>
                <w:sz w:val="20"/>
                <w:szCs w:val="20"/>
                <w:color w:val="auto"/>
              </w:rPr>
            </w:pPr>
            <w:r>
              <w:rPr>
                <w:rFonts w:ascii="Arial" w:cs="Arial" w:eastAsia="Arial" w:hAnsi="Arial"/>
                <w:sz w:val="18"/>
                <w:szCs w:val="18"/>
                <w:color w:val="auto"/>
              </w:rPr>
              <w:t>•</w:t>
            </w:r>
          </w:p>
        </w:tc>
        <w:tc>
          <w:tcPr>
            <w:tcW w:w="8600" w:type="dxa"/>
            <w:vAlign w:val="bottom"/>
          </w:tcPr>
          <w:p>
            <w:pPr>
              <w:ind w:left="60"/>
              <w:spacing w:after="0" w:line="202" w:lineRule="exact"/>
              <w:rPr>
                <w:sz w:val="20"/>
                <w:szCs w:val="20"/>
                <w:color w:val="auto"/>
              </w:rPr>
            </w:pPr>
            <w:r>
              <w:rPr>
                <w:rFonts w:ascii="Arial" w:cs="Arial" w:eastAsia="Arial" w:hAnsi="Arial"/>
                <w:sz w:val="18"/>
                <w:szCs w:val="18"/>
                <w:color w:val="auto"/>
              </w:rPr>
              <w:t>This survey represented Hay Group’s proprietary annual compensation survey tracking 2016 executive</w:t>
            </w:r>
          </w:p>
        </w:tc>
      </w:tr>
      <w:tr>
        <w:trPr>
          <w:trHeight w:val="203"/>
        </w:trPr>
        <w:tc>
          <w:tcPr>
            <w:tcW w:w="2180" w:type="dxa"/>
            <w:vAlign w:val="bottom"/>
          </w:tcPr>
          <w:p>
            <w:pPr>
              <w:spacing w:after="0"/>
              <w:rPr>
                <w:sz w:val="17"/>
                <w:szCs w:val="17"/>
                <w:color w:val="auto"/>
              </w:rPr>
            </w:pPr>
          </w:p>
        </w:tc>
        <w:tc>
          <w:tcPr>
            <w:tcW w:w="92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compensation from over 300 general industry organizations.</w:t>
            </w:r>
          </w:p>
        </w:tc>
      </w:tr>
      <w:tr>
        <w:trPr>
          <w:trHeight w:val="203"/>
        </w:trPr>
        <w:tc>
          <w:tcPr>
            <w:tcW w:w="2180" w:type="dxa"/>
            <w:vAlign w:val="bottom"/>
          </w:tcPr>
          <w:p>
            <w:pPr>
              <w:spacing w:after="0"/>
              <w:rPr>
                <w:sz w:val="17"/>
                <w:szCs w:val="17"/>
                <w:color w:val="auto"/>
              </w:rPr>
            </w:pPr>
          </w:p>
        </w:tc>
        <w:tc>
          <w:tcPr>
            <w:tcW w:w="9240" w:type="dxa"/>
            <w:vAlign w:val="bottom"/>
            <w:gridSpan w:val="2"/>
          </w:tcPr>
          <w:p>
            <w:pPr>
              <w:ind w:left="520"/>
              <w:spacing w:after="0" w:line="202" w:lineRule="exact"/>
              <w:rPr>
                <w:sz w:val="20"/>
                <w:szCs w:val="20"/>
                <w:color w:val="auto"/>
              </w:rPr>
            </w:pPr>
            <w:r>
              <w:rPr>
                <w:rFonts w:ascii="Arial" w:cs="Arial" w:eastAsia="Arial" w:hAnsi="Arial"/>
                <w:sz w:val="18"/>
                <w:szCs w:val="18"/>
                <w:color w:val="auto"/>
              </w:rPr>
              <w:t>• The component companies comprising the 2016 Hay Group survey are determined by Hay Group without</w:t>
            </w:r>
          </w:p>
        </w:tc>
      </w:tr>
      <w:tr>
        <w:trPr>
          <w:trHeight w:val="224"/>
        </w:trPr>
        <w:tc>
          <w:tcPr>
            <w:tcW w:w="2180" w:type="dxa"/>
            <w:vAlign w:val="bottom"/>
            <w:tcBorders>
              <w:bottom w:val="single" w:sz="8" w:color="auto"/>
            </w:tcBorders>
          </w:tcPr>
          <w:p>
            <w:pPr>
              <w:spacing w:after="0"/>
              <w:rPr>
                <w:sz w:val="19"/>
                <w:szCs w:val="19"/>
                <w:color w:val="auto"/>
              </w:rPr>
            </w:pPr>
          </w:p>
        </w:tc>
        <w:tc>
          <w:tcPr>
            <w:tcW w:w="924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input from the Compensation Committee.</w:t>
            </w:r>
          </w:p>
        </w:tc>
      </w:tr>
      <w:tr>
        <w:trPr>
          <w:trHeight w:val="207"/>
        </w:trPr>
        <w:tc>
          <w:tcPr>
            <w:tcW w:w="2180" w:type="dxa"/>
            <w:vAlign w:val="bottom"/>
          </w:tcPr>
          <w:p>
            <w:pPr>
              <w:ind w:left="40"/>
              <w:spacing w:after="0"/>
              <w:rPr>
                <w:sz w:val="20"/>
                <w:szCs w:val="20"/>
                <w:color w:val="auto"/>
              </w:rPr>
            </w:pPr>
            <w:r>
              <w:rPr>
                <w:rFonts w:ascii="Arial" w:cs="Arial" w:eastAsia="Arial" w:hAnsi="Arial"/>
                <w:sz w:val="18"/>
                <w:szCs w:val="18"/>
                <w:b w:val="1"/>
                <w:bCs w:val="1"/>
                <w:color w:val="auto"/>
              </w:rPr>
              <w:t>Secondary</w:t>
            </w:r>
          </w:p>
        </w:tc>
        <w:tc>
          <w:tcPr>
            <w:tcW w:w="640" w:type="dxa"/>
            <w:vAlign w:val="bottom"/>
          </w:tcPr>
          <w:p>
            <w:pPr>
              <w:ind w:left="520"/>
              <w:spacing w:after="0"/>
              <w:rPr>
                <w:sz w:val="20"/>
                <w:szCs w:val="20"/>
                <w:color w:val="auto"/>
              </w:rPr>
            </w:pPr>
            <w:r>
              <w:rPr>
                <w:rFonts w:ascii="Arial" w:cs="Arial" w:eastAsia="Arial" w:hAnsi="Arial"/>
                <w:sz w:val="18"/>
                <w:szCs w:val="18"/>
                <w:b w:val="1"/>
                <w:bCs w:val="1"/>
                <w:i w:val="1"/>
                <w:iCs w:val="1"/>
                <w:color w:val="auto"/>
              </w:rPr>
              <w:t>•</w:t>
            </w:r>
          </w:p>
        </w:tc>
        <w:tc>
          <w:tcPr>
            <w:tcW w:w="8600" w:type="dxa"/>
            <w:vAlign w:val="bottom"/>
          </w:tcPr>
          <w:p>
            <w:pPr>
              <w:ind w:left="60"/>
              <w:spacing w:after="0"/>
              <w:rPr>
                <w:sz w:val="20"/>
                <w:szCs w:val="20"/>
                <w:color w:val="auto"/>
              </w:rPr>
            </w:pPr>
            <w:r>
              <w:rPr>
                <w:rFonts w:ascii="Arial" w:cs="Arial" w:eastAsia="Arial" w:hAnsi="Arial"/>
                <w:sz w:val="18"/>
                <w:szCs w:val="18"/>
                <w:color w:val="auto"/>
              </w:rPr>
              <w:t>Proxy data from our custom peer group serves as a secondary, supplemental benchmark to the Hay Group</w:t>
            </w:r>
          </w:p>
        </w:tc>
      </w:tr>
      <w:tr>
        <w:trPr>
          <w:trHeight w:val="203"/>
        </w:trPr>
        <w:tc>
          <w:tcPr>
            <w:tcW w:w="218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Benchmark:</w:t>
            </w:r>
          </w:p>
        </w:tc>
        <w:tc>
          <w:tcPr>
            <w:tcW w:w="92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Survey Data.</w:t>
            </w:r>
          </w:p>
        </w:tc>
      </w:tr>
      <w:tr>
        <w:trPr>
          <w:trHeight w:val="203"/>
        </w:trPr>
        <w:tc>
          <w:tcPr>
            <w:tcW w:w="218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Custom Peer Group</w:t>
            </w:r>
          </w:p>
        </w:tc>
        <w:tc>
          <w:tcPr>
            <w:tcW w:w="640" w:type="dxa"/>
            <w:vAlign w:val="bottom"/>
          </w:tcPr>
          <w:p>
            <w:pPr>
              <w:ind w:left="520"/>
              <w:spacing w:after="0" w:line="202" w:lineRule="exact"/>
              <w:rPr>
                <w:sz w:val="20"/>
                <w:szCs w:val="20"/>
                <w:color w:val="auto"/>
              </w:rPr>
            </w:pPr>
            <w:r>
              <w:rPr>
                <w:rFonts w:ascii="Arial" w:cs="Arial" w:eastAsia="Arial" w:hAnsi="Arial"/>
                <w:sz w:val="18"/>
                <w:szCs w:val="18"/>
                <w:b w:val="1"/>
                <w:bCs w:val="1"/>
                <w:i w:val="1"/>
                <w:iCs w:val="1"/>
                <w:color w:val="auto"/>
              </w:rPr>
              <w:t>•</w:t>
            </w:r>
          </w:p>
        </w:tc>
        <w:tc>
          <w:tcPr>
            <w:tcW w:w="8600" w:type="dxa"/>
            <w:vAlign w:val="bottom"/>
          </w:tcPr>
          <w:p>
            <w:pPr>
              <w:ind w:left="60"/>
              <w:spacing w:after="0" w:line="202" w:lineRule="exact"/>
              <w:rPr>
                <w:sz w:val="20"/>
                <w:szCs w:val="20"/>
                <w:color w:val="auto"/>
              </w:rPr>
            </w:pPr>
            <w:r>
              <w:rPr>
                <w:rFonts w:ascii="Arial" w:cs="Arial" w:eastAsia="Arial" w:hAnsi="Arial"/>
                <w:sz w:val="18"/>
                <w:szCs w:val="18"/>
                <w:color w:val="auto"/>
              </w:rPr>
              <w:t>For our committee’s 2017 executive compensation review, this group consisted of 18 companies with</w:t>
            </w:r>
          </w:p>
        </w:tc>
      </w:tr>
      <w:tr>
        <w:trPr>
          <w:trHeight w:val="225"/>
        </w:trPr>
        <w:tc>
          <w:tcPr>
            <w:tcW w:w="2180" w:type="dxa"/>
            <w:vAlign w:val="bottom"/>
          </w:tcPr>
          <w:p>
            <w:pPr>
              <w:ind w:left="40"/>
              <w:spacing w:after="0"/>
              <w:rPr>
                <w:sz w:val="20"/>
                <w:szCs w:val="20"/>
                <w:color w:val="auto"/>
              </w:rPr>
            </w:pPr>
            <w:r>
              <w:rPr>
                <w:rFonts w:ascii="Arial" w:cs="Arial" w:eastAsia="Arial" w:hAnsi="Arial"/>
                <w:sz w:val="18"/>
                <w:szCs w:val="18"/>
                <w:b w:val="1"/>
                <w:bCs w:val="1"/>
                <w:color w:val="auto"/>
              </w:rPr>
              <w:t>Proxy Data</w:t>
            </w:r>
          </w:p>
        </w:tc>
        <w:tc>
          <w:tcPr>
            <w:tcW w:w="9240" w:type="dxa"/>
            <w:vAlign w:val="bottom"/>
            <w:gridSpan w:val="2"/>
          </w:tcPr>
          <w:p>
            <w:pPr>
              <w:ind w:left="360"/>
              <w:spacing w:after="0"/>
              <w:rPr>
                <w:sz w:val="20"/>
                <w:szCs w:val="20"/>
                <w:color w:val="auto"/>
              </w:rPr>
            </w:pPr>
            <w:r>
              <w:rPr>
                <w:rFonts w:ascii="Arial" w:cs="Arial" w:eastAsia="Arial" w:hAnsi="Arial"/>
                <w:sz w:val="18"/>
                <w:szCs w:val="18"/>
                <w:color w:val="auto"/>
              </w:rPr>
              <w:t>whom we compete for executive talent from the aerospace and defense industry. The companies comprising</w:t>
            </w:r>
          </w:p>
        </w:tc>
      </w:tr>
      <w:tr>
        <w:trPr>
          <w:trHeight w:val="203"/>
        </w:trPr>
        <w:tc>
          <w:tcPr>
            <w:tcW w:w="2180" w:type="dxa"/>
            <w:vAlign w:val="bottom"/>
          </w:tcPr>
          <w:p>
            <w:pPr>
              <w:spacing w:after="0"/>
              <w:rPr>
                <w:sz w:val="17"/>
                <w:szCs w:val="17"/>
                <w:color w:val="auto"/>
              </w:rPr>
            </w:pPr>
          </w:p>
        </w:tc>
        <w:tc>
          <w:tcPr>
            <w:tcW w:w="92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our custom peer group for 2017 are listed at the end of this CD&amp;A.</w:t>
            </w:r>
          </w:p>
        </w:tc>
      </w:tr>
      <w:tr>
        <w:trPr>
          <w:trHeight w:val="203"/>
        </w:trPr>
        <w:tc>
          <w:tcPr>
            <w:tcW w:w="2180" w:type="dxa"/>
            <w:vAlign w:val="bottom"/>
          </w:tcPr>
          <w:p>
            <w:pPr>
              <w:spacing w:after="0"/>
              <w:rPr>
                <w:sz w:val="17"/>
                <w:szCs w:val="17"/>
                <w:color w:val="auto"/>
              </w:rPr>
            </w:pPr>
          </w:p>
        </w:tc>
        <w:tc>
          <w:tcPr>
            <w:tcW w:w="640" w:type="dxa"/>
            <w:vAlign w:val="bottom"/>
          </w:tcPr>
          <w:p>
            <w:pPr>
              <w:ind w:left="520"/>
              <w:spacing w:after="0" w:line="202" w:lineRule="exact"/>
              <w:rPr>
                <w:sz w:val="20"/>
                <w:szCs w:val="20"/>
                <w:color w:val="auto"/>
              </w:rPr>
            </w:pPr>
            <w:r>
              <w:rPr>
                <w:rFonts w:ascii="Arial" w:cs="Arial" w:eastAsia="Arial" w:hAnsi="Arial"/>
                <w:sz w:val="18"/>
                <w:szCs w:val="18"/>
                <w:color w:val="auto"/>
              </w:rPr>
              <w:t>•</w:t>
            </w:r>
          </w:p>
        </w:tc>
        <w:tc>
          <w:tcPr>
            <w:tcW w:w="8600" w:type="dxa"/>
            <w:vAlign w:val="bottom"/>
          </w:tcPr>
          <w:p>
            <w:pPr>
              <w:ind w:left="60"/>
              <w:spacing w:after="0" w:line="202" w:lineRule="exact"/>
              <w:rPr>
                <w:sz w:val="20"/>
                <w:szCs w:val="20"/>
                <w:color w:val="auto"/>
              </w:rPr>
            </w:pPr>
            <w:r>
              <w:rPr>
                <w:rFonts w:ascii="Arial" w:cs="Arial" w:eastAsia="Arial" w:hAnsi="Arial"/>
                <w:sz w:val="18"/>
                <w:szCs w:val="18"/>
                <w:color w:val="auto"/>
              </w:rPr>
              <w:t>Compensation information from this group represented the actual, non-regressed 2015 compensation</w:t>
            </w:r>
          </w:p>
        </w:tc>
      </w:tr>
      <w:tr>
        <w:trPr>
          <w:trHeight w:val="203"/>
        </w:trPr>
        <w:tc>
          <w:tcPr>
            <w:tcW w:w="2180" w:type="dxa"/>
            <w:vAlign w:val="bottom"/>
          </w:tcPr>
          <w:p>
            <w:pPr>
              <w:spacing w:after="0"/>
              <w:rPr>
                <w:sz w:val="17"/>
                <w:szCs w:val="17"/>
                <w:color w:val="auto"/>
              </w:rPr>
            </w:pPr>
          </w:p>
        </w:tc>
        <w:tc>
          <w:tcPr>
            <w:tcW w:w="92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reported in 2016 publicly available Securities and Exchange Commission filings.</w:t>
            </w:r>
          </w:p>
        </w:tc>
      </w:tr>
      <w:tr>
        <w:trPr>
          <w:trHeight w:val="203"/>
        </w:trPr>
        <w:tc>
          <w:tcPr>
            <w:tcW w:w="2180" w:type="dxa"/>
            <w:vAlign w:val="bottom"/>
          </w:tcPr>
          <w:p>
            <w:pPr>
              <w:spacing w:after="0"/>
              <w:rPr>
                <w:sz w:val="17"/>
                <w:szCs w:val="17"/>
                <w:color w:val="auto"/>
              </w:rPr>
            </w:pPr>
          </w:p>
        </w:tc>
        <w:tc>
          <w:tcPr>
            <w:tcW w:w="9240" w:type="dxa"/>
            <w:vAlign w:val="bottom"/>
            <w:gridSpan w:val="2"/>
          </w:tcPr>
          <w:p>
            <w:pPr>
              <w:ind w:left="520"/>
              <w:spacing w:after="0" w:line="202" w:lineRule="exact"/>
              <w:rPr>
                <w:sz w:val="20"/>
                <w:szCs w:val="20"/>
                <w:color w:val="auto"/>
              </w:rPr>
            </w:pPr>
            <w:r>
              <w:rPr>
                <w:rFonts w:ascii="Arial" w:cs="Arial" w:eastAsia="Arial" w:hAnsi="Arial"/>
                <w:sz w:val="18"/>
                <w:szCs w:val="18"/>
                <w:color w:val="auto"/>
              </w:rPr>
              <w:t>• Because we compete with the custom peer companies for executive talent, the Compensation Committee</w:t>
            </w:r>
          </w:p>
        </w:tc>
      </w:tr>
      <w:tr>
        <w:trPr>
          <w:trHeight w:val="203"/>
        </w:trPr>
        <w:tc>
          <w:tcPr>
            <w:tcW w:w="2180" w:type="dxa"/>
            <w:vAlign w:val="bottom"/>
          </w:tcPr>
          <w:p>
            <w:pPr>
              <w:spacing w:after="0"/>
              <w:rPr>
                <w:sz w:val="17"/>
                <w:szCs w:val="17"/>
                <w:color w:val="auto"/>
              </w:rPr>
            </w:pPr>
          </w:p>
        </w:tc>
        <w:tc>
          <w:tcPr>
            <w:tcW w:w="92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reviewed the applicable proxy data when setting target compensation for our Named Executives, but it was not</w:t>
            </w:r>
          </w:p>
        </w:tc>
      </w:tr>
      <w:tr>
        <w:trPr>
          <w:trHeight w:val="203"/>
        </w:trPr>
        <w:tc>
          <w:tcPr>
            <w:tcW w:w="2180" w:type="dxa"/>
            <w:vAlign w:val="bottom"/>
          </w:tcPr>
          <w:p>
            <w:pPr>
              <w:spacing w:after="0"/>
              <w:rPr>
                <w:sz w:val="17"/>
                <w:szCs w:val="17"/>
                <w:color w:val="auto"/>
              </w:rPr>
            </w:pPr>
          </w:p>
        </w:tc>
        <w:tc>
          <w:tcPr>
            <w:tcW w:w="92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weighted in the determination of median compensation, except to the extent any of the Company’s custom</w:t>
            </w:r>
          </w:p>
        </w:tc>
      </w:tr>
      <w:tr>
        <w:trPr>
          <w:trHeight w:val="203"/>
        </w:trPr>
        <w:tc>
          <w:tcPr>
            <w:tcW w:w="2180" w:type="dxa"/>
            <w:vAlign w:val="bottom"/>
          </w:tcPr>
          <w:p>
            <w:pPr>
              <w:spacing w:after="0"/>
              <w:rPr>
                <w:sz w:val="17"/>
                <w:szCs w:val="17"/>
                <w:color w:val="auto"/>
              </w:rPr>
            </w:pPr>
          </w:p>
        </w:tc>
        <w:tc>
          <w:tcPr>
            <w:tcW w:w="92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peer companies were also a component company in Hay Group’s Industrial Executive Compensation Survey.</w:t>
            </w:r>
          </w:p>
        </w:tc>
      </w:tr>
      <w:tr>
        <w:trPr>
          <w:trHeight w:val="203"/>
        </w:trPr>
        <w:tc>
          <w:tcPr>
            <w:tcW w:w="2180" w:type="dxa"/>
            <w:vAlign w:val="bottom"/>
          </w:tcPr>
          <w:p>
            <w:pPr>
              <w:spacing w:after="0"/>
              <w:rPr>
                <w:sz w:val="17"/>
                <w:szCs w:val="17"/>
                <w:color w:val="auto"/>
              </w:rPr>
            </w:pPr>
          </w:p>
        </w:tc>
        <w:tc>
          <w:tcPr>
            <w:tcW w:w="640" w:type="dxa"/>
            <w:vAlign w:val="bottom"/>
          </w:tcPr>
          <w:p>
            <w:pPr>
              <w:ind w:left="520"/>
              <w:spacing w:after="0" w:line="202" w:lineRule="exact"/>
              <w:rPr>
                <w:sz w:val="20"/>
                <w:szCs w:val="20"/>
                <w:color w:val="auto"/>
              </w:rPr>
            </w:pPr>
            <w:r>
              <w:rPr>
                <w:rFonts w:ascii="Arial" w:cs="Arial" w:eastAsia="Arial" w:hAnsi="Arial"/>
                <w:sz w:val="18"/>
                <w:szCs w:val="18"/>
                <w:color w:val="auto"/>
              </w:rPr>
              <w:t>•</w:t>
            </w:r>
          </w:p>
        </w:tc>
        <w:tc>
          <w:tcPr>
            <w:tcW w:w="8600" w:type="dxa"/>
            <w:vAlign w:val="bottom"/>
          </w:tcPr>
          <w:p>
            <w:pPr>
              <w:ind w:left="60"/>
              <w:spacing w:after="0" w:line="202" w:lineRule="exact"/>
              <w:rPr>
                <w:sz w:val="20"/>
                <w:szCs w:val="20"/>
                <w:color w:val="auto"/>
              </w:rPr>
            </w:pPr>
            <w:r>
              <w:rPr>
                <w:rFonts w:ascii="Arial" w:cs="Arial" w:eastAsia="Arial" w:hAnsi="Arial"/>
                <w:sz w:val="18"/>
                <w:szCs w:val="18"/>
                <w:color w:val="auto"/>
              </w:rPr>
              <w:t>The committee also utilizes the custom peer group to benchmark the design of our incentive</w:t>
            </w:r>
          </w:p>
        </w:tc>
      </w:tr>
    </w:tbl>
    <w:p>
      <w:pPr>
        <w:ind w:left="2540"/>
        <w:spacing w:after="0"/>
        <w:rPr>
          <w:sz w:val="20"/>
          <w:szCs w:val="20"/>
          <w:color w:val="auto"/>
        </w:rPr>
      </w:pPr>
      <w:r>
        <w:rPr>
          <w:rFonts w:ascii="Arial" w:cs="Arial" w:eastAsia="Arial" w:hAnsi="Arial"/>
          <w:sz w:val="18"/>
          <w:szCs w:val="18"/>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2C2C2C"/>
        </w:rPr>
        <w:t xml:space="preserve">30 </w:t>
      </w:r>
      <w:r>
        <w:rPr>
          <w:sz w:val="1"/>
          <w:szCs w:val="1"/>
          <w:color w:val="auto"/>
        </w:rPr>
        <w:drawing>
          <wp:inline distT="0" distB="0" distL="0" distR="0">
            <wp:extent cx="445770" cy="18034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45770" cy="180340"/>
                    </a:xfrm>
                    <a:prstGeom prst="rect">
                      <a:avLst/>
                    </a:prstGeom>
                    <a:noFill/>
                    <a:ln>
                      <a:noFill/>
                    </a:ln>
                  </pic:spPr>
                </pic:pic>
              </a:graphicData>
            </a:graphic>
          </wp:inline>
        </w:drawing>
      </w:r>
      <w:r>
        <w:rPr>
          <w:rFonts w:ascii="Arial" w:cs="Arial" w:eastAsia="Arial" w:hAnsi="Arial"/>
          <w:sz w:val="18"/>
          <w:szCs w:val="18"/>
          <w:color w:val="auto"/>
        </w:rPr>
        <w:t xml:space="preserve"> 2018 PROXY STATEMENT</w:t>
      </w:r>
    </w:p>
    <w:p>
      <w:pPr>
        <w:sectPr>
          <w:pgSz w:w="11900" w:h="16838" w:orient="portrait"/>
          <w:cols w:equalWidth="0" w:num="1">
            <w:col w:w="11420"/>
          </w:cols>
          <w:pgMar w:left="240" w:top="125" w:right="239" w:bottom="1440" w:gutter="0" w:footer="0" w:header="0"/>
        </w:sectPr>
      </w:pPr>
    </w:p>
    <w:bookmarkStart w:id="39" w:name="page40"/>
    <w:bookmarkEnd w:id="39"/>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960"/>
        <w:spacing w:after="0"/>
        <w:rPr>
          <w:sz w:val="20"/>
          <w:szCs w:val="20"/>
          <w:color w:val="auto"/>
        </w:rPr>
      </w:pPr>
      <w:r>
        <w:rPr>
          <w:rFonts w:ascii="Arial" w:cs="Arial" w:eastAsia="Arial" w:hAnsi="Arial"/>
          <w:sz w:val="14"/>
          <w:szCs w:val="14"/>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3: COMPENSATION ANALYSIS AND OUTCOMES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TARGET TOTAL DIRECT COMPENSATION OVERVIEW</w:t>
      </w:r>
    </w:p>
    <w:p>
      <w:pPr>
        <w:spacing w:after="0" w:line="112"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The chart below shows the 2017 target total direct compensation for each Named Executive. Except for Mr. Geveden and Mr. Canafax, the 2017 target total direct compensation for each of our Named Executives was within the survey range applicable to the executive.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TARGET TOTAL DIRECT COMPENSATION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40" w:type="dxa"/>
            <w:vAlign w:val="bottom"/>
            <w:shd w:val="clear" w:color="auto" w:fill="525252"/>
          </w:tcPr>
          <w:p>
            <w:pPr>
              <w:spacing w:after="0"/>
              <w:rPr>
                <w:sz w:val="15"/>
                <w:szCs w:val="15"/>
                <w:color w:val="auto"/>
              </w:rPr>
            </w:pPr>
          </w:p>
        </w:tc>
        <w:tc>
          <w:tcPr>
            <w:tcW w:w="2340" w:type="dxa"/>
            <w:vAlign w:val="bottom"/>
            <w:shd w:val="clear" w:color="auto" w:fill="525252"/>
          </w:tcPr>
          <w:p>
            <w:pPr>
              <w:jc w:val="center"/>
              <w:ind w:left="217"/>
              <w:spacing w:after="0"/>
              <w:rPr>
                <w:sz w:val="20"/>
                <w:szCs w:val="20"/>
                <w:color w:val="auto"/>
              </w:rPr>
            </w:pPr>
            <w:r>
              <w:rPr>
                <w:rFonts w:ascii="Arial" w:cs="Arial" w:eastAsia="Arial" w:hAnsi="Arial"/>
                <w:sz w:val="14"/>
                <w:szCs w:val="14"/>
                <w:b w:val="1"/>
                <w:bCs w:val="1"/>
                <w:color w:val="FFFFFF"/>
              </w:rPr>
              <w:t>Annual</w:t>
            </w:r>
          </w:p>
        </w:tc>
        <w:tc>
          <w:tcPr>
            <w:tcW w:w="1920" w:type="dxa"/>
            <w:vAlign w:val="bottom"/>
            <w:shd w:val="clear" w:color="auto" w:fill="525252"/>
          </w:tcPr>
          <w:p>
            <w:pPr>
              <w:jc w:val="center"/>
              <w:spacing w:after="0"/>
              <w:rPr>
                <w:sz w:val="20"/>
                <w:szCs w:val="20"/>
                <w:color w:val="auto"/>
              </w:rPr>
            </w:pPr>
            <w:r>
              <w:rPr>
                <w:rFonts w:ascii="Arial" w:cs="Arial" w:eastAsia="Arial" w:hAnsi="Arial"/>
                <w:sz w:val="14"/>
                <w:szCs w:val="14"/>
                <w:b w:val="1"/>
                <w:bCs w:val="1"/>
                <w:color w:val="FFFFFF"/>
              </w:rPr>
              <w:t>Annual</w:t>
            </w:r>
          </w:p>
        </w:tc>
        <w:tc>
          <w:tcPr>
            <w:tcW w:w="2000" w:type="dxa"/>
            <w:vAlign w:val="bottom"/>
            <w:shd w:val="clear" w:color="auto" w:fill="525252"/>
          </w:tcPr>
          <w:p>
            <w:pPr>
              <w:jc w:val="center"/>
              <w:ind w:left="17"/>
              <w:spacing w:after="0"/>
              <w:rPr>
                <w:sz w:val="20"/>
                <w:szCs w:val="20"/>
                <w:color w:val="auto"/>
              </w:rPr>
            </w:pPr>
            <w:r>
              <w:rPr>
                <w:rFonts w:ascii="Arial" w:cs="Arial" w:eastAsia="Arial" w:hAnsi="Arial"/>
                <w:sz w:val="14"/>
                <w:szCs w:val="14"/>
                <w:b w:val="1"/>
                <w:bCs w:val="1"/>
                <w:color w:val="FFFFFF"/>
              </w:rPr>
              <w:t>Long-Term</w:t>
            </w:r>
          </w:p>
        </w:tc>
        <w:tc>
          <w:tcPr>
            <w:tcW w:w="2280" w:type="dxa"/>
            <w:vAlign w:val="bottom"/>
            <w:shd w:val="clear" w:color="auto" w:fill="525252"/>
          </w:tcPr>
          <w:p>
            <w:pPr>
              <w:jc w:val="center"/>
              <w:spacing w:after="0"/>
              <w:rPr>
                <w:sz w:val="20"/>
                <w:szCs w:val="20"/>
                <w:color w:val="auto"/>
              </w:rPr>
            </w:pPr>
            <w:r>
              <w:rPr>
                <w:rFonts w:ascii="Arial" w:cs="Arial" w:eastAsia="Arial" w:hAnsi="Arial"/>
                <w:sz w:val="14"/>
                <w:szCs w:val="14"/>
                <w:b w:val="1"/>
                <w:bCs w:val="1"/>
                <w:color w:val="FFFFFF"/>
              </w:rPr>
              <w:t>Target Total Direct</w:t>
            </w:r>
          </w:p>
        </w:tc>
      </w:tr>
      <w:tr>
        <w:trPr>
          <w:trHeight w:val="162"/>
        </w:trPr>
        <w:tc>
          <w:tcPr>
            <w:tcW w:w="2440" w:type="dxa"/>
            <w:vAlign w:val="bottom"/>
            <w:shd w:val="clear" w:color="auto" w:fill="525252"/>
          </w:tcPr>
          <w:p>
            <w:pPr>
              <w:spacing w:after="0"/>
              <w:rPr>
                <w:sz w:val="14"/>
                <w:szCs w:val="14"/>
                <w:color w:val="auto"/>
              </w:rPr>
            </w:pPr>
          </w:p>
        </w:tc>
        <w:tc>
          <w:tcPr>
            <w:tcW w:w="2340" w:type="dxa"/>
            <w:vAlign w:val="bottom"/>
            <w:shd w:val="clear" w:color="auto" w:fill="525252"/>
          </w:tcPr>
          <w:p>
            <w:pPr>
              <w:jc w:val="center"/>
              <w:ind w:left="197"/>
              <w:spacing w:after="0"/>
              <w:rPr>
                <w:sz w:val="20"/>
                <w:szCs w:val="20"/>
                <w:color w:val="auto"/>
              </w:rPr>
            </w:pPr>
            <w:r>
              <w:rPr>
                <w:rFonts w:ascii="Arial" w:cs="Arial" w:eastAsia="Arial" w:hAnsi="Arial"/>
                <w:sz w:val="14"/>
                <w:szCs w:val="14"/>
                <w:b w:val="1"/>
                <w:bCs w:val="1"/>
                <w:color w:val="FFFFFF"/>
              </w:rPr>
              <w:t>Base Salary</w:t>
            </w:r>
          </w:p>
        </w:tc>
        <w:tc>
          <w:tcPr>
            <w:tcW w:w="1920" w:type="dxa"/>
            <w:vAlign w:val="bottom"/>
            <w:shd w:val="clear" w:color="auto" w:fill="525252"/>
          </w:tcPr>
          <w:p>
            <w:pPr>
              <w:jc w:val="center"/>
              <w:spacing w:after="0"/>
              <w:rPr>
                <w:sz w:val="20"/>
                <w:szCs w:val="20"/>
                <w:color w:val="auto"/>
              </w:rPr>
            </w:pPr>
            <w:r>
              <w:rPr>
                <w:rFonts w:ascii="Arial" w:cs="Arial" w:eastAsia="Arial" w:hAnsi="Arial"/>
                <w:sz w:val="14"/>
                <w:szCs w:val="14"/>
                <w:b w:val="1"/>
                <w:bCs w:val="1"/>
                <w:color w:val="FFFFFF"/>
              </w:rPr>
              <w:t>Incentive</w:t>
            </w:r>
          </w:p>
        </w:tc>
        <w:tc>
          <w:tcPr>
            <w:tcW w:w="2000" w:type="dxa"/>
            <w:vAlign w:val="bottom"/>
            <w:shd w:val="clear" w:color="auto" w:fill="525252"/>
          </w:tcPr>
          <w:p>
            <w:pPr>
              <w:jc w:val="center"/>
              <w:ind w:left="17"/>
              <w:spacing w:after="0"/>
              <w:rPr>
                <w:sz w:val="20"/>
                <w:szCs w:val="20"/>
                <w:color w:val="auto"/>
              </w:rPr>
            </w:pPr>
            <w:r>
              <w:rPr>
                <w:rFonts w:ascii="Arial" w:cs="Arial" w:eastAsia="Arial" w:hAnsi="Arial"/>
                <w:sz w:val="14"/>
                <w:szCs w:val="14"/>
                <w:b w:val="1"/>
                <w:bCs w:val="1"/>
                <w:color w:val="FFFFFF"/>
              </w:rPr>
              <w:t>Incentive</w:t>
            </w:r>
          </w:p>
        </w:tc>
        <w:tc>
          <w:tcPr>
            <w:tcW w:w="2280" w:type="dxa"/>
            <w:vAlign w:val="bottom"/>
            <w:shd w:val="clear" w:color="auto" w:fill="525252"/>
          </w:tcPr>
          <w:p>
            <w:pPr>
              <w:jc w:val="center"/>
              <w:spacing w:after="0"/>
              <w:rPr>
                <w:sz w:val="20"/>
                <w:szCs w:val="20"/>
                <w:color w:val="auto"/>
              </w:rPr>
            </w:pPr>
            <w:r>
              <w:rPr>
                <w:rFonts w:ascii="Arial" w:cs="Arial" w:eastAsia="Arial" w:hAnsi="Arial"/>
                <w:sz w:val="14"/>
                <w:szCs w:val="14"/>
                <w:b w:val="1"/>
                <w:bCs w:val="1"/>
                <w:color w:val="FFFFFF"/>
              </w:rPr>
              <w:t>Compensation</w:t>
            </w:r>
          </w:p>
        </w:tc>
      </w:tr>
      <w:tr>
        <w:trPr>
          <w:trHeight w:val="202"/>
        </w:trPr>
        <w:tc>
          <w:tcPr>
            <w:tcW w:w="2440" w:type="dxa"/>
            <w:vAlign w:val="bottom"/>
            <w:shd w:val="clear" w:color="auto" w:fill="525252"/>
          </w:tcPr>
          <w:p>
            <w:pPr>
              <w:ind w:left="180"/>
              <w:spacing w:after="0"/>
              <w:rPr>
                <w:sz w:val="20"/>
                <w:szCs w:val="20"/>
                <w:color w:val="auto"/>
              </w:rPr>
            </w:pPr>
            <w:r>
              <w:rPr>
                <w:rFonts w:ascii="Arial" w:cs="Arial" w:eastAsia="Arial" w:hAnsi="Arial"/>
                <w:sz w:val="14"/>
                <w:szCs w:val="14"/>
                <w:b w:val="1"/>
                <w:bCs w:val="1"/>
                <w:color w:val="FFFFFF"/>
              </w:rPr>
              <w:t>Named Executive</w:t>
            </w:r>
          </w:p>
        </w:tc>
        <w:tc>
          <w:tcPr>
            <w:tcW w:w="2340" w:type="dxa"/>
            <w:vAlign w:val="bottom"/>
            <w:shd w:val="clear" w:color="auto" w:fill="525252"/>
          </w:tcPr>
          <w:p>
            <w:pPr>
              <w:jc w:val="center"/>
              <w:ind w:left="197"/>
              <w:spacing w:after="0"/>
              <w:rPr>
                <w:sz w:val="20"/>
                <w:szCs w:val="20"/>
                <w:color w:val="auto"/>
              </w:rPr>
            </w:pPr>
            <w:r>
              <w:rPr>
                <w:rFonts w:ascii="Arial" w:cs="Arial" w:eastAsia="Arial" w:hAnsi="Arial"/>
                <w:sz w:val="14"/>
                <w:szCs w:val="14"/>
                <w:b w:val="1"/>
                <w:bCs w:val="1"/>
                <w:color w:val="FFFFFF"/>
              </w:rPr>
              <w:t>($)</w:t>
            </w:r>
          </w:p>
        </w:tc>
        <w:tc>
          <w:tcPr>
            <w:tcW w:w="1920" w:type="dxa"/>
            <w:vAlign w:val="bottom"/>
            <w:shd w:val="clear" w:color="auto" w:fill="525252"/>
          </w:tcPr>
          <w:p>
            <w:pPr>
              <w:jc w:val="center"/>
              <w:spacing w:after="0"/>
              <w:rPr>
                <w:sz w:val="20"/>
                <w:szCs w:val="20"/>
                <w:color w:val="auto"/>
              </w:rPr>
            </w:pPr>
            <w:r>
              <w:rPr>
                <w:rFonts w:ascii="Arial" w:cs="Arial" w:eastAsia="Arial" w:hAnsi="Arial"/>
                <w:sz w:val="14"/>
                <w:szCs w:val="14"/>
                <w:b w:val="1"/>
                <w:bCs w:val="1"/>
                <w:color w:val="FFFFFF"/>
                <w:w w:val="93"/>
              </w:rPr>
              <w:t>($)</w:t>
            </w:r>
          </w:p>
        </w:tc>
        <w:tc>
          <w:tcPr>
            <w:tcW w:w="2000" w:type="dxa"/>
            <w:vAlign w:val="bottom"/>
            <w:shd w:val="clear" w:color="auto" w:fill="525252"/>
          </w:tcPr>
          <w:p>
            <w:pPr>
              <w:jc w:val="center"/>
              <w:ind w:left="17"/>
              <w:spacing w:after="0"/>
              <w:rPr>
                <w:sz w:val="20"/>
                <w:szCs w:val="20"/>
                <w:color w:val="auto"/>
              </w:rPr>
            </w:pPr>
            <w:r>
              <w:rPr>
                <w:rFonts w:ascii="Arial" w:cs="Arial" w:eastAsia="Arial" w:hAnsi="Arial"/>
                <w:sz w:val="14"/>
                <w:szCs w:val="14"/>
                <w:b w:val="1"/>
                <w:bCs w:val="1"/>
                <w:color w:val="FFFFFF"/>
              </w:rPr>
              <w:t>($)</w:t>
            </w:r>
          </w:p>
        </w:tc>
        <w:tc>
          <w:tcPr>
            <w:tcW w:w="2280" w:type="dxa"/>
            <w:vAlign w:val="bottom"/>
            <w:shd w:val="clear" w:color="auto" w:fill="525252"/>
          </w:tcPr>
          <w:p>
            <w:pPr>
              <w:jc w:val="center"/>
              <w:spacing w:after="0"/>
              <w:rPr>
                <w:sz w:val="20"/>
                <w:szCs w:val="20"/>
                <w:color w:val="auto"/>
              </w:rPr>
            </w:pPr>
            <w:r>
              <w:rPr>
                <w:rFonts w:ascii="Arial" w:cs="Arial" w:eastAsia="Arial" w:hAnsi="Arial"/>
                <w:sz w:val="14"/>
                <w:szCs w:val="14"/>
                <w:b w:val="1"/>
                <w:bCs w:val="1"/>
                <w:color w:val="FFFFFF"/>
                <w:w w:val="93"/>
              </w:rPr>
              <w:t>($)</w:t>
            </w:r>
          </w:p>
        </w:tc>
      </w:tr>
      <w:tr>
        <w:trPr>
          <w:trHeight w:val="263"/>
        </w:trPr>
        <w:tc>
          <w:tcPr>
            <w:tcW w:w="2440" w:type="dxa"/>
            <w:vAlign w:val="bottom"/>
          </w:tcPr>
          <w:p>
            <w:pPr>
              <w:ind w:left="40"/>
              <w:spacing w:after="0"/>
              <w:rPr>
                <w:sz w:val="20"/>
                <w:szCs w:val="20"/>
                <w:color w:val="auto"/>
              </w:rPr>
            </w:pPr>
            <w:r>
              <w:rPr>
                <w:rFonts w:ascii="Arial" w:cs="Arial" w:eastAsia="Arial" w:hAnsi="Arial"/>
                <w:sz w:val="18"/>
                <w:szCs w:val="18"/>
                <w:color w:val="auto"/>
              </w:rPr>
              <w:t>Rex D. Geveden</w:t>
            </w:r>
          </w:p>
        </w:tc>
        <w:tc>
          <w:tcPr>
            <w:tcW w:w="2340" w:type="dxa"/>
            <w:vAlign w:val="bottom"/>
          </w:tcPr>
          <w:p>
            <w:pPr>
              <w:jc w:val="center"/>
              <w:ind w:left="217"/>
              <w:spacing w:after="0"/>
              <w:rPr>
                <w:sz w:val="20"/>
                <w:szCs w:val="20"/>
                <w:color w:val="auto"/>
              </w:rPr>
            </w:pPr>
            <w:r>
              <w:rPr>
                <w:rFonts w:ascii="Arial" w:cs="Arial" w:eastAsia="Arial" w:hAnsi="Arial"/>
                <w:sz w:val="18"/>
                <w:szCs w:val="18"/>
                <w:color w:val="auto"/>
                <w:w w:val="98"/>
              </w:rPr>
              <w:t>700,000</w:t>
            </w:r>
          </w:p>
        </w:tc>
        <w:tc>
          <w:tcPr>
            <w:tcW w:w="1920" w:type="dxa"/>
            <w:vAlign w:val="bottom"/>
          </w:tcPr>
          <w:p>
            <w:pPr>
              <w:jc w:val="center"/>
              <w:spacing w:after="0"/>
              <w:rPr>
                <w:sz w:val="20"/>
                <w:szCs w:val="20"/>
                <w:color w:val="auto"/>
              </w:rPr>
            </w:pPr>
            <w:r>
              <w:rPr>
                <w:rFonts w:ascii="Arial" w:cs="Arial" w:eastAsia="Arial" w:hAnsi="Arial"/>
                <w:sz w:val="18"/>
                <w:szCs w:val="18"/>
                <w:color w:val="auto"/>
                <w:w w:val="98"/>
              </w:rPr>
              <w:t>630,000</w:t>
            </w:r>
          </w:p>
        </w:tc>
        <w:tc>
          <w:tcPr>
            <w:tcW w:w="2000" w:type="dxa"/>
            <w:vAlign w:val="bottom"/>
          </w:tcPr>
          <w:p>
            <w:pPr>
              <w:jc w:val="right"/>
              <w:ind w:right="477"/>
              <w:spacing w:after="0"/>
              <w:rPr>
                <w:sz w:val="20"/>
                <w:szCs w:val="20"/>
                <w:color w:val="auto"/>
              </w:rPr>
            </w:pPr>
            <w:r>
              <w:rPr>
                <w:rFonts w:ascii="Arial" w:cs="Arial" w:eastAsia="Arial" w:hAnsi="Arial"/>
                <w:sz w:val="18"/>
                <w:szCs w:val="18"/>
                <w:color w:val="auto"/>
              </w:rPr>
              <w:t>2,300,000</w:t>
            </w:r>
          </w:p>
        </w:tc>
        <w:tc>
          <w:tcPr>
            <w:tcW w:w="2280" w:type="dxa"/>
            <w:vAlign w:val="bottom"/>
          </w:tcPr>
          <w:p>
            <w:pPr>
              <w:jc w:val="center"/>
              <w:spacing w:after="0"/>
              <w:rPr>
                <w:sz w:val="20"/>
                <w:szCs w:val="20"/>
                <w:color w:val="auto"/>
              </w:rPr>
            </w:pPr>
            <w:r>
              <w:rPr>
                <w:rFonts w:ascii="Arial" w:cs="Arial" w:eastAsia="Arial" w:hAnsi="Arial"/>
                <w:sz w:val="18"/>
                <w:szCs w:val="18"/>
                <w:color w:val="auto"/>
                <w:w w:val="99"/>
              </w:rPr>
              <w:t>3,630,000</w:t>
            </w:r>
          </w:p>
        </w:tc>
      </w:tr>
      <w:tr>
        <w:trPr>
          <w:trHeight w:val="277"/>
        </w:trPr>
        <w:tc>
          <w:tcPr>
            <w:tcW w:w="2440" w:type="dxa"/>
            <w:vAlign w:val="bottom"/>
            <w:shd w:val="clear" w:color="auto" w:fill="E5E5E5"/>
          </w:tcPr>
          <w:p>
            <w:pPr>
              <w:ind w:left="40"/>
              <w:spacing w:after="0"/>
              <w:rPr>
                <w:sz w:val="20"/>
                <w:szCs w:val="20"/>
                <w:color w:val="auto"/>
              </w:rPr>
            </w:pPr>
            <w:r>
              <w:rPr>
                <w:rFonts w:ascii="Arial" w:cs="Arial" w:eastAsia="Arial" w:hAnsi="Arial"/>
                <w:sz w:val="18"/>
                <w:szCs w:val="18"/>
                <w:color w:val="auto"/>
              </w:rPr>
              <w:t>David S. Black</w:t>
            </w:r>
          </w:p>
        </w:tc>
        <w:tc>
          <w:tcPr>
            <w:tcW w:w="2340" w:type="dxa"/>
            <w:vAlign w:val="bottom"/>
            <w:shd w:val="clear" w:color="auto" w:fill="E5E5E5"/>
          </w:tcPr>
          <w:p>
            <w:pPr>
              <w:jc w:val="center"/>
              <w:ind w:left="217"/>
              <w:spacing w:after="0"/>
              <w:rPr>
                <w:sz w:val="20"/>
                <w:szCs w:val="20"/>
                <w:color w:val="auto"/>
              </w:rPr>
            </w:pPr>
            <w:r>
              <w:rPr>
                <w:rFonts w:ascii="Arial" w:cs="Arial" w:eastAsia="Arial" w:hAnsi="Arial"/>
                <w:sz w:val="18"/>
                <w:szCs w:val="18"/>
                <w:color w:val="auto"/>
                <w:w w:val="98"/>
              </w:rPr>
              <w:t>450,000</w:t>
            </w:r>
          </w:p>
        </w:tc>
        <w:tc>
          <w:tcPr>
            <w:tcW w:w="192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8"/>
              </w:rPr>
              <w:t>270,000</w:t>
            </w:r>
          </w:p>
        </w:tc>
        <w:tc>
          <w:tcPr>
            <w:tcW w:w="2000" w:type="dxa"/>
            <w:vAlign w:val="bottom"/>
            <w:shd w:val="clear" w:color="auto" w:fill="E5E5E5"/>
          </w:tcPr>
          <w:p>
            <w:pPr>
              <w:jc w:val="right"/>
              <w:ind w:right="457"/>
              <w:spacing w:after="0"/>
              <w:rPr>
                <w:sz w:val="20"/>
                <w:szCs w:val="20"/>
                <w:color w:val="auto"/>
              </w:rPr>
            </w:pPr>
            <w:r>
              <w:rPr>
                <w:rFonts w:ascii="Arial" w:cs="Arial" w:eastAsia="Arial" w:hAnsi="Arial"/>
                <w:sz w:val="18"/>
                <w:szCs w:val="18"/>
                <w:color w:val="auto"/>
              </w:rPr>
              <w:t>600,000</w:t>
            </w:r>
          </w:p>
        </w:tc>
        <w:tc>
          <w:tcPr>
            <w:tcW w:w="228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1,320,000</w:t>
            </w:r>
          </w:p>
        </w:tc>
      </w:tr>
      <w:tr>
        <w:trPr>
          <w:trHeight w:val="263"/>
        </w:trPr>
        <w:tc>
          <w:tcPr>
            <w:tcW w:w="2440" w:type="dxa"/>
            <w:vAlign w:val="bottom"/>
          </w:tcPr>
          <w:p>
            <w:pPr>
              <w:ind w:left="40"/>
              <w:spacing w:after="0"/>
              <w:rPr>
                <w:sz w:val="20"/>
                <w:szCs w:val="20"/>
                <w:color w:val="auto"/>
              </w:rPr>
            </w:pPr>
            <w:r>
              <w:rPr>
                <w:rFonts w:ascii="Arial" w:cs="Arial" w:eastAsia="Arial" w:hAnsi="Arial"/>
                <w:sz w:val="18"/>
                <w:szCs w:val="18"/>
                <w:color w:val="auto"/>
              </w:rPr>
              <w:t>John A. Fees</w:t>
            </w:r>
          </w:p>
        </w:tc>
        <w:tc>
          <w:tcPr>
            <w:tcW w:w="2340" w:type="dxa"/>
            <w:vAlign w:val="bottom"/>
          </w:tcPr>
          <w:p>
            <w:pPr>
              <w:jc w:val="center"/>
              <w:ind w:left="217"/>
              <w:spacing w:after="0"/>
              <w:rPr>
                <w:sz w:val="20"/>
                <w:szCs w:val="20"/>
                <w:color w:val="auto"/>
              </w:rPr>
            </w:pPr>
            <w:r>
              <w:rPr>
                <w:rFonts w:ascii="Arial" w:cs="Arial" w:eastAsia="Arial" w:hAnsi="Arial"/>
                <w:sz w:val="18"/>
                <w:szCs w:val="18"/>
                <w:color w:val="auto"/>
                <w:w w:val="98"/>
              </w:rPr>
              <w:t>600,000</w:t>
            </w:r>
          </w:p>
        </w:tc>
        <w:tc>
          <w:tcPr>
            <w:tcW w:w="1920" w:type="dxa"/>
            <w:vAlign w:val="bottom"/>
          </w:tcPr>
          <w:p>
            <w:pPr>
              <w:jc w:val="center"/>
              <w:spacing w:after="0"/>
              <w:rPr>
                <w:sz w:val="20"/>
                <w:szCs w:val="20"/>
                <w:color w:val="auto"/>
              </w:rPr>
            </w:pPr>
            <w:r>
              <w:rPr>
                <w:rFonts w:ascii="Arial" w:cs="Arial" w:eastAsia="Arial" w:hAnsi="Arial"/>
                <w:sz w:val="18"/>
                <w:szCs w:val="18"/>
                <w:color w:val="auto"/>
                <w:w w:val="98"/>
              </w:rPr>
              <w:t>450,000</w:t>
            </w:r>
          </w:p>
        </w:tc>
        <w:tc>
          <w:tcPr>
            <w:tcW w:w="2000" w:type="dxa"/>
            <w:vAlign w:val="bottom"/>
          </w:tcPr>
          <w:p>
            <w:pPr>
              <w:jc w:val="right"/>
              <w:ind w:right="477"/>
              <w:spacing w:after="0"/>
              <w:rPr>
                <w:sz w:val="20"/>
                <w:szCs w:val="20"/>
                <w:color w:val="auto"/>
              </w:rPr>
            </w:pPr>
            <w:r>
              <w:rPr>
                <w:rFonts w:ascii="Arial" w:cs="Arial" w:eastAsia="Arial" w:hAnsi="Arial"/>
                <w:sz w:val="18"/>
                <w:szCs w:val="18"/>
                <w:color w:val="auto"/>
              </w:rPr>
              <w:t>1,250,000</w:t>
            </w:r>
          </w:p>
        </w:tc>
        <w:tc>
          <w:tcPr>
            <w:tcW w:w="2280" w:type="dxa"/>
            <w:vAlign w:val="bottom"/>
          </w:tcPr>
          <w:p>
            <w:pPr>
              <w:jc w:val="center"/>
              <w:spacing w:after="0"/>
              <w:rPr>
                <w:sz w:val="20"/>
                <w:szCs w:val="20"/>
                <w:color w:val="auto"/>
              </w:rPr>
            </w:pPr>
            <w:r>
              <w:rPr>
                <w:rFonts w:ascii="Arial" w:cs="Arial" w:eastAsia="Arial" w:hAnsi="Arial"/>
                <w:sz w:val="18"/>
                <w:szCs w:val="18"/>
                <w:color w:val="auto"/>
                <w:w w:val="99"/>
              </w:rPr>
              <w:t>2,300,000</w:t>
            </w:r>
          </w:p>
        </w:tc>
      </w:tr>
      <w:tr>
        <w:trPr>
          <w:trHeight w:val="277"/>
        </w:trPr>
        <w:tc>
          <w:tcPr>
            <w:tcW w:w="2440" w:type="dxa"/>
            <w:vAlign w:val="bottom"/>
            <w:shd w:val="clear" w:color="auto" w:fill="E5E5E5"/>
          </w:tcPr>
          <w:p>
            <w:pPr>
              <w:ind w:left="40"/>
              <w:spacing w:after="0"/>
              <w:rPr>
                <w:sz w:val="20"/>
                <w:szCs w:val="20"/>
                <w:color w:val="auto"/>
              </w:rPr>
            </w:pPr>
            <w:r>
              <w:rPr>
                <w:rFonts w:ascii="Arial" w:cs="Arial" w:eastAsia="Arial" w:hAnsi="Arial"/>
                <w:sz w:val="18"/>
                <w:szCs w:val="18"/>
                <w:color w:val="auto"/>
              </w:rPr>
              <w:t>James D. Canafax</w:t>
            </w:r>
          </w:p>
        </w:tc>
        <w:tc>
          <w:tcPr>
            <w:tcW w:w="2340" w:type="dxa"/>
            <w:vAlign w:val="bottom"/>
            <w:shd w:val="clear" w:color="auto" w:fill="E5E5E5"/>
          </w:tcPr>
          <w:p>
            <w:pPr>
              <w:jc w:val="center"/>
              <w:ind w:left="217"/>
              <w:spacing w:after="0"/>
              <w:rPr>
                <w:sz w:val="20"/>
                <w:szCs w:val="20"/>
                <w:color w:val="auto"/>
              </w:rPr>
            </w:pPr>
            <w:r>
              <w:rPr>
                <w:rFonts w:ascii="Arial" w:cs="Arial" w:eastAsia="Arial" w:hAnsi="Arial"/>
                <w:sz w:val="18"/>
                <w:szCs w:val="18"/>
                <w:color w:val="auto"/>
                <w:w w:val="98"/>
              </w:rPr>
              <w:t>510,000</w:t>
            </w:r>
          </w:p>
        </w:tc>
        <w:tc>
          <w:tcPr>
            <w:tcW w:w="192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8"/>
              </w:rPr>
              <w:t>306,000</w:t>
            </w:r>
          </w:p>
        </w:tc>
        <w:tc>
          <w:tcPr>
            <w:tcW w:w="2000" w:type="dxa"/>
            <w:vAlign w:val="bottom"/>
            <w:shd w:val="clear" w:color="auto" w:fill="E5E5E5"/>
          </w:tcPr>
          <w:p>
            <w:pPr>
              <w:jc w:val="right"/>
              <w:ind w:right="457"/>
              <w:spacing w:after="0"/>
              <w:rPr>
                <w:sz w:val="20"/>
                <w:szCs w:val="20"/>
                <w:color w:val="auto"/>
              </w:rPr>
            </w:pPr>
            <w:r>
              <w:rPr>
                <w:rFonts w:ascii="Arial" w:cs="Arial" w:eastAsia="Arial" w:hAnsi="Arial"/>
                <w:sz w:val="18"/>
                <w:szCs w:val="18"/>
                <w:color w:val="auto"/>
              </w:rPr>
              <w:t>750,000</w:t>
            </w:r>
          </w:p>
        </w:tc>
        <w:tc>
          <w:tcPr>
            <w:tcW w:w="228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1,566,000</w:t>
            </w:r>
          </w:p>
        </w:tc>
      </w:tr>
      <w:tr>
        <w:trPr>
          <w:trHeight w:val="257"/>
        </w:trPr>
        <w:tc>
          <w:tcPr>
            <w:tcW w:w="2440" w:type="dxa"/>
            <w:vAlign w:val="bottom"/>
          </w:tcPr>
          <w:p>
            <w:pPr>
              <w:ind w:left="40"/>
              <w:spacing w:after="0"/>
              <w:rPr>
                <w:sz w:val="20"/>
                <w:szCs w:val="20"/>
                <w:color w:val="auto"/>
              </w:rPr>
            </w:pPr>
            <w:r>
              <w:rPr>
                <w:rFonts w:ascii="Arial" w:cs="Arial" w:eastAsia="Arial" w:hAnsi="Arial"/>
                <w:sz w:val="18"/>
                <w:szCs w:val="18"/>
                <w:color w:val="auto"/>
              </w:rPr>
              <w:t>Joseph G. Henry</w:t>
            </w:r>
          </w:p>
        </w:tc>
        <w:tc>
          <w:tcPr>
            <w:tcW w:w="2340" w:type="dxa"/>
            <w:vAlign w:val="bottom"/>
          </w:tcPr>
          <w:p>
            <w:pPr>
              <w:jc w:val="center"/>
              <w:ind w:left="217"/>
              <w:spacing w:after="0"/>
              <w:rPr>
                <w:sz w:val="20"/>
                <w:szCs w:val="20"/>
                <w:color w:val="auto"/>
              </w:rPr>
            </w:pPr>
            <w:r>
              <w:rPr>
                <w:rFonts w:ascii="Arial" w:cs="Arial" w:eastAsia="Arial" w:hAnsi="Arial"/>
                <w:sz w:val="18"/>
                <w:szCs w:val="18"/>
                <w:color w:val="auto"/>
                <w:w w:val="98"/>
              </w:rPr>
              <w:t>470,000</w:t>
            </w:r>
          </w:p>
        </w:tc>
        <w:tc>
          <w:tcPr>
            <w:tcW w:w="1920" w:type="dxa"/>
            <w:vAlign w:val="bottom"/>
          </w:tcPr>
          <w:p>
            <w:pPr>
              <w:jc w:val="center"/>
              <w:spacing w:after="0"/>
              <w:rPr>
                <w:sz w:val="20"/>
                <w:szCs w:val="20"/>
                <w:color w:val="auto"/>
              </w:rPr>
            </w:pPr>
            <w:r>
              <w:rPr>
                <w:rFonts w:ascii="Arial" w:cs="Arial" w:eastAsia="Arial" w:hAnsi="Arial"/>
                <w:sz w:val="18"/>
                <w:szCs w:val="18"/>
                <w:color w:val="auto"/>
                <w:w w:val="98"/>
              </w:rPr>
              <w:t>282,000</w:t>
            </w:r>
          </w:p>
        </w:tc>
        <w:tc>
          <w:tcPr>
            <w:tcW w:w="2000" w:type="dxa"/>
            <w:vAlign w:val="bottom"/>
          </w:tcPr>
          <w:p>
            <w:pPr>
              <w:jc w:val="right"/>
              <w:ind w:right="457"/>
              <w:spacing w:after="0"/>
              <w:rPr>
                <w:sz w:val="20"/>
                <w:szCs w:val="20"/>
                <w:color w:val="auto"/>
              </w:rPr>
            </w:pPr>
            <w:r>
              <w:rPr>
                <w:rFonts w:ascii="Arial" w:cs="Arial" w:eastAsia="Arial" w:hAnsi="Arial"/>
                <w:sz w:val="18"/>
                <w:szCs w:val="18"/>
                <w:color w:val="auto"/>
              </w:rPr>
              <w:t>500,000</w:t>
            </w:r>
          </w:p>
        </w:tc>
        <w:tc>
          <w:tcPr>
            <w:tcW w:w="2280" w:type="dxa"/>
            <w:vAlign w:val="bottom"/>
          </w:tcPr>
          <w:p>
            <w:pPr>
              <w:jc w:val="center"/>
              <w:spacing w:after="0"/>
              <w:rPr>
                <w:sz w:val="20"/>
                <w:szCs w:val="20"/>
                <w:color w:val="auto"/>
              </w:rPr>
            </w:pPr>
            <w:r>
              <w:rPr>
                <w:rFonts w:ascii="Arial" w:cs="Arial" w:eastAsia="Arial" w:hAnsi="Arial"/>
                <w:sz w:val="18"/>
                <w:szCs w:val="18"/>
                <w:color w:val="auto"/>
                <w:w w:val="99"/>
              </w:rPr>
              <w:t>1,252,000</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BASE SALARY</w:t>
      </w:r>
    </w:p>
    <w:p>
      <w:pPr>
        <w:spacing w:after="0" w:line="112"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Our Compensation Committee generally reviews base salaries of our Named Executives on an annual basis with any adjustments to base salary effective April 1 of each year, with occasional reviews during the year to reflect promotions, increases in responsibilities or other compensation-related events. Set forth below are the base salaries for each of our Named Executives, as determined by the Compensation Committee based on its review of comparative market data for each Named Executive.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ANNUAL BASE SALARY BENCHMARKING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80" w:type="dxa"/>
            <w:vAlign w:val="bottom"/>
            <w:shd w:val="clear" w:color="auto" w:fill="525252"/>
          </w:tcPr>
          <w:p>
            <w:pPr>
              <w:spacing w:after="0"/>
              <w:rPr>
                <w:sz w:val="15"/>
                <w:szCs w:val="15"/>
                <w:color w:val="auto"/>
              </w:rPr>
            </w:pPr>
          </w:p>
        </w:tc>
        <w:tc>
          <w:tcPr>
            <w:tcW w:w="2600" w:type="dxa"/>
            <w:vAlign w:val="bottom"/>
            <w:shd w:val="clear" w:color="auto" w:fill="525252"/>
          </w:tcPr>
          <w:p>
            <w:pPr>
              <w:spacing w:after="0"/>
              <w:rPr>
                <w:sz w:val="15"/>
                <w:szCs w:val="15"/>
                <w:color w:val="auto"/>
              </w:rPr>
            </w:pPr>
          </w:p>
        </w:tc>
        <w:tc>
          <w:tcPr>
            <w:tcW w:w="2300" w:type="dxa"/>
            <w:vAlign w:val="bottom"/>
            <w:shd w:val="clear" w:color="auto" w:fill="525252"/>
          </w:tcPr>
          <w:p>
            <w:pPr>
              <w:spacing w:after="0"/>
              <w:rPr>
                <w:sz w:val="15"/>
                <w:szCs w:val="15"/>
                <w:color w:val="auto"/>
              </w:rPr>
            </w:pPr>
          </w:p>
        </w:tc>
        <w:tc>
          <w:tcPr>
            <w:tcW w:w="2100" w:type="dxa"/>
            <w:vAlign w:val="bottom"/>
            <w:shd w:val="clear" w:color="auto" w:fill="525252"/>
          </w:tcPr>
          <w:p>
            <w:pPr>
              <w:jc w:val="center"/>
              <w:spacing w:after="0"/>
              <w:rPr>
                <w:sz w:val="20"/>
                <w:szCs w:val="20"/>
                <w:color w:val="auto"/>
              </w:rPr>
            </w:pPr>
            <w:r>
              <w:rPr>
                <w:rFonts w:ascii="Arial" w:cs="Arial" w:eastAsia="Arial" w:hAnsi="Arial"/>
                <w:sz w:val="14"/>
                <w:szCs w:val="14"/>
                <w:b w:val="1"/>
                <w:bCs w:val="1"/>
                <w:color w:val="FFFFFF"/>
              </w:rPr>
              <w:t>% Variance</w:t>
            </w:r>
          </w:p>
        </w:tc>
        <w:tc>
          <w:tcPr>
            <w:tcW w:w="2280" w:type="dxa"/>
            <w:vAlign w:val="bottom"/>
            <w:shd w:val="clear" w:color="auto" w:fill="525252"/>
          </w:tcPr>
          <w:p>
            <w:pPr>
              <w:spacing w:after="0"/>
              <w:rPr>
                <w:sz w:val="15"/>
                <w:szCs w:val="15"/>
                <w:color w:val="auto"/>
              </w:rPr>
            </w:pPr>
          </w:p>
        </w:tc>
      </w:tr>
      <w:tr>
        <w:trPr>
          <w:trHeight w:val="162"/>
        </w:trPr>
        <w:tc>
          <w:tcPr>
            <w:tcW w:w="2080" w:type="dxa"/>
            <w:vAlign w:val="bottom"/>
            <w:shd w:val="clear" w:color="auto" w:fill="525252"/>
          </w:tcPr>
          <w:p>
            <w:pPr>
              <w:spacing w:after="0"/>
              <w:rPr>
                <w:sz w:val="14"/>
                <w:szCs w:val="14"/>
                <w:color w:val="auto"/>
              </w:rPr>
            </w:pPr>
          </w:p>
        </w:tc>
        <w:tc>
          <w:tcPr>
            <w:tcW w:w="2600" w:type="dxa"/>
            <w:vAlign w:val="bottom"/>
            <w:shd w:val="clear" w:color="auto" w:fill="525252"/>
          </w:tcPr>
          <w:p>
            <w:pPr>
              <w:ind w:left="720"/>
              <w:spacing w:after="0"/>
              <w:rPr>
                <w:sz w:val="20"/>
                <w:szCs w:val="20"/>
                <w:color w:val="auto"/>
              </w:rPr>
            </w:pPr>
            <w:r>
              <w:rPr>
                <w:rFonts w:ascii="Arial" w:cs="Arial" w:eastAsia="Arial" w:hAnsi="Arial"/>
                <w:sz w:val="14"/>
                <w:szCs w:val="14"/>
                <w:b w:val="1"/>
                <w:bCs w:val="1"/>
                <w:color w:val="FFFFFF"/>
              </w:rPr>
              <w:t>January 2017 Salary</w:t>
            </w:r>
          </w:p>
        </w:tc>
        <w:tc>
          <w:tcPr>
            <w:tcW w:w="2300" w:type="dxa"/>
            <w:vAlign w:val="bottom"/>
            <w:shd w:val="clear" w:color="auto" w:fill="525252"/>
          </w:tcPr>
          <w:p>
            <w:pPr>
              <w:ind w:left="500"/>
              <w:spacing w:after="0"/>
              <w:rPr>
                <w:sz w:val="20"/>
                <w:szCs w:val="20"/>
                <w:color w:val="auto"/>
              </w:rPr>
            </w:pPr>
            <w:r>
              <w:rPr>
                <w:rFonts w:ascii="Arial" w:cs="Arial" w:eastAsia="Arial" w:hAnsi="Arial"/>
                <w:sz w:val="14"/>
                <w:szCs w:val="14"/>
                <w:b w:val="1"/>
                <w:bCs w:val="1"/>
                <w:color w:val="FFFFFF"/>
              </w:rPr>
              <w:t>April 2017 Salary</w:t>
            </w:r>
          </w:p>
        </w:tc>
        <w:tc>
          <w:tcPr>
            <w:tcW w:w="2100" w:type="dxa"/>
            <w:vAlign w:val="bottom"/>
            <w:shd w:val="clear" w:color="auto" w:fill="525252"/>
          </w:tcPr>
          <w:p>
            <w:pPr>
              <w:jc w:val="center"/>
              <w:spacing w:after="0"/>
              <w:rPr>
                <w:sz w:val="20"/>
                <w:szCs w:val="20"/>
                <w:color w:val="auto"/>
              </w:rPr>
            </w:pPr>
            <w:r>
              <w:rPr>
                <w:rFonts w:ascii="Arial" w:cs="Arial" w:eastAsia="Arial" w:hAnsi="Arial"/>
                <w:sz w:val="14"/>
                <w:szCs w:val="14"/>
                <w:b w:val="1"/>
                <w:bCs w:val="1"/>
                <w:color w:val="FFFFFF"/>
              </w:rPr>
              <w:t>from Median</w:t>
            </w:r>
          </w:p>
        </w:tc>
        <w:tc>
          <w:tcPr>
            <w:tcW w:w="2280" w:type="dxa"/>
            <w:vAlign w:val="bottom"/>
            <w:shd w:val="clear" w:color="auto" w:fill="525252"/>
          </w:tcPr>
          <w:p>
            <w:pPr>
              <w:jc w:val="center"/>
              <w:ind w:left="35"/>
              <w:spacing w:after="0"/>
              <w:rPr>
                <w:sz w:val="20"/>
                <w:szCs w:val="20"/>
                <w:color w:val="auto"/>
              </w:rPr>
            </w:pPr>
            <w:r>
              <w:rPr>
                <w:rFonts w:ascii="Arial" w:cs="Arial" w:eastAsia="Arial" w:hAnsi="Arial"/>
                <w:sz w:val="14"/>
                <w:szCs w:val="14"/>
                <w:b w:val="1"/>
                <w:bCs w:val="1"/>
                <w:color w:val="FFFFFF"/>
              </w:rPr>
              <w:t>% Variance from</w:t>
            </w:r>
          </w:p>
        </w:tc>
      </w:tr>
      <w:tr>
        <w:trPr>
          <w:trHeight w:val="202"/>
        </w:trPr>
        <w:tc>
          <w:tcPr>
            <w:tcW w:w="2080" w:type="dxa"/>
            <w:vAlign w:val="bottom"/>
            <w:shd w:val="clear" w:color="auto" w:fill="525252"/>
          </w:tcPr>
          <w:p>
            <w:pPr>
              <w:ind w:left="180"/>
              <w:spacing w:after="0"/>
              <w:rPr>
                <w:sz w:val="20"/>
                <w:szCs w:val="20"/>
                <w:color w:val="auto"/>
              </w:rPr>
            </w:pPr>
            <w:r>
              <w:rPr>
                <w:rFonts w:ascii="Arial" w:cs="Arial" w:eastAsia="Arial" w:hAnsi="Arial"/>
                <w:sz w:val="14"/>
                <w:szCs w:val="14"/>
                <w:b w:val="1"/>
                <w:bCs w:val="1"/>
                <w:color w:val="FFFFFF"/>
              </w:rPr>
              <w:t>Named Executive</w:t>
            </w:r>
          </w:p>
        </w:tc>
        <w:tc>
          <w:tcPr>
            <w:tcW w:w="2600" w:type="dxa"/>
            <w:vAlign w:val="bottom"/>
            <w:shd w:val="clear" w:color="auto" w:fill="525252"/>
          </w:tcPr>
          <w:p>
            <w:pPr>
              <w:jc w:val="center"/>
              <w:ind w:left="135"/>
              <w:spacing w:after="0"/>
              <w:rPr>
                <w:sz w:val="20"/>
                <w:szCs w:val="20"/>
                <w:color w:val="auto"/>
              </w:rPr>
            </w:pPr>
            <w:r>
              <w:rPr>
                <w:rFonts w:ascii="Arial" w:cs="Arial" w:eastAsia="Arial" w:hAnsi="Arial"/>
                <w:sz w:val="14"/>
                <w:szCs w:val="14"/>
                <w:b w:val="1"/>
                <w:bCs w:val="1"/>
                <w:color w:val="FFFFFF"/>
              </w:rPr>
              <w:t>($)</w:t>
            </w:r>
          </w:p>
        </w:tc>
        <w:tc>
          <w:tcPr>
            <w:tcW w:w="2300" w:type="dxa"/>
            <w:vAlign w:val="bottom"/>
            <w:shd w:val="clear" w:color="auto" w:fill="525252"/>
          </w:tcPr>
          <w:p>
            <w:pPr>
              <w:jc w:val="center"/>
              <w:ind w:right="35"/>
              <w:spacing w:after="0"/>
              <w:rPr>
                <w:sz w:val="20"/>
                <w:szCs w:val="20"/>
                <w:color w:val="auto"/>
              </w:rPr>
            </w:pPr>
            <w:r>
              <w:rPr>
                <w:rFonts w:ascii="Arial" w:cs="Arial" w:eastAsia="Arial" w:hAnsi="Arial"/>
                <w:sz w:val="14"/>
                <w:szCs w:val="14"/>
                <w:b w:val="1"/>
                <w:bCs w:val="1"/>
                <w:color w:val="FFFFFF"/>
              </w:rPr>
              <w:t>($)</w:t>
            </w:r>
          </w:p>
        </w:tc>
        <w:tc>
          <w:tcPr>
            <w:tcW w:w="2100" w:type="dxa"/>
            <w:vAlign w:val="bottom"/>
            <w:shd w:val="clear" w:color="auto" w:fill="525252"/>
          </w:tcPr>
          <w:p>
            <w:pPr>
              <w:jc w:val="center"/>
              <w:spacing w:after="0"/>
              <w:rPr>
                <w:sz w:val="20"/>
                <w:szCs w:val="20"/>
                <w:color w:val="auto"/>
              </w:rPr>
            </w:pPr>
            <w:r>
              <w:rPr>
                <w:rFonts w:ascii="Arial" w:cs="Arial" w:eastAsia="Arial" w:hAnsi="Arial"/>
                <w:sz w:val="14"/>
                <w:szCs w:val="14"/>
                <w:b w:val="1"/>
                <w:bCs w:val="1"/>
                <w:color w:val="FFFFFF"/>
              </w:rPr>
              <w:t>(Survey)</w:t>
            </w:r>
          </w:p>
        </w:tc>
        <w:tc>
          <w:tcPr>
            <w:tcW w:w="2280" w:type="dxa"/>
            <w:vAlign w:val="bottom"/>
            <w:shd w:val="clear" w:color="auto" w:fill="525252"/>
          </w:tcPr>
          <w:p>
            <w:pPr>
              <w:jc w:val="center"/>
              <w:ind w:left="35"/>
              <w:spacing w:after="0"/>
              <w:rPr>
                <w:sz w:val="20"/>
                <w:szCs w:val="20"/>
                <w:color w:val="auto"/>
              </w:rPr>
            </w:pPr>
            <w:r>
              <w:rPr>
                <w:rFonts w:ascii="Arial" w:cs="Arial" w:eastAsia="Arial" w:hAnsi="Arial"/>
                <w:sz w:val="14"/>
                <w:szCs w:val="14"/>
                <w:b w:val="1"/>
                <w:bCs w:val="1"/>
                <w:color w:val="FFFFFF"/>
              </w:rPr>
              <w:t>Median (Proxy)</w:t>
            </w:r>
          </w:p>
        </w:tc>
      </w:tr>
      <w:tr>
        <w:trPr>
          <w:trHeight w:val="263"/>
        </w:trPr>
        <w:tc>
          <w:tcPr>
            <w:tcW w:w="2080" w:type="dxa"/>
            <w:vAlign w:val="bottom"/>
          </w:tcPr>
          <w:p>
            <w:pPr>
              <w:ind w:left="40"/>
              <w:spacing w:after="0"/>
              <w:rPr>
                <w:sz w:val="20"/>
                <w:szCs w:val="20"/>
                <w:color w:val="auto"/>
              </w:rPr>
            </w:pPr>
            <w:r>
              <w:rPr>
                <w:rFonts w:ascii="Arial" w:cs="Arial" w:eastAsia="Arial" w:hAnsi="Arial"/>
                <w:sz w:val="18"/>
                <w:szCs w:val="18"/>
                <w:color w:val="auto"/>
              </w:rPr>
              <w:t>Mr. Geveden</w:t>
            </w:r>
          </w:p>
        </w:tc>
        <w:tc>
          <w:tcPr>
            <w:tcW w:w="2600" w:type="dxa"/>
            <w:vAlign w:val="bottom"/>
          </w:tcPr>
          <w:p>
            <w:pPr>
              <w:jc w:val="center"/>
              <w:ind w:left="135"/>
              <w:spacing w:after="0"/>
              <w:rPr>
                <w:sz w:val="20"/>
                <w:szCs w:val="20"/>
                <w:color w:val="auto"/>
              </w:rPr>
            </w:pPr>
            <w:r>
              <w:rPr>
                <w:rFonts w:ascii="Arial" w:cs="Arial" w:eastAsia="Arial" w:hAnsi="Arial"/>
                <w:sz w:val="18"/>
                <w:szCs w:val="18"/>
                <w:color w:val="auto"/>
              </w:rPr>
              <w:t>675,000</w:t>
            </w:r>
          </w:p>
        </w:tc>
        <w:tc>
          <w:tcPr>
            <w:tcW w:w="2300" w:type="dxa"/>
            <w:vAlign w:val="bottom"/>
          </w:tcPr>
          <w:p>
            <w:pPr>
              <w:jc w:val="center"/>
              <w:ind w:right="35"/>
              <w:spacing w:after="0"/>
              <w:rPr>
                <w:sz w:val="20"/>
                <w:szCs w:val="20"/>
                <w:color w:val="auto"/>
              </w:rPr>
            </w:pPr>
            <w:r>
              <w:rPr>
                <w:rFonts w:ascii="Arial" w:cs="Arial" w:eastAsia="Arial" w:hAnsi="Arial"/>
                <w:sz w:val="18"/>
                <w:szCs w:val="18"/>
                <w:color w:val="auto"/>
              </w:rPr>
              <w:t>700,000</w:t>
            </w:r>
          </w:p>
        </w:tc>
        <w:tc>
          <w:tcPr>
            <w:tcW w:w="2100" w:type="dxa"/>
            <w:vAlign w:val="bottom"/>
          </w:tcPr>
          <w:p>
            <w:pPr>
              <w:jc w:val="center"/>
              <w:spacing w:after="0"/>
              <w:rPr>
                <w:sz w:val="20"/>
                <w:szCs w:val="20"/>
                <w:color w:val="auto"/>
              </w:rPr>
            </w:pPr>
            <w:r>
              <w:rPr>
                <w:rFonts w:ascii="Arial" w:cs="Arial" w:eastAsia="Arial" w:hAnsi="Arial"/>
                <w:sz w:val="18"/>
                <w:szCs w:val="18"/>
                <w:color w:val="auto"/>
                <w:w w:val="99"/>
              </w:rPr>
              <w:t>-23%</w:t>
            </w:r>
          </w:p>
        </w:tc>
        <w:tc>
          <w:tcPr>
            <w:tcW w:w="2280" w:type="dxa"/>
            <w:vAlign w:val="bottom"/>
          </w:tcPr>
          <w:p>
            <w:pPr>
              <w:jc w:val="center"/>
              <w:ind w:left="15"/>
              <w:spacing w:after="0"/>
              <w:rPr>
                <w:sz w:val="20"/>
                <w:szCs w:val="20"/>
                <w:color w:val="auto"/>
              </w:rPr>
            </w:pPr>
            <w:r>
              <w:rPr>
                <w:rFonts w:ascii="Arial" w:cs="Arial" w:eastAsia="Arial" w:hAnsi="Arial"/>
                <w:sz w:val="18"/>
                <w:szCs w:val="18"/>
                <w:color w:val="auto"/>
                <w:w w:val="99"/>
              </w:rPr>
              <w:t>-17%</w:t>
            </w:r>
          </w:p>
        </w:tc>
      </w:tr>
      <w:tr>
        <w:trPr>
          <w:trHeight w:val="277"/>
        </w:trPr>
        <w:tc>
          <w:tcPr>
            <w:tcW w:w="2080" w:type="dxa"/>
            <w:vAlign w:val="bottom"/>
            <w:shd w:val="clear" w:color="auto" w:fill="E5E5E5"/>
          </w:tcPr>
          <w:p>
            <w:pPr>
              <w:ind w:left="40"/>
              <w:spacing w:after="0"/>
              <w:rPr>
                <w:sz w:val="20"/>
                <w:szCs w:val="20"/>
                <w:color w:val="auto"/>
              </w:rPr>
            </w:pPr>
            <w:r>
              <w:rPr>
                <w:rFonts w:ascii="Arial" w:cs="Arial" w:eastAsia="Arial" w:hAnsi="Arial"/>
                <w:sz w:val="18"/>
                <w:szCs w:val="18"/>
                <w:color w:val="auto"/>
              </w:rPr>
              <w:t>Mr. Black</w:t>
            </w:r>
          </w:p>
        </w:tc>
        <w:tc>
          <w:tcPr>
            <w:tcW w:w="2600" w:type="dxa"/>
            <w:vAlign w:val="bottom"/>
            <w:shd w:val="clear" w:color="auto" w:fill="E5E5E5"/>
          </w:tcPr>
          <w:p>
            <w:pPr>
              <w:jc w:val="center"/>
              <w:ind w:left="135"/>
              <w:spacing w:after="0"/>
              <w:rPr>
                <w:sz w:val="20"/>
                <w:szCs w:val="20"/>
                <w:color w:val="auto"/>
              </w:rPr>
            </w:pPr>
            <w:r>
              <w:rPr>
                <w:rFonts w:ascii="Arial" w:cs="Arial" w:eastAsia="Arial" w:hAnsi="Arial"/>
                <w:sz w:val="18"/>
                <w:szCs w:val="18"/>
                <w:color w:val="auto"/>
              </w:rPr>
              <w:t>390,000</w:t>
            </w:r>
          </w:p>
        </w:tc>
        <w:tc>
          <w:tcPr>
            <w:tcW w:w="2300" w:type="dxa"/>
            <w:vAlign w:val="bottom"/>
            <w:shd w:val="clear" w:color="auto" w:fill="E5E5E5"/>
          </w:tcPr>
          <w:p>
            <w:pPr>
              <w:jc w:val="center"/>
              <w:ind w:right="35"/>
              <w:spacing w:after="0"/>
              <w:rPr>
                <w:sz w:val="20"/>
                <w:szCs w:val="20"/>
                <w:color w:val="auto"/>
              </w:rPr>
            </w:pPr>
            <w:r>
              <w:rPr>
                <w:rFonts w:ascii="Arial" w:cs="Arial" w:eastAsia="Arial" w:hAnsi="Arial"/>
                <w:sz w:val="18"/>
                <w:szCs w:val="18"/>
                <w:color w:val="auto"/>
              </w:rPr>
              <w:t>450,000</w:t>
            </w:r>
          </w:p>
        </w:tc>
        <w:tc>
          <w:tcPr>
            <w:tcW w:w="210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11%</w:t>
            </w:r>
          </w:p>
        </w:tc>
        <w:tc>
          <w:tcPr>
            <w:tcW w:w="2280" w:type="dxa"/>
            <w:vAlign w:val="bottom"/>
            <w:shd w:val="clear" w:color="auto" w:fill="E5E5E5"/>
          </w:tcPr>
          <w:p>
            <w:pPr>
              <w:jc w:val="center"/>
              <w:ind w:left="35"/>
              <w:spacing w:after="0"/>
              <w:rPr>
                <w:sz w:val="20"/>
                <w:szCs w:val="20"/>
                <w:color w:val="auto"/>
              </w:rPr>
            </w:pPr>
            <w:r>
              <w:rPr>
                <w:rFonts w:ascii="Arial" w:cs="Arial" w:eastAsia="Arial" w:hAnsi="Arial"/>
                <w:sz w:val="18"/>
                <w:szCs w:val="18"/>
                <w:color w:val="auto"/>
                <w:w w:val="99"/>
              </w:rPr>
              <w:t>-3%</w:t>
            </w:r>
          </w:p>
        </w:tc>
      </w:tr>
      <w:tr>
        <w:trPr>
          <w:trHeight w:val="263"/>
        </w:trPr>
        <w:tc>
          <w:tcPr>
            <w:tcW w:w="2080" w:type="dxa"/>
            <w:vAlign w:val="bottom"/>
          </w:tcPr>
          <w:p>
            <w:pPr>
              <w:ind w:left="40"/>
              <w:spacing w:after="0"/>
              <w:rPr>
                <w:sz w:val="20"/>
                <w:szCs w:val="20"/>
                <w:color w:val="auto"/>
              </w:rPr>
            </w:pPr>
            <w:r>
              <w:rPr>
                <w:rFonts w:ascii="Arial" w:cs="Arial" w:eastAsia="Arial" w:hAnsi="Arial"/>
                <w:sz w:val="18"/>
                <w:szCs w:val="18"/>
                <w:color w:val="auto"/>
              </w:rPr>
              <w:t>Mr. Fees</w:t>
            </w:r>
          </w:p>
        </w:tc>
        <w:tc>
          <w:tcPr>
            <w:tcW w:w="2600" w:type="dxa"/>
            <w:vAlign w:val="bottom"/>
          </w:tcPr>
          <w:p>
            <w:pPr>
              <w:jc w:val="center"/>
              <w:ind w:left="135"/>
              <w:spacing w:after="0"/>
              <w:rPr>
                <w:sz w:val="20"/>
                <w:szCs w:val="20"/>
                <w:color w:val="auto"/>
              </w:rPr>
            </w:pPr>
            <w:r>
              <w:rPr>
                <w:rFonts w:ascii="Arial" w:cs="Arial" w:eastAsia="Arial" w:hAnsi="Arial"/>
                <w:sz w:val="18"/>
                <w:szCs w:val="18"/>
                <w:color w:val="auto"/>
              </w:rPr>
              <w:t>600,000</w:t>
            </w:r>
          </w:p>
        </w:tc>
        <w:tc>
          <w:tcPr>
            <w:tcW w:w="2300" w:type="dxa"/>
            <w:vAlign w:val="bottom"/>
          </w:tcPr>
          <w:p>
            <w:pPr>
              <w:jc w:val="center"/>
              <w:ind w:right="35"/>
              <w:spacing w:after="0"/>
              <w:rPr>
                <w:sz w:val="20"/>
                <w:szCs w:val="20"/>
                <w:color w:val="auto"/>
              </w:rPr>
            </w:pPr>
            <w:r>
              <w:rPr>
                <w:rFonts w:ascii="Arial" w:cs="Arial" w:eastAsia="Arial" w:hAnsi="Arial"/>
                <w:sz w:val="18"/>
                <w:szCs w:val="18"/>
                <w:color w:val="auto"/>
              </w:rPr>
              <w:t>600,000</w:t>
            </w:r>
          </w:p>
        </w:tc>
        <w:tc>
          <w:tcPr>
            <w:tcW w:w="2100" w:type="dxa"/>
            <w:vAlign w:val="bottom"/>
          </w:tcPr>
          <w:p>
            <w:pPr>
              <w:jc w:val="center"/>
              <w:spacing w:after="0"/>
              <w:rPr>
                <w:sz w:val="20"/>
                <w:szCs w:val="20"/>
                <w:color w:val="auto"/>
              </w:rPr>
            </w:pPr>
            <w:r>
              <w:rPr>
                <w:rFonts w:ascii="Arial" w:cs="Arial" w:eastAsia="Arial" w:hAnsi="Arial"/>
                <w:sz w:val="18"/>
                <w:szCs w:val="18"/>
                <w:color w:val="auto"/>
                <w:w w:val="99"/>
              </w:rPr>
              <w:t>-18%</w:t>
            </w:r>
          </w:p>
        </w:tc>
        <w:tc>
          <w:tcPr>
            <w:tcW w:w="2280" w:type="dxa"/>
            <w:vAlign w:val="bottom"/>
          </w:tcPr>
          <w:p>
            <w:pPr>
              <w:jc w:val="center"/>
              <w:ind w:left="15"/>
              <w:spacing w:after="0"/>
              <w:rPr>
                <w:sz w:val="20"/>
                <w:szCs w:val="20"/>
                <w:color w:val="auto"/>
              </w:rPr>
            </w:pPr>
            <w:r>
              <w:rPr>
                <w:rFonts w:ascii="Arial" w:cs="Arial" w:eastAsia="Arial" w:hAnsi="Arial"/>
                <w:sz w:val="18"/>
                <w:szCs w:val="18"/>
                <w:color w:val="auto"/>
                <w:w w:val="99"/>
              </w:rPr>
              <w:t>—</w:t>
            </w:r>
          </w:p>
        </w:tc>
      </w:tr>
      <w:tr>
        <w:trPr>
          <w:trHeight w:val="277"/>
        </w:trPr>
        <w:tc>
          <w:tcPr>
            <w:tcW w:w="2080" w:type="dxa"/>
            <w:vAlign w:val="bottom"/>
            <w:shd w:val="clear" w:color="auto" w:fill="E5E5E5"/>
          </w:tcPr>
          <w:p>
            <w:pPr>
              <w:ind w:left="40"/>
              <w:spacing w:after="0"/>
              <w:rPr>
                <w:sz w:val="20"/>
                <w:szCs w:val="20"/>
                <w:color w:val="auto"/>
              </w:rPr>
            </w:pPr>
            <w:r>
              <w:rPr>
                <w:rFonts w:ascii="Arial" w:cs="Arial" w:eastAsia="Arial" w:hAnsi="Arial"/>
                <w:sz w:val="18"/>
                <w:szCs w:val="18"/>
                <w:color w:val="auto"/>
              </w:rPr>
              <w:t>Mr. Canafax</w:t>
            </w:r>
          </w:p>
        </w:tc>
        <w:tc>
          <w:tcPr>
            <w:tcW w:w="2600" w:type="dxa"/>
            <w:vAlign w:val="bottom"/>
            <w:shd w:val="clear" w:color="auto" w:fill="E5E5E5"/>
          </w:tcPr>
          <w:p>
            <w:pPr>
              <w:jc w:val="center"/>
              <w:ind w:left="135"/>
              <w:spacing w:after="0"/>
              <w:rPr>
                <w:sz w:val="20"/>
                <w:szCs w:val="20"/>
                <w:color w:val="auto"/>
              </w:rPr>
            </w:pPr>
            <w:r>
              <w:rPr>
                <w:rFonts w:ascii="Arial" w:cs="Arial" w:eastAsia="Arial" w:hAnsi="Arial"/>
                <w:sz w:val="18"/>
                <w:szCs w:val="18"/>
                <w:color w:val="auto"/>
              </w:rPr>
              <w:t>500,000</w:t>
            </w:r>
          </w:p>
        </w:tc>
        <w:tc>
          <w:tcPr>
            <w:tcW w:w="2300" w:type="dxa"/>
            <w:vAlign w:val="bottom"/>
            <w:shd w:val="clear" w:color="auto" w:fill="E5E5E5"/>
          </w:tcPr>
          <w:p>
            <w:pPr>
              <w:jc w:val="center"/>
              <w:ind w:right="35"/>
              <w:spacing w:after="0"/>
              <w:rPr>
                <w:sz w:val="20"/>
                <w:szCs w:val="20"/>
                <w:color w:val="auto"/>
              </w:rPr>
            </w:pPr>
            <w:r>
              <w:rPr>
                <w:rFonts w:ascii="Arial" w:cs="Arial" w:eastAsia="Arial" w:hAnsi="Arial"/>
                <w:sz w:val="18"/>
                <w:szCs w:val="18"/>
                <w:color w:val="auto"/>
              </w:rPr>
              <w:t>510,000</w:t>
            </w:r>
          </w:p>
        </w:tc>
        <w:tc>
          <w:tcPr>
            <w:tcW w:w="210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22%</w:t>
            </w:r>
          </w:p>
        </w:tc>
        <w:tc>
          <w:tcPr>
            <w:tcW w:w="2280" w:type="dxa"/>
            <w:vAlign w:val="bottom"/>
            <w:shd w:val="clear" w:color="auto" w:fill="E5E5E5"/>
          </w:tcPr>
          <w:p>
            <w:pPr>
              <w:jc w:val="center"/>
              <w:ind w:left="35"/>
              <w:spacing w:after="0"/>
              <w:rPr>
                <w:sz w:val="20"/>
                <w:szCs w:val="20"/>
                <w:color w:val="auto"/>
              </w:rPr>
            </w:pPr>
            <w:r>
              <w:rPr>
                <w:rFonts w:ascii="Arial" w:cs="Arial" w:eastAsia="Arial" w:hAnsi="Arial"/>
                <w:sz w:val="18"/>
                <w:szCs w:val="18"/>
                <w:color w:val="auto"/>
                <w:w w:val="99"/>
              </w:rPr>
              <w:t>26%</w:t>
            </w:r>
          </w:p>
        </w:tc>
      </w:tr>
      <w:tr>
        <w:trPr>
          <w:trHeight w:val="257"/>
        </w:trPr>
        <w:tc>
          <w:tcPr>
            <w:tcW w:w="2080" w:type="dxa"/>
            <w:vAlign w:val="bottom"/>
          </w:tcPr>
          <w:p>
            <w:pPr>
              <w:ind w:left="40"/>
              <w:spacing w:after="0"/>
              <w:rPr>
                <w:sz w:val="20"/>
                <w:szCs w:val="20"/>
                <w:color w:val="auto"/>
              </w:rPr>
            </w:pPr>
            <w:r>
              <w:rPr>
                <w:rFonts w:ascii="Arial" w:cs="Arial" w:eastAsia="Arial" w:hAnsi="Arial"/>
                <w:sz w:val="18"/>
                <w:szCs w:val="18"/>
                <w:color w:val="auto"/>
              </w:rPr>
              <w:t>Mr. Henry</w:t>
            </w:r>
          </w:p>
        </w:tc>
        <w:tc>
          <w:tcPr>
            <w:tcW w:w="2600" w:type="dxa"/>
            <w:vAlign w:val="bottom"/>
          </w:tcPr>
          <w:p>
            <w:pPr>
              <w:jc w:val="center"/>
              <w:ind w:left="135"/>
              <w:spacing w:after="0"/>
              <w:rPr>
                <w:sz w:val="20"/>
                <w:szCs w:val="20"/>
                <w:color w:val="auto"/>
              </w:rPr>
            </w:pPr>
            <w:r>
              <w:rPr>
                <w:rFonts w:ascii="Arial" w:cs="Arial" w:eastAsia="Arial" w:hAnsi="Arial"/>
                <w:sz w:val="18"/>
                <w:szCs w:val="18"/>
                <w:color w:val="auto"/>
              </w:rPr>
              <w:t>460,000</w:t>
            </w:r>
          </w:p>
        </w:tc>
        <w:tc>
          <w:tcPr>
            <w:tcW w:w="2300" w:type="dxa"/>
            <w:vAlign w:val="bottom"/>
          </w:tcPr>
          <w:p>
            <w:pPr>
              <w:jc w:val="center"/>
              <w:ind w:right="35"/>
              <w:spacing w:after="0"/>
              <w:rPr>
                <w:sz w:val="20"/>
                <w:szCs w:val="20"/>
                <w:color w:val="auto"/>
              </w:rPr>
            </w:pPr>
            <w:r>
              <w:rPr>
                <w:rFonts w:ascii="Arial" w:cs="Arial" w:eastAsia="Arial" w:hAnsi="Arial"/>
                <w:sz w:val="18"/>
                <w:szCs w:val="18"/>
                <w:color w:val="auto"/>
              </w:rPr>
              <w:t>470,000</w:t>
            </w:r>
          </w:p>
        </w:tc>
        <w:tc>
          <w:tcPr>
            <w:tcW w:w="21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2280" w:type="dxa"/>
            <w:vAlign w:val="bottom"/>
          </w:tcPr>
          <w:p>
            <w:pPr>
              <w:jc w:val="center"/>
              <w:ind w:left="15"/>
              <w:spacing w:after="0"/>
              <w:rPr>
                <w:sz w:val="20"/>
                <w:szCs w:val="20"/>
                <w:color w:val="auto"/>
              </w:rPr>
            </w:pPr>
            <w:r>
              <w:rPr>
                <w:rFonts w:ascii="Arial" w:cs="Arial" w:eastAsia="Arial" w:hAnsi="Arial"/>
                <w:sz w:val="18"/>
                <w:szCs w:val="18"/>
                <w:color w:val="auto"/>
                <w:w w:val="99"/>
              </w:rPr>
              <w:t>3%</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 COMPENSATION</w:t>
      </w:r>
    </w:p>
    <w:p>
      <w:pPr>
        <w:spacing w:after="0" w:line="9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i w:val="1"/>
          <w:iCs w:val="1"/>
          <w:color w:val="auto"/>
        </w:rPr>
        <w:t>Overview and Design</w:t>
      </w:r>
      <w:r>
        <w:rPr>
          <w:rFonts w:ascii="Arial" w:cs="Arial" w:eastAsia="Arial" w:hAnsi="Arial"/>
          <w:sz w:val="18"/>
          <w:szCs w:val="18"/>
          <w:color w:val="auto"/>
        </w:rPr>
        <w:t>. We pay annual incentives to drive the achievement of key business results and to recognize individuals based on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contributions to those results. The Compensation Committee administers cash-based annual incentive compensation for our Named Executives through our Executive Incentive Compensation Plan (“EICP”), which was previously approved by our stockholders. The following provides details on the performance measures selected by our Compensation Committee for our 2017 annual incentive plan.</w:t>
      </w:r>
    </w:p>
    <w:p>
      <w:pPr>
        <w:spacing w:after="0" w:line="226" w:lineRule="exact"/>
        <w:rPr>
          <w:sz w:val="20"/>
          <w:szCs w:val="20"/>
          <w:color w:val="auto"/>
        </w:rPr>
      </w:pPr>
    </w:p>
    <w:p>
      <w:pPr>
        <w:jc w:val="right"/>
        <w:spacing w:after="0"/>
        <w:rPr>
          <w:sz w:val="20"/>
          <w:szCs w:val="20"/>
          <w:color w:val="auto"/>
        </w:rPr>
      </w:pPr>
      <w:r>
        <w:rPr>
          <w:sz w:val="1"/>
          <w:szCs w:val="1"/>
          <w:color w:val="auto"/>
        </w:rPr>
        <w:drawing>
          <wp:inline distT="0" distB="0" distL="0" distR="0">
            <wp:extent cx="488950" cy="20574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88950" cy="205740"/>
                    </a:xfrm>
                    <a:prstGeom prst="rect">
                      <a:avLst/>
                    </a:prstGeom>
                    <a:noFill/>
                    <a:ln>
                      <a:noFill/>
                    </a:ln>
                  </pic:spPr>
                </pic:pic>
              </a:graphicData>
            </a:graphic>
          </wp:inline>
        </w:drawing>
      </w:r>
      <w:r>
        <w:rPr>
          <w:rFonts w:ascii="Arial" w:cs="Arial" w:eastAsia="Arial" w:hAnsi="Arial"/>
          <w:sz w:val="18"/>
          <w:szCs w:val="18"/>
          <w:color w:val="auto"/>
        </w:rPr>
        <w:t xml:space="preserve"> 2018 PROXY STATEMENT </w:t>
      </w:r>
      <w:r>
        <w:rPr>
          <w:rFonts w:ascii="Arial" w:cs="Arial" w:eastAsia="Arial" w:hAnsi="Arial"/>
          <w:sz w:val="18"/>
          <w:szCs w:val="18"/>
          <w:b w:val="1"/>
          <w:bCs w:val="1"/>
          <w:color w:val="2C2C2C"/>
        </w:rPr>
        <w:t>31</w:t>
      </w:r>
    </w:p>
    <w:p>
      <w:pPr>
        <w:sectPr>
          <w:pgSz w:w="11900" w:h="16838" w:orient="portrait"/>
          <w:cols w:equalWidth="0" w:num="1">
            <w:col w:w="11420"/>
          </w:cols>
          <w:pgMar w:left="240" w:top="125" w:right="239" w:bottom="1440" w:gutter="0" w:footer="0" w:header="0"/>
        </w:sectPr>
      </w:pPr>
    </w:p>
    <w:bookmarkStart w:id="40" w:name="page41"/>
    <w:bookmarkEnd w:id="40"/>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178"/>
        </w:trPr>
        <w:tc>
          <w:tcPr>
            <w:tcW w:w="16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tcPr>
          <w:p>
            <w:pPr>
              <w:spacing w:after="0"/>
              <w:rPr>
                <w:sz w:val="15"/>
                <w:szCs w:val="15"/>
                <w:color w:val="auto"/>
              </w:rPr>
            </w:pPr>
          </w:p>
        </w:tc>
        <w:tc>
          <w:tcPr>
            <w:tcW w:w="8540" w:type="dxa"/>
            <w:vAlign w:val="bottom"/>
            <w:tcBorders>
              <w:bottom w:val="single" w:sz="8" w:color="auto"/>
            </w:tcBorders>
          </w:tcPr>
          <w:p>
            <w:pPr>
              <w:ind w:left="4440"/>
              <w:spacing w:after="0"/>
              <w:rPr>
                <w:sz w:val="20"/>
                <w:szCs w:val="20"/>
                <w:color w:val="auto"/>
              </w:rPr>
            </w:pPr>
            <w:r>
              <w:rPr>
                <w:rFonts w:ascii="Arial" w:cs="Arial" w:eastAsia="Arial" w:hAnsi="Arial"/>
                <w:sz w:val="14"/>
                <w:szCs w:val="14"/>
                <w:color w:val="auto"/>
              </w:rPr>
              <w:t>COMPENSATION DISCUSSION AND ANALYSIS</w:t>
            </w:r>
          </w:p>
        </w:tc>
        <w:tc>
          <w:tcPr>
            <w:tcW w:w="0" w:type="dxa"/>
            <w:vAlign w:val="bottom"/>
          </w:tcPr>
          <w:p>
            <w:pPr>
              <w:spacing w:after="0"/>
              <w:rPr>
                <w:sz w:val="1"/>
                <w:szCs w:val="1"/>
                <w:color w:val="auto"/>
              </w:rPr>
            </w:pPr>
          </w:p>
        </w:tc>
      </w:tr>
      <w:tr>
        <w:trPr>
          <w:trHeight w:val="378"/>
        </w:trPr>
        <w:tc>
          <w:tcPr>
            <w:tcW w:w="1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60" w:type="dxa"/>
            <w:vAlign w:val="bottom"/>
            <w:tcBorders>
              <w:left w:val="single" w:sz="8" w:color="auto"/>
              <w:bottom w:val="single" w:sz="8" w:color="auto"/>
            </w:tcBorders>
            <w:shd w:val="clear" w:color="auto" w:fill="E5E5E5"/>
          </w:tcPr>
          <w:p>
            <w:pPr>
              <w:spacing w:after="0"/>
              <w:rPr>
                <w:sz w:val="21"/>
                <w:szCs w:val="21"/>
                <w:color w:val="auto"/>
              </w:rPr>
            </w:pPr>
          </w:p>
        </w:tc>
        <w:tc>
          <w:tcPr>
            <w:tcW w:w="2720" w:type="dxa"/>
            <w:vAlign w:val="bottom"/>
            <w:tcBorders>
              <w:bottom w:val="single" w:sz="8" w:color="auto"/>
              <w:right w:val="single" w:sz="8" w:color="E5E5E5"/>
            </w:tcBorders>
            <w:shd w:val="clear" w:color="auto" w:fill="E5E5E5"/>
          </w:tcPr>
          <w:p>
            <w:pPr>
              <w:spacing w:after="0"/>
              <w:rPr>
                <w:sz w:val="21"/>
                <w:szCs w:val="21"/>
                <w:color w:val="auto"/>
              </w:rPr>
            </w:pPr>
          </w:p>
        </w:tc>
        <w:tc>
          <w:tcPr>
            <w:tcW w:w="8540" w:type="dxa"/>
            <w:vAlign w:val="bottom"/>
            <w:tcBorders>
              <w:bottom w:val="single" w:sz="8" w:color="auto"/>
              <w:right w:val="single" w:sz="8" w:color="auto"/>
            </w:tcBorders>
            <w:shd w:val="clear" w:color="auto" w:fill="E5E5E5"/>
          </w:tcPr>
          <w:p>
            <w:pPr>
              <w:ind w:left="1380"/>
              <w:spacing w:after="0"/>
              <w:rPr>
                <w:sz w:val="20"/>
                <w:szCs w:val="20"/>
                <w:color w:val="auto"/>
              </w:rPr>
            </w:pPr>
            <w:r>
              <w:rPr>
                <w:rFonts w:ascii="Arial" w:cs="Arial" w:eastAsia="Arial" w:hAnsi="Arial"/>
                <w:sz w:val="18"/>
                <w:szCs w:val="18"/>
                <w:b w:val="1"/>
                <w:bCs w:val="1"/>
                <w:color w:val="auto"/>
              </w:rPr>
              <w:t>2017 EICP Performance Measures</w:t>
            </w:r>
          </w:p>
        </w:tc>
        <w:tc>
          <w:tcPr>
            <w:tcW w:w="0" w:type="dxa"/>
            <w:vAlign w:val="bottom"/>
          </w:tcPr>
          <w:p>
            <w:pPr>
              <w:spacing w:after="0"/>
              <w:rPr>
                <w:sz w:val="1"/>
                <w:szCs w:val="1"/>
                <w:color w:val="auto"/>
              </w:rPr>
            </w:pPr>
          </w:p>
        </w:tc>
      </w:tr>
      <w:tr>
        <w:trPr>
          <w:trHeight w:val="283"/>
        </w:trPr>
        <w:tc>
          <w:tcPr>
            <w:tcW w:w="28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Financial (80%)</w:t>
            </w:r>
          </w:p>
        </w:tc>
        <w:tc>
          <w:tcPr>
            <w:tcW w:w="85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 xml:space="preserve">Rationale: </w:t>
            </w:r>
            <w:r>
              <w:rPr>
                <w:rFonts w:ascii="Arial" w:cs="Arial" w:eastAsia="Arial" w:hAnsi="Arial"/>
                <w:sz w:val="18"/>
                <w:szCs w:val="18"/>
                <w:color w:val="auto"/>
              </w:rPr>
              <w:t>Operating Income is our primary measure of profitability, which we believe is a strong driver of</w:t>
            </w:r>
          </w:p>
        </w:tc>
        <w:tc>
          <w:tcPr>
            <w:tcW w:w="0" w:type="dxa"/>
            <w:vAlign w:val="bottom"/>
          </w:tcPr>
          <w:p>
            <w:pPr>
              <w:spacing w:after="0"/>
              <w:rPr>
                <w:sz w:val="1"/>
                <w:szCs w:val="1"/>
                <w:color w:val="auto"/>
              </w:rPr>
            </w:pPr>
          </w:p>
        </w:tc>
      </w:tr>
      <w:tr>
        <w:trPr>
          <w:trHeight w:val="203"/>
        </w:trPr>
        <w:tc>
          <w:tcPr>
            <w:tcW w:w="160" w:type="dxa"/>
            <w:vAlign w:val="bottom"/>
            <w:tcBorders>
              <w:left w:val="single" w:sz="8" w:color="auto"/>
            </w:tcBorders>
          </w:tcPr>
          <w:p>
            <w:pPr>
              <w:ind w:left="40"/>
              <w:spacing w:after="0" w:line="203" w:lineRule="exact"/>
              <w:rPr>
                <w:sz w:val="20"/>
                <w:szCs w:val="20"/>
                <w:color w:val="auto"/>
              </w:rPr>
            </w:pPr>
            <w:r>
              <w:rPr>
                <w:rFonts w:ascii="Arial" w:cs="Arial" w:eastAsia="Arial" w:hAnsi="Arial"/>
                <w:sz w:val="18"/>
                <w:szCs w:val="18"/>
                <w:color w:val="auto"/>
              </w:rPr>
              <w:t>•</w:t>
            </w:r>
          </w:p>
        </w:tc>
        <w:tc>
          <w:tcPr>
            <w:tcW w:w="27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18"/>
                <w:szCs w:val="18"/>
                <w:color w:val="auto"/>
              </w:rPr>
              <w:t>Operating Income (55%)</w:t>
            </w:r>
          </w:p>
        </w:tc>
        <w:tc>
          <w:tcPr>
            <w:tcW w:w="8540" w:type="dxa"/>
            <w:vAlign w:val="bottom"/>
            <w:tcBorders>
              <w:right w:val="single" w:sz="8" w:color="auto"/>
            </w:tcBorders>
          </w:tcPr>
          <w:p>
            <w:pPr>
              <w:ind w:left="20"/>
              <w:spacing w:after="0" w:line="203" w:lineRule="exact"/>
              <w:rPr>
                <w:sz w:val="20"/>
                <w:szCs w:val="20"/>
                <w:color w:val="auto"/>
              </w:rPr>
            </w:pPr>
            <w:r>
              <w:rPr>
                <w:rFonts w:ascii="Arial" w:cs="Arial" w:eastAsia="Arial" w:hAnsi="Arial"/>
                <w:sz w:val="18"/>
                <w:szCs w:val="18"/>
                <w:color w:val="auto"/>
              </w:rPr>
              <w:t>shareholder value; Free Cash Flow promotes management focus on strong cash flow generation to</w:t>
            </w:r>
          </w:p>
        </w:tc>
        <w:tc>
          <w:tcPr>
            <w:tcW w:w="0" w:type="dxa"/>
            <w:vAlign w:val="bottom"/>
          </w:tcPr>
          <w:p>
            <w:pPr>
              <w:spacing w:after="0"/>
              <w:rPr>
                <w:sz w:val="1"/>
                <w:szCs w:val="1"/>
                <w:color w:val="auto"/>
              </w:rPr>
            </w:pPr>
          </w:p>
        </w:tc>
      </w:tr>
      <w:tr>
        <w:trPr>
          <w:trHeight w:val="202"/>
        </w:trPr>
        <w:tc>
          <w:tcPr>
            <w:tcW w:w="288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8"/>
                <w:szCs w:val="18"/>
                <w:color w:val="auto"/>
              </w:rPr>
              <w:t>• Free Cash Flow (25%)</w:t>
            </w:r>
          </w:p>
        </w:tc>
        <w:tc>
          <w:tcPr>
            <w:tcW w:w="854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support our balanced capital deployment strategy between dividends, mergers and acquisitions and share</w:t>
            </w:r>
          </w:p>
        </w:tc>
        <w:tc>
          <w:tcPr>
            <w:tcW w:w="0" w:type="dxa"/>
            <w:vAlign w:val="bottom"/>
          </w:tcPr>
          <w:p>
            <w:pPr>
              <w:spacing w:after="0"/>
              <w:rPr>
                <w:sz w:val="1"/>
                <w:szCs w:val="1"/>
                <w:color w:val="auto"/>
              </w:rPr>
            </w:pPr>
          </w:p>
        </w:tc>
      </w:tr>
      <w:tr>
        <w:trPr>
          <w:trHeight w:val="122"/>
        </w:trPr>
        <w:tc>
          <w:tcPr>
            <w:tcW w:w="2880" w:type="dxa"/>
            <w:vAlign w:val="bottom"/>
            <w:tcBorders>
              <w:left w:val="single" w:sz="8" w:color="auto"/>
              <w:right w:val="single" w:sz="8" w:color="auto"/>
            </w:tcBorders>
            <w:gridSpan w:val="2"/>
            <w:vMerge w:val="continue"/>
          </w:tcPr>
          <w:p>
            <w:pPr>
              <w:spacing w:after="0"/>
              <w:rPr>
                <w:sz w:val="10"/>
                <w:szCs w:val="10"/>
                <w:color w:val="auto"/>
              </w:rPr>
            </w:pPr>
          </w:p>
        </w:tc>
        <w:tc>
          <w:tcPr>
            <w:tcW w:w="85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repurchases.</w:t>
            </w:r>
          </w:p>
        </w:tc>
        <w:tc>
          <w:tcPr>
            <w:tcW w:w="0" w:type="dxa"/>
            <w:vAlign w:val="bottom"/>
          </w:tcPr>
          <w:p>
            <w:pPr>
              <w:spacing w:after="0"/>
              <w:rPr>
                <w:sz w:val="1"/>
                <w:szCs w:val="1"/>
                <w:color w:val="auto"/>
              </w:rPr>
            </w:pPr>
          </w:p>
        </w:tc>
      </w:tr>
      <w:tr>
        <w:trPr>
          <w:trHeight w:val="95"/>
        </w:trPr>
        <w:tc>
          <w:tcPr>
            <w:tcW w:w="160" w:type="dxa"/>
            <w:vAlign w:val="bottom"/>
            <w:tcBorders>
              <w:left w:val="single" w:sz="8" w:color="auto"/>
            </w:tcBorders>
          </w:tcPr>
          <w:p>
            <w:pPr>
              <w:spacing w:after="0"/>
              <w:rPr>
                <w:sz w:val="8"/>
                <w:szCs w:val="8"/>
                <w:color w:val="auto"/>
              </w:rPr>
            </w:pPr>
          </w:p>
        </w:tc>
        <w:tc>
          <w:tcPr>
            <w:tcW w:w="2720" w:type="dxa"/>
            <w:vAlign w:val="bottom"/>
            <w:tcBorders>
              <w:right w:val="single" w:sz="8" w:color="auto"/>
            </w:tcBorders>
          </w:tcPr>
          <w:p>
            <w:pPr>
              <w:spacing w:after="0"/>
              <w:rPr>
                <w:sz w:val="8"/>
                <w:szCs w:val="8"/>
                <w:color w:val="auto"/>
              </w:rPr>
            </w:pPr>
          </w:p>
        </w:tc>
        <w:tc>
          <w:tcPr>
            <w:tcW w:w="8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61"/>
        </w:trPr>
        <w:tc>
          <w:tcPr>
            <w:tcW w:w="160" w:type="dxa"/>
            <w:vAlign w:val="bottom"/>
            <w:tcBorders>
              <w:left w:val="single" w:sz="8" w:color="auto"/>
            </w:tcBorders>
          </w:tcPr>
          <w:p>
            <w:pPr>
              <w:spacing w:after="0"/>
              <w:rPr>
                <w:sz w:val="24"/>
                <w:szCs w:val="24"/>
                <w:color w:val="auto"/>
              </w:rPr>
            </w:pPr>
          </w:p>
        </w:tc>
        <w:tc>
          <w:tcPr>
            <w:tcW w:w="2720" w:type="dxa"/>
            <w:vAlign w:val="bottom"/>
            <w:tcBorders>
              <w:right w:val="single" w:sz="8" w:color="auto"/>
            </w:tcBorders>
          </w:tcPr>
          <w:p>
            <w:pPr>
              <w:spacing w:after="0"/>
              <w:rPr>
                <w:sz w:val="24"/>
                <w:szCs w:val="24"/>
                <w:color w:val="auto"/>
              </w:rPr>
            </w:pPr>
          </w:p>
        </w:tc>
        <w:tc>
          <w:tcPr>
            <w:tcW w:w="85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 xml:space="preserve">Key Features: </w:t>
            </w:r>
            <w:r>
              <w:rPr>
                <w:rFonts w:ascii="Arial" w:cs="Arial" w:eastAsia="Arial" w:hAnsi="Arial"/>
                <w:sz w:val="18"/>
                <w:szCs w:val="18"/>
                <w:color w:val="auto"/>
              </w:rPr>
              <w:t>No pay-out unless at least threshold BWXT consolidated operating income performance</w:t>
            </w:r>
          </w:p>
        </w:tc>
        <w:tc>
          <w:tcPr>
            <w:tcW w:w="0" w:type="dxa"/>
            <w:vAlign w:val="bottom"/>
          </w:tcPr>
          <w:p>
            <w:pPr>
              <w:spacing w:after="0"/>
              <w:rPr>
                <w:sz w:val="1"/>
                <w:szCs w:val="1"/>
                <w:color w:val="auto"/>
              </w:rPr>
            </w:pPr>
          </w:p>
        </w:tc>
      </w:tr>
      <w:tr>
        <w:trPr>
          <w:trHeight w:val="276"/>
        </w:trPr>
        <w:tc>
          <w:tcPr>
            <w:tcW w:w="160" w:type="dxa"/>
            <w:vAlign w:val="bottom"/>
            <w:tcBorders>
              <w:left w:val="single" w:sz="8" w:color="auto"/>
            </w:tcBorders>
          </w:tcPr>
          <w:p>
            <w:pPr>
              <w:spacing w:after="0"/>
              <w:rPr>
                <w:sz w:val="24"/>
                <w:szCs w:val="24"/>
                <w:color w:val="auto"/>
              </w:rPr>
            </w:pPr>
          </w:p>
        </w:tc>
        <w:tc>
          <w:tcPr>
            <w:tcW w:w="2720" w:type="dxa"/>
            <w:vAlign w:val="bottom"/>
            <w:tcBorders>
              <w:right w:val="single" w:sz="8" w:color="auto"/>
            </w:tcBorders>
          </w:tcPr>
          <w:p>
            <w:pPr>
              <w:spacing w:after="0"/>
              <w:rPr>
                <w:sz w:val="24"/>
                <w:szCs w:val="24"/>
                <w:color w:val="auto"/>
              </w:rPr>
            </w:pPr>
          </w:p>
        </w:tc>
        <w:tc>
          <w:tcPr>
            <w:tcW w:w="8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goal is achieved; financial performance determines the maximum amount a Named Executive can earn.</w:t>
            </w:r>
            <w:r>
              <w:rPr>
                <w:rFonts w:ascii="Arial" w:cs="Arial" w:eastAsia="Arial" w:hAnsi="Arial"/>
                <w:sz w:val="21"/>
                <w:szCs w:val="21"/>
                <w:color w:val="auto"/>
                <w:vertAlign w:val="superscript"/>
              </w:rPr>
              <w:t>(1)</w:t>
            </w:r>
          </w:p>
        </w:tc>
        <w:tc>
          <w:tcPr>
            <w:tcW w:w="0" w:type="dxa"/>
            <w:vAlign w:val="bottom"/>
          </w:tcPr>
          <w:p>
            <w:pPr>
              <w:spacing w:after="0"/>
              <w:rPr>
                <w:sz w:val="1"/>
                <w:szCs w:val="1"/>
                <w:color w:val="auto"/>
              </w:rPr>
            </w:pPr>
          </w:p>
        </w:tc>
      </w:tr>
      <w:tr>
        <w:trPr>
          <w:trHeight w:val="307"/>
        </w:trPr>
        <w:tc>
          <w:tcPr>
            <w:tcW w:w="160" w:type="dxa"/>
            <w:vAlign w:val="bottom"/>
            <w:tcBorders>
              <w:left w:val="single" w:sz="8" w:color="auto"/>
            </w:tcBorders>
          </w:tcPr>
          <w:p>
            <w:pPr>
              <w:spacing w:after="0"/>
              <w:rPr>
                <w:sz w:val="24"/>
                <w:szCs w:val="24"/>
                <w:color w:val="auto"/>
              </w:rPr>
            </w:pPr>
          </w:p>
        </w:tc>
        <w:tc>
          <w:tcPr>
            <w:tcW w:w="2720" w:type="dxa"/>
            <w:vAlign w:val="bottom"/>
            <w:tcBorders>
              <w:right w:val="single" w:sz="8" w:color="auto"/>
            </w:tcBorders>
          </w:tcPr>
          <w:p>
            <w:pPr>
              <w:spacing w:after="0"/>
              <w:rPr>
                <w:sz w:val="24"/>
                <w:szCs w:val="24"/>
                <w:color w:val="auto"/>
              </w:rPr>
            </w:pPr>
          </w:p>
        </w:tc>
        <w:tc>
          <w:tcPr>
            <w:tcW w:w="85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 xml:space="preserve">Pay-Out Calculation: </w:t>
            </w:r>
            <w:r>
              <w:rPr>
                <w:rFonts w:ascii="Arial" w:cs="Arial" w:eastAsia="Arial" w:hAnsi="Arial"/>
                <w:sz w:val="18"/>
                <w:szCs w:val="18"/>
                <w:color w:val="auto"/>
              </w:rPr>
              <w:t>Ranges from 0% - 200% based on achievement against goals; result is referred to</w:t>
            </w:r>
          </w:p>
        </w:tc>
        <w:tc>
          <w:tcPr>
            <w:tcW w:w="0" w:type="dxa"/>
            <w:vAlign w:val="bottom"/>
          </w:tcPr>
          <w:p>
            <w:pPr>
              <w:spacing w:after="0"/>
              <w:rPr>
                <w:sz w:val="1"/>
                <w:szCs w:val="1"/>
                <w:color w:val="auto"/>
              </w:rPr>
            </w:pPr>
          </w:p>
        </w:tc>
      </w:tr>
      <w:tr>
        <w:trPr>
          <w:trHeight w:val="224"/>
        </w:trPr>
        <w:tc>
          <w:tcPr>
            <w:tcW w:w="160" w:type="dxa"/>
            <w:vAlign w:val="bottom"/>
            <w:tcBorders>
              <w:left w:val="single" w:sz="8" w:color="auto"/>
              <w:bottom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spacing w:after="0"/>
              <w:rPr>
                <w:sz w:val="19"/>
                <w:szCs w:val="19"/>
                <w:color w:val="auto"/>
              </w:rPr>
            </w:pPr>
          </w:p>
        </w:tc>
        <w:tc>
          <w:tcPr>
            <w:tcW w:w="85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as the “Financial Multiplier.”</w:t>
            </w:r>
          </w:p>
        </w:tc>
        <w:tc>
          <w:tcPr>
            <w:tcW w:w="0" w:type="dxa"/>
            <w:vAlign w:val="bottom"/>
          </w:tcPr>
          <w:p>
            <w:pPr>
              <w:spacing w:after="0"/>
              <w:rPr>
                <w:sz w:val="1"/>
                <w:szCs w:val="1"/>
                <w:color w:val="auto"/>
              </w:rPr>
            </w:pPr>
          </w:p>
        </w:tc>
      </w:tr>
      <w:tr>
        <w:trPr>
          <w:trHeight w:val="283"/>
        </w:trPr>
        <w:tc>
          <w:tcPr>
            <w:tcW w:w="2880" w:type="dxa"/>
            <w:vAlign w:val="bottom"/>
            <w:tcBorders>
              <w:left w:val="single" w:sz="8" w:color="auto"/>
              <w:right w:val="single" w:sz="8" w:color="auto"/>
            </w:tcBorders>
            <w:gridSpan w:val="2"/>
            <w:shd w:val="clear" w:color="auto" w:fill="E5E5E5"/>
          </w:tcPr>
          <w:p>
            <w:pPr>
              <w:ind w:left="40"/>
              <w:spacing w:after="0"/>
              <w:rPr>
                <w:sz w:val="20"/>
                <w:szCs w:val="20"/>
                <w:color w:val="auto"/>
              </w:rPr>
            </w:pPr>
            <w:r>
              <w:rPr>
                <w:rFonts w:ascii="Arial" w:cs="Arial" w:eastAsia="Arial" w:hAnsi="Arial"/>
                <w:sz w:val="18"/>
                <w:szCs w:val="18"/>
                <w:b w:val="1"/>
                <w:bCs w:val="1"/>
                <w:color w:val="auto"/>
              </w:rPr>
              <w:t>Safety (10%)</w:t>
            </w:r>
          </w:p>
        </w:tc>
        <w:tc>
          <w:tcPr>
            <w:tcW w:w="8540" w:type="dxa"/>
            <w:vAlign w:val="bottom"/>
            <w:tcBorders>
              <w:right w:val="single" w:sz="8" w:color="auto"/>
            </w:tcBorders>
            <w:shd w:val="clear" w:color="auto" w:fill="E5E5E5"/>
          </w:tcPr>
          <w:p>
            <w:pPr>
              <w:ind w:left="20"/>
              <w:spacing w:after="0"/>
              <w:rPr>
                <w:sz w:val="20"/>
                <w:szCs w:val="20"/>
                <w:color w:val="auto"/>
              </w:rPr>
            </w:pPr>
            <w:r>
              <w:rPr>
                <w:rFonts w:ascii="Arial" w:cs="Arial" w:eastAsia="Arial" w:hAnsi="Arial"/>
                <w:sz w:val="18"/>
                <w:szCs w:val="18"/>
                <w:b w:val="1"/>
                <w:bCs w:val="1"/>
                <w:i w:val="1"/>
                <w:iCs w:val="1"/>
                <w:color w:val="auto"/>
              </w:rPr>
              <w:t xml:space="preserve">Rationale: </w:t>
            </w:r>
            <w:r>
              <w:rPr>
                <w:rFonts w:ascii="Arial" w:cs="Arial" w:eastAsia="Arial" w:hAnsi="Arial"/>
                <w:sz w:val="18"/>
                <w:szCs w:val="18"/>
                <w:color w:val="auto"/>
              </w:rPr>
              <w:t>Key component for the success of our business; TRIR and DART focus attention on day-to-</w:t>
            </w:r>
          </w:p>
        </w:tc>
        <w:tc>
          <w:tcPr>
            <w:tcW w:w="0" w:type="dxa"/>
            <w:vAlign w:val="bottom"/>
          </w:tcPr>
          <w:p>
            <w:pPr>
              <w:spacing w:after="0"/>
              <w:rPr>
                <w:sz w:val="1"/>
                <w:szCs w:val="1"/>
                <w:color w:val="auto"/>
              </w:rPr>
            </w:pPr>
          </w:p>
        </w:tc>
      </w:tr>
      <w:tr>
        <w:trPr>
          <w:trHeight w:val="203"/>
        </w:trPr>
        <w:tc>
          <w:tcPr>
            <w:tcW w:w="160" w:type="dxa"/>
            <w:vAlign w:val="bottom"/>
            <w:tcBorders>
              <w:left w:val="single" w:sz="8" w:color="auto"/>
            </w:tcBorders>
            <w:shd w:val="clear" w:color="auto" w:fill="E5E5E5"/>
          </w:tcPr>
          <w:p>
            <w:pPr>
              <w:ind w:left="40"/>
              <w:spacing w:after="0" w:line="202" w:lineRule="exact"/>
              <w:rPr>
                <w:sz w:val="20"/>
                <w:szCs w:val="20"/>
                <w:color w:val="auto"/>
              </w:rPr>
            </w:pPr>
            <w:r>
              <w:rPr>
                <w:rFonts w:ascii="Arial" w:cs="Arial" w:eastAsia="Arial" w:hAnsi="Arial"/>
                <w:sz w:val="18"/>
                <w:szCs w:val="18"/>
                <w:color w:val="auto"/>
              </w:rPr>
              <w:t>•</w:t>
            </w:r>
          </w:p>
        </w:tc>
        <w:tc>
          <w:tcPr>
            <w:tcW w:w="2720" w:type="dxa"/>
            <w:vAlign w:val="bottom"/>
            <w:tcBorders>
              <w:right w:val="single" w:sz="8" w:color="auto"/>
            </w:tcBorders>
            <w:shd w:val="clear" w:color="auto" w:fill="E5E5E5"/>
          </w:tcPr>
          <w:p>
            <w:pPr>
              <w:ind w:left="40"/>
              <w:spacing w:after="0" w:line="202" w:lineRule="exact"/>
              <w:rPr>
                <w:sz w:val="20"/>
                <w:szCs w:val="20"/>
                <w:color w:val="auto"/>
              </w:rPr>
            </w:pPr>
            <w:r>
              <w:rPr>
                <w:rFonts w:ascii="Arial" w:cs="Arial" w:eastAsia="Arial" w:hAnsi="Arial"/>
                <w:sz w:val="18"/>
                <w:szCs w:val="18"/>
                <w:color w:val="auto"/>
              </w:rPr>
              <w:t>TRIR (4%)</w:t>
            </w:r>
          </w:p>
        </w:tc>
        <w:tc>
          <w:tcPr>
            <w:tcW w:w="8540" w:type="dxa"/>
            <w:vAlign w:val="bottom"/>
            <w:tcBorders>
              <w:right w:val="single" w:sz="8" w:color="auto"/>
            </w:tcBorders>
            <w:shd w:val="clear" w:color="auto" w:fill="E5E5E5"/>
          </w:tcPr>
          <w:p>
            <w:pPr>
              <w:ind w:left="20"/>
              <w:spacing w:after="0" w:line="202" w:lineRule="exact"/>
              <w:rPr>
                <w:sz w:val="20"/>
                <w:szCs w:val="20"/>
                <w:color w:val="auto"/>
              </w:rPr>
            </w:pPr>
            <w:r>
              <w:rPr>
                <w:rFonts w:ascii="Arial" w:cs="Arial" w:eastAsia="Arial" w:hAnsi="Arial"/>
                <w:sz w:val="18"/>
                <w:szCs w:val="18"/>
                <w:color w:val="auto"/>
              </w:rPr>
              <w:t>day operational safety by measuring, respectively, (1) the rate of recordable workplace injuries, and (2) the</w:t>
            </w:r>
          </w:p>
        </w:tc>
        <w:tc>
          <w:tcPr>
            <w:tcW w:w="0" w:type="dxa"/>
            <w:vAlign w:val="bottom"/>
          </w:tcPr>
          <w:p>
            <w:pPr>
              <w:spacing w:after="0"/>
              <w:rPr>
                <w:sz w:val="1"/>
                <w:szCs w:val="1"/>
                <w:color w:val="auto"/>
              </w:rPr>
            </w:pPr>
          </w:p>
        </w:tc>
      </w:tr>
      <w:tr>
        <w:trPr>
          <w:trHeight w:val="203"/>
        </w:trPr>
        <w:tc>
          <w:tcPr>
            <w:tcW w:w="160" w:type="dxa"/>
            <w:vAlign w:val="bottom"/>
            <w:tcBorders>
              <w:left w:val="single" w:sz="8" w:color="auto"/>
            </w:tcBorders>
            <w:shd w:val="clear" w:color="auto" w:fill="E5E5E5"/>
          </w:tcPr>
          <w:p>
            <w:pPr>
              <w:ind w:left="40"/>
              <w:spacing w:after="0" w:line="202" w:lineRule="exact"/>
              <w:rPr>
                <w:sz w:val="20"/>
                <w:szCs w:val="20"/>
                <w:color w:val="auto"/>
              </w:rPr>
            </w:pPr>
            <w:r>
              <w:rPr>
                <w:rFonts w:ascii="Arial" w:cs="Arial" w:eastAsia="Arial" w:hAnsi="Arial"/>
                <w:sz w:val="18"/>
                <w:szCs w:val="18"/>
                <w:color w:val="auto"/>
              </w:rPr>
              <w:t>•</w:t>
            </w:r>
          </w:p>
        </w:tc>
        <w:tc>
          <w:tcPr>
            <w:tcW w:w="2720" w:type="dxa"/>
            <w:vAlign w:val="bottom"/>
            <w:tcBorders>
              <w:right w:val="single" w:sz="8" w:color="auto"/>
            </w:tcBorders>
            <w:shd w:val="clear" w:color="auto" w:fill="E5E5E5"/>
          </w:tcPr>
          <w:p>
            <w:pPr>
              <w:ind w:left="60"/>
              <w:spacing w:after="0" w:line="202" w:lineRule="exact"/>
              <w:rPr>
                <w:sz w:val="20"/>
                <w:szCs w:val="20"/>
                <w:color w:val="auto"/>
              </w:rPr>
            </w:pPr>
            <w:r>
              <w:rPr>
                <w:rFonts w:ascii="Arial" w:cs="Arial" w:eastAsia="Arial" w:hAnsi="Arial"/>
                <w:sz w:val="18"/>
                <w:szCs w:val="18"/>
                <w:color w:val="auto"/>
              </w:rPr>
              <w:t>DART (4%)</w:t>
            </w:r>
          </w:p>
        </w:tc>
        <w:tc>
          <w:tcPr>
            <w:tcW w:w="8540" w:type="dxa"/>
            <w:vAlign w:val="bottom"/>
            <w:tcBorders>
              <w:right w:val="single" w:sz="8" w:color="auto"/>
            </w:tcBorders>
            <w:shd w:val="clear" w:color="auto" w:fill="E5E5E5"/>
          </w:tcPr>
          <w:p>
            <w:pPr>
              <w:ind w:left="20"/>
              <w:spacing w:after="0" w:line="202" w:lineRule="exact"/>
              <w:rPr>
                <w:sz w:val="20"/>
                <w:szCs w:val="20"/>
                <w:color w:val="auto"/>
              </w:rPr>
            </w:pPr>
            <w:r>
              <w:rPr>
                <w:rFonts w:ascii="Arial" w:cs="Arial" w:eastAsia="Arial" w:hAnsi="Arial"/>
                <w:sz w:val="18"/>
                <w:szCs w:val="18"/>
                <w:color w:val="auto"/>
              </w:rPr>
              <w:t>severity of injuries; EHS BP promotes forward-looking focus on longer-term safety planning by requiring</w:t>
            </w:r>
          </w:p>
        </w:tc>
        <w:tc>
          <w:tcPr>
            <w:tcW w:w="0" w:type="dxa"/>
            <w:vAlign w:val="bottom"/>
          </w:tcPr>
          <w:p>
            <w:pPr>
              <w:spacing w:after="0"/>
              <w:rPr>
                <w:sz w:val="1"/>
                <w:szCs w:val="1"/>
                <w:color w:val="auto"/>
              </w:rPr>
            </w:pPr>
          </w:p>
        </w:tc>
      </w:tr>
      <w:tr>
        <w:trPr>
          <w:trHeight w:val="203"/>
        </w:trPr>
        <w:tc>
          <w:tcPr>
            <w:tcW w:w="160" w:type="dxa"/>
            <w:vAlign w:val="bottom"/>
            <w:tcBorders>
              <w:left w:val="single" w:sz="8" w:color="auto"/>
            </w:tcBorders>
            <w:shd w:val="clear" w:color="auto" w:fill="E5E5E5"/>
          </w:tcPr>
          <w:p>
            <w:pPr>
              <w:ind w:left="40"/>
              <w:spacing w:after="0" w:line="202" w:lineRule="exact"/>
              <w:rPr>
                <w:sz w:val="20"/>
                <w:szCs w:val="20"/>
                <w:color w:val="auto"/>
              </w:rPr>
            </w:pPr>
            <w:r>
              <w:rPr>
                <w:rFonts w:ascii="Arial" w:cs="Arial" w:eastAsia="Arial" w:hAnsi="Arial"/>
                <w:sz w:val="18"/>
                <w:szCs w:val="18"/>
                <w:color w:val="auto"/>
              </w:rPr>
              <w:t>•</w:t>
            </w:r>
          </w:p>
        </w:tc>
        <w:tc>
          <w:tcPr>
            <w:tcW w:w="2720" w:type="dxa"/>
            <w:vAlign w:val="bottom"/>
            <w:tcBorders>
              <w:right w:val="single" w:sz="8" w:color="auto"/>
            </w:tcBorders>
            <w:shd w:val="clear" w:color="auto" w:fill="E5E5E5"/>
          </w:tcPr>
          <w:p>
            <w:pPr>
              <w:ind w:left="60"/>
              <w:spacing w:after="0" w:line="202" w:lineRule="exact"/>
              <w:rPr>
                <w:sz w:val="20"/>
                <w:szCs w:val="20"/>
                <w:color w:val="auto"/>
              </w:rPr>
            </w:pPr>
            <w:r>
              <w:rPr>
                <w:rFonts w:ascii="Arial" w:cs="Arial" w:eastAsia="Arial" w:hAnsi="Arial"/>
                <w:sz w:val="18"/>
                <w:szCs w:val="18"/>
                <w:color w:val="auto"/>
              </w:rPr>
              <w:t>EHS BP (2%)</w:t>
            </w:r>
          </w:p>
        </w:tc>
        <w:tc>
          <w:tcPr>
            <w:tcW w:w="8540" w:type="dxa"/>
            <w:vAlign w:val="bottom"/>
            <w:tcBorders>
              <w:right w:val="single" w:sz="8" w:color="auto"/>
            </w:tcBorders>
            <w:shd w:val="clear" w:color="auto" w:fill="E5E5E5"/>
          </w:tcPr>
          <w:p>
            <w:pPr>
              <w:ind w:left="20"/>
              <w:spacing w:after="0" w:line="202" w:lineRule="exact"/>
              <w:rPr>
                <w:sz w:val="20"/>
                <w:szCs w:val="20"/>
                <w:color w:val="auto"/>
              </w:rPr>
            </w:pPr>
            <w:r>
              <w:rPr>
                <w:rFonts w:ascii="Arial" w:cs="Arial" w:eastAsia="Arial" w:hAnsi="Arial"/>
                <w:sz w:val="18"/>
                <w:szCs w:val="18"/>
                <w:color w:val="auto"/>
              </w:rPr>
              <w:t>each operating entity to outline and define critical activities to be undertaken during the calendar year to</w:t>
            </w:r>
          </w:p>
        </w:tc>
        <w:tc>
          <w:tcPr>
            <w:tcW w:w="0" w:type="dxa"/>
            <w:vAlign w:val="bottom"/>
          </w:tcPr>
          <w:p>
            <w:pPr>
              <w:spacing w:after="0"/>
              <w:rPr>
                <w:sz w:val="1"/>
                <w:szCs w:val="1"/>
                <w:color w:val="auto"/>
              </w:rPr>
            </w:pPr>
          </w:p>
        </w:tc>
      </w:tr>
      <w:tr>
        <w:trPr>
          <w:trHeight w:val="217"/>
        </w:trPr>
        <w:tc>
          <w:tcPr>
            <w:tcW w:w="160" w:type="dxa"/>
            <w:vAlign w:val="bottom"/>
            <w:tcBorders>
              <w:left w:val="single" w:sz="8" w:color="auto"/>
            </w:tcBorders>
            <w:shd w:val="clear" w:color="auto" w:fill="E5E5E5"/>
          </w:tcPr>
          <w:p>
            <w:pPr>
              <w:spacing w:after="0"/>
              <w:rPr>
                <w:sz w:val="18"/>
                <w:szCs w:val="18"/>
                <w:color w:val="auto"/>
              </w:rPr>
            </w:pPr>
          </w:p>
        </w:tc>
        <w:tc>
          <w:tcPr>
            <w:tcW w:w="2720" w:type="dxa"/>
            <w:vAlign w:val="bottom"/>
            <w:tcBorders>
              <w:right w:val="single" w:sz="8" w:color="auto"/>
            </w:tcBorders>
            <w:shd w:val="clear" w:color="auto" w:fill="E5E5E5"/>
          </w:tcPr>
          <w:p>
            <w:pPr>
              <w:spacing w:after="0"/>
              <w:rPr>
                <w:sz w:val="18"/>
                <w:szCs w:val="18"/>
                <w:color w:val="auto"/>
              </w:rPr>
            </w:pPr>
          </w:p>
        </w:tc>
        <w:tc>
          <w:tcPr>
            <w:tcW w:w="8540" w:type="dxa"/>
            <w:vAlign w:val="bottom"/>
            <w:tcBorders>
              <w:right w:val="single" w:sz="8" w:color="auto"/>
            </w:tcBorders>
            <w:shd w:val="clear" w:color="auto" w:fill="E5E5E5"/>
          </w:tcPr>
          <w:p>
            <w:pPr>
              <w:ind w:left="20"/>
              <w:spacing w:after="0"/>
              <w:rPr>
                <w:sz w:val="20"/>
                <w:szCs w:val="20"/>
                <w:color w:val="auto"/>
              </w:rPr>
            </w:pPr>
            <w:r>
              <w:rPr>
                <w:rFonts w:ascii="Arial" w:cs="Arial" w:eastAsia="Arial" w:hAnsi="Arial"/>
                <w:sz w:val="18"/>
                <w:szCs w:val="18"/>
                <w:color w:val="auto"/>
              </w:rPr>
              <w:t>continuously improve performance.</w:t>
            </w:r>
          </w:p>
        </w:tc>
        <w:tc>
          <w:tcPr>
            <w:tcW w:w="0" w:type="dxa"/>
            <w:vAlign w:val="bottom"/>
          </w:tcPr>
          <w:p>
            <w:pPr>
              <w:spacing w:after="0"/>
              <w:rPr>
                <w:sz w:val="1"/>
                <w:szCs w:val="1"/>
                <w:color w:val="auto"/>
              </w:rPr>
            </w:pPr>
          </w:p>
        </w:tc>
      </w:tr>
      <w:tr>
        <w:trPr>
          <w:trHeight w:val="364"/>
        </w:trPr>
        <w:tc>
          <w:tcPr>
            <w:tcW w:w="160" w:type="dxa"/>
            <w:vAlign w:val="bottom"/>
            <w:tcBorders>
              <w:left w:val="single" w:sz="8" w:color="auto"/>
            </w:tcBorders>
            <w:shd w:val="clear" w:color="auto" w:fill="E5E5E5"/>
          </w:tcPr>
          <w:p>
            <w:pPr>
              <w:spacing w:after="0"/>
              <w:rPr>
                <w:sz w:val="24"/>
                <w:szCs w:val="24"/>
                <w:color w:val="auto"/>
              </w:rPr>
            </w:pPr>
          </w:p>
        </w:tc>
        <w:tc>
          <w:tcPr>
            <w:tcW w:w="2720" w:type="dxa"/>
            <w:vAlign w:val="bottom"/>
            <w:tcBorders>
              <w:right w:val="single" w:sz="8" w:color="auto"/>
            </w:tcBorders>
            <w:shd w:val="clear" w:color="auto" w:fill="E5E5E5"/>
          </w:tcPr>
          <w:p>
            <w:pPr>
              <w:spacing w:after="0"/>
              <w:rPr>
                <w:sz w:val="24"/>
                <w:szCs w:val="24"/>
                <w:color w:val="auto"/>
              </w:rPr>
            </w:pPr>
          </w:p>
        </w:tc>
        <w:tc>
          <w:tcPr>
            <w:tcW w:w="8540" w:type="dxa"/>
            <w:vAlign w:val="bottom"/>
            <w:tcBorders>
              <w:right w:val="single" w:sz="8" w:color="auto"/>
            </w:tcBorders>
            <w:shd w:val="clear" w:color="auto" w:fill="E5E5E5"/>
          </w:tcPr>
          <w:p>
            <w:pPr>
              <w:ind w:left="20"/>
              <w:spacing w:after="0"/>
              <w:rPr>
                <w:sz w:val="20"/>
                <w:szCs w:val="20"/>
                <w:color w:val="auto"/>
              </w:rPr>
            </w:pPr>
            <w:r>
              <w:rPr>
                <w:rFonts w:ascii="Arial" w:cs="Arial" w:eastAsia="Arial" w:hAnsi="Arial"/>
                <w:sz w:val="18"/>
                <w:szCs w:val="18"/>
                <w:b w:val="1"/>
                <w:bCs w:val="1"/>
                <w:i w:val="1"/>
                <w:iCs w:val="1"/>
                <w:color w:val="auto"/>
              </w:rPr>
              <w:t xml:space="preserve">Key Features: </w:t>
            </w:r>
            <w:r>
              <w:rPr>
                <w:rFonts w:ascii="Arial" w:cs="Arial" w:eastAsia="Arial" w:hAnsi="Arial"/>
                <w:sz w:val="18"/>
                <w:szCs w:val="18"/>
                <w:color w:val="auto"/>
              </w:rPr>
              <w:t>Safety “circuit breaker” limits safety result pay-out to 1X if TRIR and DART results met or</w:t>
            </w:r>
          </w:p>
        </w:tc>
        <w:tc>
          <w:tcPr>
            <w:tcW w:w="0" w:type="dxa"/>
            <w:vAlign w:val="bottom"/>
          </w:tcPr>
          <w:p>
            <w:pPr>
              <w:spacing w:after="0"/>
              <w:rPr>
                <w:sz w:val="1"/>
                <w:szCs w:val="1"/>
                <w:color w:val="auto"/>
              </w:rPr>
            </w:pPr>
          </w:p>
        </w:tc>
      </w:tr>
      <w:tr>
        <w:trPr>
          <w:trHeight w:val="203"/>
        </w:trPr>
        <w:tc>
          <w:tcPr>
            <w:tcW w:w="160" w:type="dxa"/>
            <w:vAlign w:val="bottom"/>
            <w:tcBorders>
              <w:left w:val="single" w:sz="8" w:color="auto"/>
            </w:tcBorders>
            <w:shd w:val="clear" w:color="auto" w:fill="E5E5E5"/>
          </w:tcPr>
          <w:p>
            <w:pPr>
              <w:spacing w:after="0"/>
              <w:rPr>
                <w:sz w:val="17"/>
                <w:szCs w:val="17"/>
                <w:color w:val="auto"/>
              </w:rPr>
            </w:pPr>
          </w:p>
        </w:tc>
        <w:tc>
          <w:tcPr>
            <w:tcW w:w="2720" w:type="dxa"/>
            <w:vAlign w:val="bottom"/>
            <w:tcBorders>
              <w:right w:val="single" w:sz="8" w:color="auto"/>
            </w:tcBorders>
            <w:shd w:val="clear" w:color="auto" w:fill="E5E5E5"/>
          </w:tcPr>
          <w:p>
            <w:pPr>
              <w:spacing w:after="0"/>
              <w:rPr>
                <w:sz w:val="17"/>
                <w:szCs w:val="17"/>
                <w:color w:val="auto"/>
              </w:rPr>
            </w:pPr>
          </w:p>
        </w:tc>
        <w:tc>
          <w:tcPr>
            <w:tcW w:w="8540" w:type="dxa"/>
            <w:vAlign w:val="bottom"/>
            <w:tcBorders>
              <w:right w:val="single" w:sz="8" w:color="auto"/>
            </w:tcBorders>
            <w:shd w:val="clear" w:color="auto" w:fill="E5E5E5"/>
          </w:tcPr>
          <w:p>
            <w:pPr>
              <w:ind w:left="20"/>
              <w:spacing w:after="0" w:line="202" w:lineRule="exact"/>
              <w:rPr>
                <w:sz w:val="20"/>
                <w:szCs w:val="20"/>
                <w:color w:val="auto"/>
              </w:rPr>
            </w:pPr>
            <w:r>
              <w:rPr>
                <w:rFonts w:ascii="Arial" w:cs="Arial" w:eastAsia="Arial" w:hAnsi="Arial"/>
                <w:sz w:val="18"/>
                <w:szCs w:val="18"/>
                <w:color w:val="auto"/>
              </w:rPr>
              <w:t>exceeded target goals but did not improve on prior year results; target performance for TRIR and DART</w:t>
            </w:r>
          </w:p>
        </w:tc>
        <w:tc>
          <w:tcPr>
            <w:tcW w:w="0" w:type="dxa"/>
            <w:vAlign w:val="bottom"/>
          </w:tcPr>
          <w:p>
            <w:pPr>
              <w:spacing w:after="0"/>
              <w:rPr>
                <w:sz w:val="1"/>
                <w:szCs w:val="1"/>
                <w:color w:val="auto"/>
              </w:rPr>
            </w:pPr>
          </w:p>
        </w:tc>
      </w:tr>
      <w:tr>
        <w:trPr>
          <w:trHeight w:val="203"/>
        </w:trPr>
        <w:tc>
          <w:tcPr>
            <w:tcW w:w="160" w:type="dxa"/>
            <w:vAlign w:val="bottom"/>
            <w:tcBorders>
              <w:left w:val="single" w:sz="8" w:color="auto"/>
            </w:tcBorders>
            <w:shd w:val="clear" w:color="auto" w:fill="E5E5E5"/>
          </w:tcPr>
          <w:p>
            <w:pPr>
              <w:spacing w:after="0"/>
              <w:rPr>
                <w:sz w:val="17"/>
                <w:szCs w:val="17"/>
                <w:color w:val="auto"/>
              </w:rPr>
            </w:pPr>
          </w:p>
        </w:tc>
        <w:tc>
          <w:tcPr>
            <w:tcW w:w="2720" w:type="dxa"/>
            <w:vAlign w:val="bottom"/>
            <w:tcBorders>
              <w:right w:val="single" w:sz="8" w:color="auto"/>
            </w:tcBorders>
            <w:shd w:val="clear" w:color="auto" w:fill="E5E5E5"/>
          </w:tcPr>
          <w:p>
            <w:pPr>
              <w:spacing w:after="0"/>
              <w:rPr>
                <w:sz w:val="17"/>
                <w:szCs w:val="17"/>
                <w:color w:val="auto"/>
              </w:rPr>
            </w:pPr>
          </w:p>
        </w:tc>
        <w:tc>
          <w:tcPr>
            <w:tcW w:w="8540" w:type="dxa"/>
            <w:vAlign w:val="bottom"/>
            <w:tcBorders>
              <w:right w:val="single" w:sz="8" w:color="auto"/>
            </w:tcBorders>
            <w:shd w:val="clear" w:color="auto" w:fill="E5E5E5"/>
          </w:tcPr>
          <w:p>
            <w:pPr>
              <w:ind w:left="20"/>
              <w:spacing w:after="0" w:line="202" w:lineRule="exact"/>
              <w:rPr>
                <w:sz w:val="20"/>
                <w:szCs w:val="20"/>
                <w:color w:val="auto"/>
              </w:rPr>
            </w:pPr>
            <w:r>
              <w:rPr>
                <w:rFonts w:ascii="Arial" w:cs="Arial" w:eastAsia="Arial" w:hAnsi="Arial"/>
                <w:sz w:val="18"/>
                <w:szCs w:val="18"/>
                <w:color w:val="auto"/>
              </w:rPr>
              <w:t>set at a 5% improvement over the average score of the prior three year period; no threshold performance</w:t>
            </w:r>
          </w:p>
        </w:tc>
        <w:tc>
          <w:tcPr>
            <w:tcW w:w="0" w:type="dxa"/>
            <w:vAlign w:val="bottom"/>
          </w:tcPr>
          <w:p>
            <w:pPr>
              <w:spacing w:after="0"/>
              <w:rPr>
                <w:sz w:val="1"/>
                <w:szCs w:val="1"/>
                <w:color w:val="auto"/>
              </w:rPr>
            </w:pPr>
          </w:p>
        </w:tc>
      </w:tr>
      <w:tr>
        <w:trPr>
          <w:trHeight w:val="203"/>
        </w:trPr>
        <w:tc>
          <w:tcPr>
            <w:tcW w:w="160" w:type="dxa"/>
            <w:vAlign w:val="bottom"/>
            <w:tcBorders>
              <w:left w:val="single" w:sz="8" w:color="auto"/>
            </w:tcBorders>
            <w:shd w:val="clear" w:color="auto" w:fill="E5E5E5"/>
          </w:tcPr>
          <w:p>
            <w:pPr>
              <w:spacing w:after="0"/>
              <w:rPr>
                <w:sz w:val="17"/>
                <w:szCs w:val="17"/>
                <w:color w:val="auto"/>
              </w:rPr>
            </w:pPr>
          </w:p>
        </w:tc>
        <w:tc>
          <w:tcPr>
            <w:tcW w:w="2720" w:type="dxa"/>
            <w:vAlign w:val="bottom"/>
            <w:tcBorders>
              <w:right w:val="single" w:sz="8" w:color="auto"/>
            </w:tcBorders>
            <w:shd w:val="clear" w:color="auto" w:fill="E5E5E5"/>
          </w:tcPr>
          <w:p>
            <w:pPr>
              <w:spacing w:after="0"/>
              <w:rPr>
                <w:sz w:val="17"/>
                <w:szCs w:val="17"/>
                <w:color w:val="auto"/>
              </w:rPr>
            </w:pPr>
          </w:p>
        </w:tc>
        <w:tc>
          <w:tcPr>
            <w:tcW w:w="8540" w:type="dxa"/>
            <w:vAlign w:val="bottom"/>
            <w:tcBorders>
              <w:right w:val="single" w:sz="8" w:color="auto"/>
            </w:tcBorders>
            <w:shd w:val="clear" w:color="auto" w:fill="E5E5E5"/>
          </w:tcPr>
          <w:p>
            <w:pPr>
              <w:ind w:left="20"/>
              <w:spacing w:after="0" w:line="202" w:lineRule="exact"/>
              <w:rPr>
                <w:sz w:val="20"/>
                <w:szCs w:val="20"/>
                <w:color w:val="auto"/>
              </w:rPr>
            </w:pPr>
            <w:r>
              <w:rPr>
                <w:rFonts w:ascii="Arial" w:cs="Arial" w:eastAsia="Arial" w:hAnsi="Arial"/>
                <w:sz w:val="18"/>
                <w:szCs w:val="18"/>
                <w:color w:val="auto"/>
              </w:rPr>
              <w:t>for EHS BP metric, so any result below target goal results in zero payout for EHS BP; 2% threshold target</w:t>
            </w:r>
          </w:p>
        </w:tc>
        <w:tc>
          <w:tcPr>
            <w:tcW w:w="0" w:type="dxa"/>
            <w:vAlign w:val="bottom"/>
          </w:tcPr>
          <w:p>
            <w:pPr>
              <w:spacing w:after="0"/>
              <w:rPr>
                <w:sz w:val="1"/>
                <w:szCs w:val="1"/>
                <w:color w:val="auto"/>
              </w:rPr>
            </w:pPr>
          </w:p>
        </w:tc>
      </w:tr>
      <w:tr>
        <w:trPr>
          <w:trHeight w:val="217"/>
        </w:trPr>
        <w:tc>
          <w:tcPr>
            <w:tcW w:w="160" w:type="dxa"/>
            <w:vAlign w:val="bottom"/>
            <w:tcBorders>
              <w:left w:val="single" w:sz="8" w:color="auto"/>
            </w:tcBorders>
            <w:shd w:val="clear" w:color="auto" w:fill="E5E5E5"/>
          </w:tcPr>
          <w:p>
            <w:pPr>
              <w:spacing w:after="0"/>
              <w:rPr>
                <w:sz w:val="18"/>
                <w:szCs w:val="18"/>
                <w:color w:val="auto"/>
              </w:rPr>
            </w:pPr>
          </w:p>
        </w:tc>
        <w:tc>
          <w:tcPr>
            <w:tcW w:w="2720" w:type="dxa"/>
            <w:vAlign w:val="bottom"/>
            <w:tcBorders>
              <w:right w:val="single" w:sz="8" w:color="auto"/>
            </w:tcBorders>
            <w:shd w:val="clear" w:color="auto" w:fill="E5E5E5"/>
          </w:tcPr>
          <w:p>
            <w:pPr>
              <w:spacing w:after="0"/>
              <w:rPr>
                <w:sz w:val="18"/>
                <w:szCs w:val="18"/>
                <w:color w:val="auto"/>
              </w:rPr>
            </w:pPr>
          </w:p>
        </w:tc>
        <w:tc>
          <w:tcPr>
            <w:tcW w:w="8540" w:type="dxa"/>
            <w:vAlign w:val="bottom"/>
            <w:tcBorders>
              <w:right w:val="single" w:sz="8" w:color="auto"/>
            </w:tcBorders>
            <w:shd w:val="clear" w:color="auto" w:fill="E5E5E5"/>
          </w:tcPr>
          <w:p>
            <w:pPr>
              <w:ind w:left="20"/>
              <w:spacing w:after="0"/>
              <w:rPr>
                <w:sz w:val="20"/>
                <w:szCs w:val="20"/>
                <w:color w:val="auto"/>
              </w:rPr>
            </w:pPr>
            <w:r>
              <w:rPr>
                <w:rFonts w:ascii="Arial" w:cs="Arial" w:eastAsia="Arial" w:hAnsi="Arial"/>
                <w:sz w:val="18"/>
                <w:szCs w:val="18"/>
                <w:color w:val="auto"/>
              </w:rPr>
              <w:t>for TRIR and DART.</w:t>
            </w:r>
          </w:p>
        </w:tc>
        <w:tc>
          <w:tcPr>
            <w:tcW w:w="0" w:type="dxa"/>
            <w:vAlign w:val="bottom"/>
          </w:tcPr>
          <w:p>
            <w:pPr>
              <w:spacing w:after="0"/>
              <w:rPr>
                <w:sz w:val="1"/>
                <w:szCs w:val="1"/>
                <w:color w:val="auto"/>
              </w:rPr>
            </w:pPr>
          </w:p>
        </w:tc>
      </w:tr>
      <w:tr>
        <w:trPr>
          <w:trHeight w:val="364"/>
        </w:trPr>
        <w:tc>
          <w:tcPr>
            <w:tcW w:w="160" w:type="dxa"/>
            <w:vAlign w:val="bottom"/>
            <w:tcBorders>
              <w:left w:val="single" w:sz="8" w:color="auto"/>
            </w:tcBorders>
            <w:shd w:val="clear" w:color="auto" w:fill="E5E5E5"/>
          </w:tcPr>
          <w:p>
            <w:pPr>
              <w:spacing w:after="0"/>
              <w:rPr>
                <w:sz w:val="24"/>
                <w:szCs w:val="24"/>
                <w:color w:val="auto"/>
              </w:rPr>
            </w:pPr>
          </w:p>
        </w:tc>
        <w:tc>
          <w:tcPr>
            <w:tcW w:w="2720" w:type="dxa"/>
            <w:vAlign w:val="bottom"/>
            <w:tcBorders>
              <w:right w:val="single" w:sz="8" w:color="auto"/>
            </w:tcBorders>
            <w:shd w:val="clear" w:color="auto" w:fill="E5E5E5"/>
          </w:tcPr>
          <w:p>
            <w:pPr>
              <w:spacing w:after="0"/>
              <w:rPr>
                <w:sz w:val="24"/>
                <w:szCs w:val="24"/>
                <w:color w:val="auto"/>
              </w:rPr>
            </w:pPr>
          </w:p>
        </w:tc>
        <w:tc>
          <w:tcPr>
            <w:tcW w:w="8540" w:type="dxa"/>
            <w:vAlign w:val="bottom"/>
            <w:tcBorders>
              <w:right w:val="single" w:sz="8" w:color="auto"/>
            </w:tcBorders>
            <w:shd w:val="clear" w:color="auto" w:fill="E5E5E5"/>
          </w:tcPr>
          <w:p>
            <w:pPr>
              <w:ind w:left="20"/>
              <w:spacing w:after="0"/>
              <w:rPr>
                <w:sz w:val="20"/>
                <w:szCs w:val="20"/>
                <w:color w:val="auto"/>
              </w:rPr>
            </w:pPr>
            <w:r>
              <w:rPr>
                <w:rFonts w:ascii="Arial" w:cs="Arial" w:eastAsia="Arial" w:hAnsi="Arial"/>
                <w:sz w:val="18"/>
                <w:szCs w:val="18"/>
                <w:b w:val="1"/>
                <w:bCs w:val="1"/>
                <w:i w:val="1"/>
                <w:iCs w:val="1"/>
                <w:color w:val="auto"/>
              </w:rPr>
              <w:t xml:space="preserve">Pay-Out Calculation: </w:t>
            </w:r>
            <w:r>
              <w:rPr>
                <w:rFonts w:ascii="Arial" w:cs="Arial" w:eastAsia="Arial" w:hAnsi="Arial"/>
                <w:sz w:val="18"/>
                <w:szCs w:val="18"/>
                <w:color w:val="auto"/>
              </w:rPr>
              <w:t>Ranges from 0% - 100%, multiplied by the “Financial Multiplier;” referred to as the</w:t>
            </w:r>
          </w:p>
        </w:tc>
        <w:tc>
          <w:tcPr>
            <w:tcW w:w="0" w:type="dxa"/>
            <w:vAlign w:val="bottom"/>
          </w:tcPr>
          <w:p>
            <w:pPr>
              <w:spacing w:after="0"/>
              <w:rPr>
                <w:sz w:val="1"/>
                <w:szCs w:val="1"/>
                <w:color w:val="auto"/>
              </w:rPr>
            </w:pPr>
          </w:p>
        </w:tc>
      </w:tr>
      <w:tr>
        <w:trPr>
          <w:trHeight w:val="224"/>
        </w:trPr>
        <w:tc>
          <w:tcPr>
            <w:tcW w:w="160" w:type="dxa"/>
            <w:vAlign w:val="bottom"/>
            <w:tcBorders>
              <w:left w:val="single" w:sz="8" w:color="auto"/>
              <w:bottom w:val="single" w:sz="8" w:color="auto"/>
            </w:tcBorders>
            <w:shd w:val="clear" w:color="auto" w:fill="E5E5E5"/>
          </w:tcPr>
          <w:p>
            <w:pPr>
              <w:spacing w:after="0"/>
              <w:rPr>
                <w:sz w:val="19"/>
                <w:szCs w:val="19"/>
                <w:color w:val="auto"/>
              </w:rPr>
            </w:pPr>
          </w:p>
        </w:tc>
        <w:tc>
          <w:tcPr>
            <w:tcW w:w="2720" w:type="dxa"/>
            <w:vAlign w:val="bottom"/>
            <w:tcBorders>
              <w:bottom w:val="single" w:sz="8" w:color="auto"/>
              <w:right w:val="single" w:sz="8" w:color="auto"/>
            </w:tcBorders>
            <w:shd w:val="clear" w:color="auto" w:fill="E5E5E5"/>
          </w:tcPr>
          <w:p>
            <w:pPr>
              <w:spacing w:after="0"/>
              <w:rPr>
                <w:sz w:val="19"/>
                <w:szCs w:val="19"/>
                <w:color w:val="auto"/>
              </w:rPr>
            </w:pPr>
          </w:p>
        </w:tc>
        <w:tc>
          <w:tcPr>
            <w:tcW w:w="8540" w:type="dxa"/>
            <w:vAlign w:val="bottom"/>
            <w:tcBorders>
              <w:bottom w:val="single" w:sz="8" w:color="auto"/>
              <w:right w:val="single" w:sz="8" w:color="auto"/>
            </w:tcBorders>
            <w:shd w:val="clear" w:color="auto" w:fill="E5E5E5"/>
          </w:tcPr>
          <w:p>
            <w:pPr>
              <w:ind w:left="20"/>
              <w:spacing w:after="0"/>
              <w:rPr>
                <w:sz w:val="20"/>
                <w:szCs w:val="20"/>
                <w:color w:val="auto"/>
              </w:rPr>
            </w:pPr>
            <w:r>
              <w:rPr>
                <w:rFonts w:ascii="Arial" w:cs="Arial" w:eastAsia="Arial" w:hAnsi="Arial"/>
                <w:sz w:val="18"/>
                <w:szCs w:val="18"/>
                <w:color w:val="auto"/>
              </w:rPr>
              <w:t>“Safety Performance Result.”</w:t>
            </w:r>
          </w:p>
        </w:tc>
        <w:tc>
          <w:tcPr>
            <w:tcW w:w="0" w:type="dxa"/>
            <w:vAlign w:val="bottom"/>
          </w:tcPr>
          <w:p>
            <w:pPr>
              <w:spacing w:after="0"/>
              <w:rPr>
                <w:sz w:val="1"/>
                <w:szCs w:val="1"/>
                <w:color w:val="auto"/>
              </w:rPr>
            </w:pPr>
          </w:p>
        </w:tc>
      </w:tr>
      <w:tr>
        <w:trPr>
          <w:trHeight w:val="283"/>
        </w:trPr>
        <w:tc>
          <w:tcPr>
            <w:tcW w:w="28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Individual (10%)</w:t>
            </w:r>
          </w:p>
        </w:tc>
        <w:tc>
          <w:tcPr>
            <w:tcW w:w="85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 xml:space="preserve">Rationale and Key Feature: </w:t>
            </w:r>
            <w:r>
              <w:rPr>
                <w:rFonts w:ascii="Arial" w:cs="Arial" w:eastAsia="Arial" w:hAnsi="Arial"/>
                <w:sz w:val="18"/>
                <w:szCs w:val="18"/>
                <w:color w:val="auto"/>
              </w:rPr>
              <w:t>Allows our Executive Chairman and CEO (or the Compensation Committee,</w:t>
            </w:r>
          </w:p>
        </w:tc>
        <w:tc>
          <w:tcPr>
            <w:tcW w:w="0" w:type="dxa"/>
            <w:vAlign w:val="bottom"/>
          </w:tcPr>
          <w:p>
            <w:pPr>
              <w:spacing w:after="0"/>
              <w:rPr>
                <w:sz w:val="1"/>
                <w:szCs w:val="1"/>
                <w:color w:val="auto"/>
              </w:rPr>
            </w:pPr>
          </w:p>
        </w:tc>
      </w:tr>
      <w:tr>
        <w:trPr>
          <w:trHeight w:val="203"/>
        </w:trPr>
        <w:tc>
          <w:tcPr>
            <w:tcW w:w="160" w:type="dxa"/>
            <w:vAlign w:val="bottom"/>
            <w:tcBorders>
              <w:left w:val="single" w:sz="8" w:color="auto"/>
            </w:tcBorders>
          </w:tcPr>
          <w:p>
            <w:pPr>
              <w:spacing w:after="0"/>
              <w:rPr>
                <w:sz w:val="17"/>
                <w:szCs w:val="17"/>
                <w:color w:val="auto"/>
              </w:rPr>
            </w:pPr>
          </w:p>
        </w:tc>
        <w:tc>
          <w:tcPr>
            <w:tcW w:w="2720" w:type="dxa"/>
            <w:vAlign w:val="bottom"/>
            <w:tcBorders>
              <w:right w:val="single" w:sz="8" w:color="auto"/>
            </w:tcBorders>
          </w:tcPr>
          <w:p>
            <w:pPr>
              <w:spacing w:after="0"/>
              <w:rPr>
                <w:sz w:val="17"/>
                <w:szCs w:val="17"/>
                <w:color w:val="auto"/>
              </w:rPr>
            </w:pPr>
          </w:p>
        </w:tc>
        <w:tc>
          <w:tcPr>
            <w:tcW w:w="85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in the case of Messrs. Geveden and Fees) to differentiate incentive pay-outs among our Named</w:t>
            </w:r>
          </w:p>
        </w:tc>
        <w:tc>
          <w:tcPr>
            <w:tcW w:w="0" w:type="dxa"/>
            <w:vAlign w:val="bottom"/>
          </w:tcPr>
          <w:p>
            <w:pPr>
              <w:spacing w:after="0"/>
              <w:rPr>
                <w:sz w:val="1"/>
                <w:szCs w:val="1"/>
                <w:color w:val="auto"/>
              </w:rPr>
            </w:pPr>
          </w:p>
        </w:tc>
      </w:tr>
      <w:tr>
        <w:trPr>
          <w:trHeight w:val="203"/>
        </w:trPr>
        <w:tc>
          <w:tcPr>
            <w:tcW w:w="160" w:type="dxa"/>
            <w:vAlign w:val="bottom"/>
            <w:tcBorders>
              <w:left w:val="single" w:sz="8" w:color="auto"/>
            </w:tcBorders>
          </w:tcPr>
          <w:p>
            <w:pPr>
              <w:spacing w:after="0"/>
              <w:rPr>
                <w:sz w:val="17"/>
                <w:szCs w:val="17"/>
                <w:color w:val="auto"/>
              </w:rPr>
            </w:pPr>
          </w:p>
        </w:tc>
        <w:tc>
          <w:tcPr>
            <w:tcW w:w="2720" w:type="dxa"/>
            <w:vAlign w:val="bottom"/>
            <w:tcBorders>
              <w:right w:val="single" w:sz="8" w:color="auto"/>
            </w:tcBorders>
          </w:tcPr>
          <w:p>
            <w:pPr>
              <w:spacing w:after="0"/>
              <w:rPr>
                <w:sz w:val="17"/>
                <w:szCs w:val="17"/>
                <w:color w:val="auto"/>
              </w:rPr>
            </w:pPr>
          </w:p>
        </w:tc>
        <w:tc>
          <w:tcPr>
            <w:tcW w:w="85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Executives by exercising negative discretion on the target amount of each Named Executive’s individual</w:t>
            </w:r>
          </w:p>
        </w:tc>
        <w:tc>
          <w:tcPr>
            <w:tcW w:w="0" w:type="dxa"/>
            <w:vAlign w:val="bottom"/>
          </w:tcPr>
          <w:p>
            <w:pPr>
              <w:spacing w:after="0"/>
              <w:rPr>
                <w:sz w:val="1"/>
                <w:szCs w:val="1"/>
                <w:color w:val="auto"/>
              </w:rPr>
            </w:pPr>
          </w:p>
        </w:tc>
      </w:tr>
      <w:tr>
        <w:trPr>
          <w:trHeight w:val="200"/>
        </w:trPr>
        <w:tc>
          <w:tcPr>
            <w:tcW w:w="160" w:type="dxa"/>
            <w:vAlign w:val="bottom"/>
            <w:tcBorders>
              <w:left w:val="single" w:sz="8" w:color="auto"/>
            </w:tcBorders>
          </w:tcPr>
          <w:p>
            <w:pPr>
              <w:spacing w:after="0"/>
              <w:rPr>
                <w:sz w:val="17"/>
                <w:szCs w:val="17"/>
                <w:color w:val="auto"/>
              </w:rPr>
            </w:pPr>
          </w:p>
        </w:tc>
        <w:tc>
          <w:tcPr>
            <w:tcW w:w="2720" w:type="dxa"/>
            <w:vAlign w:val="bottom"/>
            <w:tcBorders>
              <w:right w:val="single" w:sz="8" w:color="auto"/>
            </w:tcBorders>
          </w:tcPr>
          <w:p>
            <w:pPr>
              <w:spacing w:after="0"/>
              <w:rPr>
                <w:sz w:val="17"/>
                <w:szCs w:val="17"/>
                <w:color w:val="auto"/>
              </w:rPr>
            </w:pPr>
          </w:p>
        </w:tc>
        <w:tc>
          <w:tcPr>
            <w:tcW w:w="854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performance component, based on the assessment of each Named Executive’s individual performance</w:t>
            </w:r>
          </w:p>
        </w:tc>
        <w:tc>
          <w:tcPr>
            <w:tcW w:w="0" w:type="dxa"/>
            <w:vAlign w:val="bottom"/>
          </w:tcPr>
          <w:p>
            <w:pPr>
              <w:spacing w:after="0"/>
              <w:rPr>
                <w:sz w:val="1"/>
                <w:szCs w:val="1"/>
                <w:color w:val="auto"/>
              </w:rPr>
            </w:pPr>
          </w:p>
        </w:tc>
      </w:tr>
      <w:tr>
        <w:trPr>
          <w:trHeight w:val="276"/>
        </w:trPr>
        <w:tc>
          <w:tcPr>
            <w:tcW w:w="160" w:type="dxa"/>
            <w:vAlign w:val="bottom"/>
            <w:tcBorders>
              <w:left w:val="single" w:sz="8" w:color="auto"/>
            </w:tcBorders>
          </w:tcPr>
          <w:p>
            <w:pPr>
              <w:spacing w:after="0"/>
              <w:rPr>
                <w:sz w:val="24"/>
                <w:szCs w:val="24"/>
                <w:color w:val="auto"/>
              </w:rPr>
            </w:pPr>
          </w:p>
        </w:tc>
        <w:tc>
          <w:tcPr>
            <w:tcW w:w="2720" w:type="dxa"/>
            <w:vAlign w:val="bottom"/>
            <w:tcBorders>
              <w:right w:val="single" w:sz="8" w:color="auto"/>
            </w:tcBorders>
          </w:tcPr>
          <w:p>
            <w:pPr>
              <w:spacing w:after="0"/>
              <w:rPr>
                <w:sz w:val="24"/>
                <w:szCs w:val="24"/>
                <w:color w:val="auto"/>
              </w:rPr>
            </w:pPr>
          </w:p>
        </w:tc>
        <w:tc>
          <w:tcPr>
            <w:tcW w:w="8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during 2017.</w:t>
            </w:r>
            <w:r>
              <w:rPr>
                <w:rFonts w:ascii="Arial" w:cs="Arial" w:eastAsia="Arial" w:hAnsi="Arial"/>
                <w:sz w:val="21"/>
                <w:szCs w:val="21"/>
                <w:color w:val="auto"/>
                <w:vertAlign w:val="superscript"/>
              </w:rPr>
              <w:t>1</w:t>
            </w:r>
          </w:p>
        </w:tc>
        <w:tc>
          <w:tcPr>
            <w:tcW w:w="0" w:type="dxa"/>
            <w:vAlign w:val="bottom"/>
          </w:tcPr>
          <w:p>
            <w:pPr>
              <w:spacing w:after="0"/>
              <w:rPr>
                <w:sz w:val="1"/>
                <w:szCs w:val="1"/>
                <w:color w:val="auto"/>
              </w:rPr>
            </w:pPr>
          </w:p>
        </w:tc>
      </w:tr>
      <w:tr>
        <w:trPr>
          <w:trHeight w:val="307"/>
        </w:trPr>
        <w:tc>
          <w:tcPr>
            <w:tcW w:w="160" w:type="dxa"/>
            <w:vAlign w:val="bottom"/>
            <w:tcBorders>
              <w:left w:val="single" w:sz="8" w:color="auto"/>
            </w:tcBorders>
          </w:tcPr>
          <w:p>
            <w:pPr>
              <w:spacing w:after="0"/>
              <w:rPr>
                <w:sz w:val="24"/>
                <w:szCs w:val="24"/>
                <w:color w:val="auto"/>
              </w:rPr>
            </w:pPr>
          </w:p>
        </w:tc>
        <w:tc>
          <w:tcPr>
            <w:tcW w:w="2720" w:type="dxa"/>
            <w:vAlign w:val="bottom"/>
            <w:tcBorders>
              <w:right w:val="single" w:sz="8" w:color="auto"/>
            </w:tcBorders>
          </w:tcPr>
          <w:p>
            <w:pPr>
              <w:spacing w:after="0"/>
              <w:rPr>
                <w:sz w:val="24"/>
                <w:szCs w:val="24"/>
                <w:color w:val="auto"/>
              </w:rPr>
            </w:pPr>
          </w:p>
        </w:tc>
        <w:tc>
          <w:tcPr>
            <w:tcW w:w="85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 xml:space="preserve">Pay-Out Calculation: </w:t>
            </w:r>
            <w:r>
              <w:rPr>
                <w:rFonts w:ascii="Arial" w:cs="Arial" w:eastAsia="Arial" w:hAnsi="Arial"/>
                <w:sz w:val="18"/>
                <w:szCs w:val="18"/>
                <w:color w:val="auto"/>
              </w:rPr>
              <w:t>Ranges from 0 - 100%, multiplied by the “Financial Multiplier;” referred to as the</w:t>
            </w:r>
          </w:p>
        </w:tc>
        <w:tc>
          <w:tcPr>
            <w:tcW w:w="0" w:type="dxa"/>
            <w:vAlign w:val="bottom"/>
          </w:tcPr>
          <w:p>
            <w:pPr>
              <w:spacing w:after="0"/>
              <w:rPr>
                <w:sz w:val="1"/>
                <w:szCs w:val="1"/>
                <w:color w:val="auto"/>
              </w:rPr>
            </w:pPr>
          </w:p>
        </w:tc>
      </w:tr>
      <w:tr>
        <w:trPr>
          <w:trHeight w:val="224"/>
        </w:trPr>
        <w:tc>
          <w:tcPr>
            <w:tcW w:w="160" w:type="dxa"/>
            <w:vAlign w:val="bottom"/>
            <w:tcBorders>
              <w:left w:val="single" w:sz="8" w:color="auto"/>
              <w:bottom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spacing w:after="0"/>
              <w:rPr>
                <w:sz w:val="19"/>
                <w:szCs w:val="19"/>
                <w:color w:val="auto"/>
              </w:rPr>
            </w:pPr>
          </w:p>
        </w:tc>
        <w:tc>
          <w:tcPr>
            <w:tcW w:w="85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“Individual Performance Result.”</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500" w:right="400" w:hanging="465"/>
        <w:spacing w:after="0" w:line="251" w:lineRule="auto"/>
        <w:tabs>
          <w:tab w:leader="none" w:pos="500" w:val="left"/>
        </w:tabs>
        <w:numPr>
          <w:ilvl w:val="0"/>
          <w:numId w:val="81"/>
        </w:numPr>
        <w:rPr>
          <w:rFonts w:ascii="Arial" w:cs="Arial" w:eastAsia="Arial" w:hAnsi="Arial"/>
          <w:sz w:val="14"/>
          <w:szCs w:val="14"/>
          <w:i w:val="1"/>
          <w:iCs w:val="1"/>
          <w:color w:val="auto"/>
        </w:rPr>
      </w:pPr>
      <w:r>
        <w:rPr>
          <w:rFonts w:ascii="Arial" w:cs="Arial" w:eastAsia="Arial" w:hAnsi="Arial"/>
          <w:sz w:val="14"/>
          <w:szCs w:val="14"/>
          <w:i w:val="1"/>
          <w:iCs w:val="1"/>
          <w:color w:val="auto"/>
        </w:rPr>
        <w:t>Mr. Black was also technically eligible for a discretionary adjustment to his individual performance weighting (between 0 and 20%) as a result of not being a “covered person” for purposes of Section 162(m) of the Internal Revenue Code. Although this adjustment could result in an award beyond the maximum amount determined by financial performance under the EICP, our practice is to not apply this discretionary adjustment to Mr. Black to be consistent with our other Named Executives. As a result of the recent passage of H.R. 1, the Tax Cuts and Jobs Act, on December 22, 2017, the role of chief financial officer going forward is a "covered person" for purposes of Section 162(m).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Committee established the following financial performance goals for 2017.</w:t>
      </w:r>
    </w:p>
    <w:p>
      <w:pPr>
        <w:spacing w:after="0" w:line="24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2017 EICP Financial Goals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shd w:val="clear" w:color="auto" w:fill="525252"/>
          </w:tcPr>
          <w:p>
            <w:pPr>
              <w:ind w:left="700"/>
              <w:spacing w:after="0"/>
              <w:rPr>
                <w:sz w:val="20"/>
                <w:szCs w:val="20"/>
                <w:color w:val="auto"/>
              </w:rPr>
            </w:pPr>
            <w:r>
              <w:rPr>
                <w:rFonts w:ascii="Arial" w:cs="Arial" w:eastAsia="Arial" w:hAnsi="Arial"/>
                <w:sz w:val="18"/>
                <w:szCs w:val="18"/>
                <w:b w:val="1"/>
                <w:bCs w:val="1"/>
                <w:color w:val="FFFFFF"/>
              </w:rPr>
              <w:t>Metric</w:t>
            </w:r>
          </w:p>
        </w:tc>
        <w:tc>
          <w:tcPr>
            <w:tcW w:w="1640" w:type="dxa"/>
            <w:vAlign w:val="bottom"/>
            <w:shd w:val="clear" w:color="auto" w:fill="525252"/>
          </w:tcPr>
          <w:p>
            <w:pPr>
              <w:jc w:val="center"/>
              <w:ind w:right="115"/>
              <w:spacing w:after="0"/>
              <w:rPr>
                <w:sz w:val="20"/>
                <w:szCs w:val="20"/>
                <w:color w:val="auto"/>
              </w:rPr>
            </w:pPr>
            <w:r>
              <w:rPr>
                <w:rFonts w:ascii="Arial" w:cs="Arial" w:eastAsia="Arial" w:hAnsi="Arial"/>
                <w:sz w:val="18"/>
                <w:szCs w:val="18"/>
                <w:b w:val="1"/>
                <w:bCs w:val="1"/>
                <w:color w:val="FFFFFF"/>
                <w:w w:val="98"/>
              </w:rPr>
              <w:t>BWXT</w:t>
            </w:r>
          </w:p>
        </w:tc>
        <w:tc>
          <w:tcPr>
            <w:tcW w:w="1880" w:type="dxa"/>
            <w:vAlign w:val="bottom"/>
            <w:shd w:val="clear" w:color="auto" w:fill="525252"/>
          </w:tcPr>
          <w:p>
            <w:pPr>
              <w:jc w:val="center"/>
              <w:spacing w:after="0"/>
              <w:rPr>
                <w:sz w:val="20"/>
                <w:szCs w:val="20"/>
                <w:color w:val="auto"/>
              </w:rPr>
            </w:pPr>
            <w:r>
              <w:rPr>
                <w:rFonts w:ascii="Arial" w:cs="Arial" w:eastAsia="Arial" w:hAnsi="Arial"/>
                <w:sz w:val="18"/>
                <w:szCs w:val="18"/>
                <w:b w:val="1"/>
                <w:bCs w:val="1"/>
                <w:color w:val="FFFFFF"/>
                <w:w w:val="99"/>
              </w:rPr>
              <w:t>Threshold Goal</w:t>
            </w:r>
          </w:p>
        </w:tc>
        <w:tc>
          <w:tcPr>
            <w:tcW w:w="1840" w:type="dxa"/>
            <w:vAlign w:val="bottom"/>
            <w:shd w:val="clear" w:color="auto" w:fill="525252"/>
          </w:tcPr>
          <w:p>
            <w:pPr>
              <w:jc w:val="center"/>
              <w:spacing w:after="0"/>
              <w:rPr>
                <w:sz w:val="20"/>
                <w:szCs w:val="20"/>
                <w:color w:val="auto"/>
              </w:rPr>
            </w:pPr>
            <w:r>
              <w:rPr>
                <w:rFonts w:ascii="Arial" w:cs="Arial" w:eastAsia="Arial" w:hAnsi="Arial"/>
                <w:sz w:val="18"/>
                <w:szCs w:val="18"/>
                <w:b w:val="1"/>
                <w:bCs w:val="1"/>
                <w:color w:val="FFFFFF"/>
                <w:w w:val="97"/>
              </w:rPr>
              <w:t>Target Goal</w:t>
            </w:r>
          </w:p>
        </w:tc>
        <w:tc>
          <w:tcPr>
            <w:tcW w:w="1940" w:type="dxa"/>
            <w:vAlign w:val="bottom"/>
            <w:shd w:val="clear" w:color="auto" w:fill="525252"/>
          </w:tcPr>
          <w:p>
            <w:pPr>
              <w:jc w:val="center"/>
              <w:spacing w:after="0"/>
              <w:rPr>
                <w:sz w:val="20"/>
                <w:szCs w:val="20"/>
                <w:color w:val="auto"/>
              </w:rPr>
            </w:pPr>
            <w:r>
              <w:rPr>
                <w:rFonts w:ascii="Arial" w:cs="Arial" w:eastAsia="Arial" w:hAnsi="Arial"/>
                <w:sz w:val="18"/>
                <w:szCs w:val="18"/>
                <w:b w:val="1"/>
                <w:bCs w:val="1"/>
                <w:color w:val="FFFFFF"/>
                <w:w w:val="99"/>
              </w:rPr>
              <w:t>Maximum Goal</w:t>
            </w:r>
          </w:p>
        </w:tc>
        <w:tc>
          <w:tcPr>
            <w:tcW w:w="1920" w:type="dxa"/>
            <w:vAlign w:val="bottom"/>
            <w:shd w:val="clear" w:color="auto" w:fill="525252"/>
          </w:tcPr>
          <w:p>
            <w:pPr>
              <w:jc w:val="center"/>
              <w:spacing w:after="0"/>
              <w:rPr>
                <w:sz w:val="20"/>
                <w:szCs w:val="20"/>
                <w:color w:val="auto"/>
              </w:rPr>
            </w:pPr>
            <w:r>
              <w:rPr>
                <w:rFonts w:ascii="Arial" w:cs="Arial" w:eastAsia="Arial" w:hAnsi="Arial"/>
                <w:sz w:val="18"/>
                <w:szCs w:val="18"/>
                <w:b w:val="1"/>
                <w:bCs w:val="1"/>
                <w:color w:val="FFFFFF"/>
              </w:rPr>
              <w:t>Actual</w:t>
            </w:r>
          </w:p>
        </w:tc>
        <w:tc>
          <w:tcPr>
            <w:tcW w:w="0" w:type="dxa"/>
            <w:vAlign w:val="bottom"/>
          </w:tcPr>
          <w:p>
            <w:pPr>
              <w:spacing w:after="0"/>
              <w:rPr>
                <w:sz w:val="1"/>
                <w:szCs w:val="1"/>
                <w:color w:val="auto"/>
              </w:rPr>
            </w:pPr>
          </w:p>
        </w:tc>
      </w:tr>
      <w:tr>
        <w:trPr>
          <w:trHeight w:val="185"/>
        </w:trPr>
        <w:tc>
          <w:tcPr>
            <w:tcW w:w="2140" w:type="dxa"/>
            <w:vAlign w:val="bottom"/>
            <w:shd w:val="clear" w:color="auto" w:fill="525252"/>
          </w:tcPr>
          <w:p>
            <w:pPr>
              <w:ind w:left="600"/>
              <w:spacing w:after="0" w:line="185" w:lineRule="exact"/>
              <w:rPr>
                <w:sz w:val="20"/>
                <w:szCs w:val="20"/>
                <w:color w:val="auto"/>
              </w:rPr>
            </w:pPr>
            <w:r>
              <w:rPr>
                <w:rFonts w:ascii="Arial" w:cs="Arial" w:eastAsia="Arial" w:hAnsi="Arial"/>
                <w:sz w:val="18"/>
                <w:szCs w:val="18"/>
                <w:b w:val="1"/>
                <w:bCs w:val="1"/>
                <w:color w:val="FFFFFF"/>
              </w:rPr>
              <w:t>(Weight)</w:t>
            </w:r>
          </w:p>
        </w:tc>
        <w:tc>
          <w:tcPr>
            <w:tcW w:w="1640" w:type="dxa"/>
            <w:vAlign w:val="bottom"/>
            <w:shd w:val="clear" w:color="auto" w:fill="525252"/>
          </w:tcPr>
          <w:p>
            <w:pPr>
              <w:jc w:val="center"/>
              <w:ind w:right="115"/>
              <w:spacing w:after="0" w:line="185" w:lineRule="exact"/>
              <w:rPr>
                <w:sz w:val="20"/>
                <w:szCs w:val="20"/>
                <w:color w:val="auto"/>
              </w:rPr>
            </w:pPr>
            <w:r>
              <w:rPr>
                <w:rFonts w:ascii="Arial" w:cs="Arial" w:eastAsia="Arial" w:hAnsi="Arial"/>
                <w:sz w:val="18"/>
                <w:szCs w:val="18"/>
                <w:b w:val="1"/>
                <w:bCs w:val="1"/>
                <w:color w:val="FFFFFF"/>
                <w:w w:val="99"/>
              </w:rPr>
              <w:t>Business</w:t>
            </w:r>
          </w:p>
        </w:tc>
        <w:tc>
          <w:tcPr>
            <w:tcW w:w="1880" w:type="dxa"/>
            <w:vAlign w:val="bottom"/>
            <w:shd w:val="clear" w:color="auto" w:fill="525252"/>
          </w:tcPr>
          <w:p>
            <w:pPr>
              <w:jc w:val="center"/>
              <w:spacing w:after="0"/>
              <w:rPr>
                <w:sz w:val="20"/>
                <w:szCs w:val="20"/>
                <w:color w:val="auto"/>
              </w:rPr>
            </w:pPr>
            <w:r>
              <w:rPr>
                <w:rFonts w:ascii="Arial" w:cs="Arial" w:eastAsia="Arial" w:hAnsi="Arial"/>
                <w:sz w:val="14"/>
                <w:szCs w:val="14"/>
                <w:b w:val="1"/>
                <w:bCs w:val="1"/>
                <w:i w:val="1"/>
                <w:iCs w:val="1"/>
                <w:color w:val="FFFFFF"/>
              </w:rPr>
              <w:t>80% of Target</w:t>
            </w:r>
          </w:p>
        </w:tc>
        <w:tc>
          <w:tcPr>
            <w:tcW w:w="1840" w:type="dxa"/>
            <w:vAlign w:val="bottom"/>
            <w:shd w:val="clear" w:color="auto" w:fill="525252"/>
          </w:tcPr>
          <w:p>
            <w:pPr>
              <w:jc w:val="center"/>
              <w:spacing w:after="0"/>
              <w:rPr>
                <w:sz w:val="20"/>
                <w:szCs w:val="20"/>
                <w:color w:val="auto"/>
              </w:rPr>
            </w:pPr>
            <w:r>
              <w:rPr>
                <w:rFonts w:ascii="Arial" w:cs="Arial" w:eastAsia="Arial" w:hAnsi="Arial"/>
                <w:sz w:val="14"/>
                <w:szCs w:val="14"/>
                <w:b w:val="1"/>
                <w:bCs w:val="1"/>
                <w:i w:val="1"/>
                <w:iCs w:val="1"/>
                <w:color w:val="FFFFFF"/>
              </w:rPr>
              <w:t>100% of Target</w:t>
            </w:r>
          </w:p>
        </w:tc>
        <w:tc>
          <w:tcPr>
            <w:tcW w:w="1940" w:type="dxa"/>
            <w:vAlign w:val="bottom"/>
            <w:shd w:val="clear" w:color="auto" w:fill="525252"/>
          </w:tcPr>
          <w:p>
            <w:pPr>
              <w:jc w:val="center"/>
              <w:ind w:left="1"/>
              <w:spacing w:after="0"/>
              <w:rPr>
                <w:sz w:val="20"/>
                <w:szCs w:val="20"/>
                <w:color w:val="auto"/>
              </w:rPr>
            </w:pPr>
            <w:r>
              <w:rPr>
                <w:rFonts w:ascii="Arial" w:cs="Arial" w:eastAsia="Arial" w:hAnsi="Arial"/>
                <w:sz w:val="14"/>
                <w:szCs w:val="14"/>
                <w:b w:val="1"/>
                <w:bCs w:val="1"/>
                <w:i w:val="1"/>
                <w:iCs w:val="1"/>
                <w:color w:val="FFFFFF"/>
              </w:rPr>
              <w:t>120% of Target</w:t>
            </w:r>
          </w:p>
        </w:tc>
        <w:tc>
          <w:tcPr>
            <w:tcW w:w="1920" w:type="dxa"/>
            <w:vAlign w:val="bottom"/>
            <w:shd w:val="clear" w:color="auto" w:fill="525252"/>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140" w:type="dxa"/>
            <w:vAlign w:val="bottom"/>
            <w:shd w:val="clear" w:color="auto" w:fill="525252"/>
          </w:tcPr>
          <w:p>
            <w:pPr>
              <w:spacing w:after="0"/>
              <w:rPr>
                <w:sz w:val="23"/>
                <w:szCs w:val="23"/>
                <w:color w:val="auto"/>
              </w:rPr>
            </w:pPr>
          </w:p>
        </w:tc>
        <w:tc>
          <w:tcPr>
            <w:tcW w:w="1640" w:type="dxa"/>
            <w:vAlign w:val="bottom"/>
            <w:shd w:val="clear" w:color="auto" w:fill="525252"/>
          </w:tcPr>
          <w:p>
            <w:pPr>
              <w:jc w:val="center"/>
              <w:ind w:right="115"/>
              <w:spacing w:after="0"/>
              <w:rPr>
                <w:sz w:val="20"/>
                <w:szCs w:val="20"/>
                <w:color w:val="auto"/>
              </w:rPr>
            </w:pPr>
            <w:r>
              <w:rPr>
                <w:rFonts w:ascii="Arial" w:cs="Arial" w:eastAsia="Arial" w:hAnsi="Arial"/>
                <w:sz w:val="18"/>
                <w:szCs w:val="18"/>
                <w:b w:val="1"/>
                <w:bCs w:val="1"/>
                <w:color w:val="FFFFFF"/>
              </w:rPr>
              <w:t>Unit</w:t>
            </w:r>
          </w:p>
        </w:tc>
        <w:tc>
          <w:tcPr>
            <w:tcW w:w="1880" w:type="dxa"/>
            <w:vAlign w:val="bottom"/>
            <w:shd w:val="clear" w:color="auto" w:fill="525252"/>
          </w:tcPr>
          <w:p>
            <w:pPr>
              <w:jc w:val="center"/>
              <w:spacing w:after="0"/>
              <w:rPr>
                <w:sz w:val="20"/>
                <w:szCs w:val="20"/>
                <w:color w:val="auto"/>
              </w:rPr>
            </w:pPr>
            <w:r>
              <w:rPr>
                <w:rFonts w:ascii="Arial" w:cs="Arial" w:eastAsia="Arial" w:hAnsi="Arial"/>
                <w:sz w:val="14"/>
                <w:szCs w:val="14"/>
                <w:b w:val="1"/>
                <w:bCs w:val="1"/>
                <w:i w:val="1"/>
                <w:iCs w:val="1"/>
                <w:color w:val="FFFFFF"/>
              </w:rPr>
              <w:t>50% Payout</w:t>
            </w:r>
          </w:p>
        </w:tc>
        <w:tc>
          <w:tcPr>
            <w:tcW w:w="1840" w:type="dxa"/>
            <w:vAlign w:val="bottom"/>
            <w:shd w:val="clear" w:color="auto" w:fill="525252"/>
          </w:tcPr>
          <w:p>
            <w:pPr>
              <w:jc w:val="center"/>
              <w:spacing w:after="0"/>
              <w:rPr>
                <w:sz w:val="20"/>
                <w:szCs w:val="20"/>
                <w:color w:val="auto"/>
              </w:rPr>
            </w:pPr>
            <w:r>
              <w:rPr>
                <w:rFonts w:ascii="Arial" w:cs="Arial" w:eastAsia="Arial" w:hAnsi="Arial"/>
                <w:sz w:val="14"/>
                <w:szCs w:val="14"/>
                <w:b w:val="1"/>
                <w:bCs w:val="1"/>
                <w:i w:val="1"/>
                <w:iCs w:val="1"/>
                <w:color w:val="FFFFFF"/>
              </w:rPr>
              <w:t>100% Payout</w:t>
            </w:r>
          </w:p>
        </w:tc>
        <w:tc>
          <w:tcPr>
            <w:tcW w:w="1940" w:type="dxa"/>
            <w:vAlign w:val="bottom"/>
            <w:shd w:val="clear" w:color="auto" w:fill="525252"/>
          </w:tcPr>
          <w:p>
            <w:pPr>
              <w:jc w:val="center"/>
              <w:spacing w:after="0"/>
              <w:rPr>
                <w:sz w:val="20"/>
                <w:szCs w:val="20"/>
                <w:color w:val="auto"/>
              </w:rPr>
            </w:pPr>
            <w:r>
              <w:rPr>
                <w:rFonts w:ascii="Arial" w:cs="Arial" w:eastAsia="Arial" w:hAnsi="Arial"/>
                <w:sz w:val="14"/>
                <w:szCs w:val="14"/>
                <w:b w:val="1"/>
                <w:bCs w:val="1"/>
                <w:i w:val="1"/>
                <w:iCs w:val="1"/>
                <w:color w:val="FFFFFF"/>
              </w:rPr>
              <w:t>200% Payout</w:t>
            </w:r>
          </w:p>
        </w:tc>
        <w:tc>
          <w:tcPr>
            <w:tcW w:w="1920" w:type="dxa"/>
            <w:vAlign w:val="bottom"/>
            <w:shd w:val="clear" w:color="auto" w:fill="525252"/>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21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(55%)</w:t>
            </w:r>
          </w:p>
        </w:tc>
        <w:tc>
          <w:tcPr>
            <w:tcW w:w="1640" w:type="dxa"/>
            <w:vAlign w:val="bottom"/>
          </w:tcPr>
          <w:p>
            <w:pPr>
              <w:jc w:val="center"/>
              <w:ind w:right="115"/>
              <w:spacing w:after="0"/>
              <w:rPr>
                <w:sz w:val="20"/>
                <w:szCs w:val="20"/>
                <w:color w:val="auto"/>
              </w:rPr>
            </w:pPr>
            <w:r>
              <w:rPr>
                <w:rFonts w:ascii="Arial" w:cs="Arial" w:eastAsia="Arial" w:hAnsi="Arial"/>
                <w:sz w:val="16"/>
                <w:szCs w:val="16"/>
                <w:color w:val="auto"/>
              </w:rPr>
              <w:t>BWXT</w:t>
            </w:r>
          </w:p>
        </w:tc>
        <w:tc>
          <w:tcPr>
            <w:tcW w:w="1880" w:type="dxa"/>
            <w:vAlign w:val="bottom"/>
            <w:vMerge w:val="restart"/>
            <w:shd w:val="clear" w:color="auto" w:fill="E5E5E5"/>
          </w:tcPr>
          <w:p>
            <w:pPr>
              <w:jc w:val="center"/>
              <w:spacing w:after="0"/>
              <w:rPr>
                <w:sz w:val="20"/>
                <w:szCs w:val="20"/>
                <w:color w:val="auto"/>
              </w:rPr>
            </w:pPr>
            <w:r>
              <w:rPr>
                <w:rFonts w:ascii="Arial" w:cs="Arial" w:eastAsia="Arial" w:hAnsi="Arial"/>
                <w:sz w:val="16"/>
                <w:szCs w:val="16"/>
                <w:color w:val="auto"/>
              </w:rPr>
              <w:t>$239.2 million</w:t>
            </w:r>
          </w:p>
        </w:tc>
        <w:tc>
          <w:tcPr>
            <w:tcW w:w="1840" w:type="dxa"/>
            <w:vAlign w:val="bottom"/>
            <w:vMerge w:val="restart"/>
            <w:shd w:val="clear" w:color="auto" w:fill="E5E5E5"/>
          </w:tcPr>
          <w:p>
            <w:pPr>
              <w:jc w:val="center"/>
              <w:ind w:left="1"/>
              <w:spacing w:after="0"/>
              <w:rPr>
                <w:sz w:val="20"/>
                <w:szCs w:val="20"/>
                <w:color w:val="auto"/>
              </w:rPr>
            </w:pPr>
            <w:r>
              <w:rPr>
                <w:rFonts w:ascii="Arial" w:cs="Arial" w:eastAsia="Arial" w:hAnsi="Arial"/>
                <w:sz w:val="16"/>
                <w:szCs w:val="16"/>
                <w:color w:val="auto"/>
              </w:rPr>
              <w:t>$299.0 million</w:t>
            </w:r>
          </w:p>
        </w:tc>
        <w:tc>
          <w:tcPr>
            <w:tcW w:w="1940" w:type="dxa"/>
            <w:vAlign w:val="bottom"/>
            <w:vMerge w:val="restart"/>
            <w:shd w:val="clear" w:color="auto" w:fill="E5E5E5"/>
          </w:tcPr>
          <w:p>
            <w:pPr>
              <w:jc w:val="center"/>
              <w:spacing w:after="0"/>
              <w:rPr>
                <w:sz w:val="20"/>
                <w:szCs w:val="20"/>
                <w:color w:val="auto"/>
              </w:rPr>
            </w:pPr>
            <w:r>
              <w:rPr>
                <w:rFonts w:ascii="Arial" w:cs="Arial" w:eastAsia="Arial" w:hAnsi="Arial"/>
                <w:sz w:val="16"/>
                <w:szCs w:val="16"/>
                <w:color w:val="auto"/>
              </w:rPr>
              <w:t>$358.8 million</w:t>
            </w:r>
          </w:p>
        </w:tc>
        <w:tc>
          <w:tcPr>
            <w:tcW w:w="19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$319.3 million</w:t>
            </w:r>
            <w:r>
              <w:rPr>
                <w:rFonts w:ascii="Arial" w:cs="Arial" w:eastAsia="Arial" w:hAnsi="Arial"/>
                <w:sz w:val="21"/>
                <w:szCs w:val="21"/>
                <w:b w:val="1"/>
                <w:bCs w:val="1"/>
                <w:color w:val="auto"/>
                <w:w w:val="98"/>
                <w:vertAlign w:val="superscript"/>
              </w:rPr>
              <w:t>(1)</w:t>
            </w:r>
          </w:p>
        </w:tc>
        <w:tc>
          <w:tcPr>
            <w:tcW w:w="0" w:type="dxa"/>
            <w:vAlign w:val="bottom"/>
          </w:tcPr>
          <w:p>
            <w:pPr>
              <w:spacing w:after="0"/>
              <w:rPr>
                <w:sz w:val="1"/>
                <w:szCs w:val="1"/>
                <w:color w:val="auto"/>
              </w:rPr>
            </w:pPr>
          </w:p>
        </w:tc>
      </w:tr>
      <w:tr>
        <w:trPr>
          <w:trHeight w:val="147"/>
        </w:trPr>
        <w:tc>
          <w:tcPr>
            <w:tcW w:w="2140" w:type="dxa"/>
            <w:vAlign w:val="bottom"/>
            <w:vMerge w:val="continue"/>
          </w:tcPr>
          <w:p>
            <w:pPr>
              <w:spacing w:after="0"/>
              <w:rPr>
                <w:sz w:val="12"/>
                <w:szCs w:val="12"/>
                <w:color w:val="auto"/>
              </w:rPr>
            </w:pPr>
          </w:p>
        </w:tc>
        <w:tc>
          <w:tcPr>
            <w:tcW w:w="1640" w:type="dxa"/>
            <w:vAlign w:val="bottom"/>
            <w:vMerge w:val="restart"/>
          </w:tcPr>
          <w:p>
            <w:pPr>
              <w:jc w:val="center"/>
              <w:ind w:right="115"/>
              <w:spacing w:after="0"/>
              <w:rPr>
                <w:sz w:val="20"/>
                <w:szCs w:val="20"/>
                <w:color w:val="auto"/>
              </w:rPr>
            </w:pPr>
            <w:r>
              <w:rPr>
                <w:rFonts w:ascii="Arial" w:cs="Arial" w:eastAsia="Arial" w:hAnsi="Arial"/>
                <w:sz w:val="16"/>
                <w:szCs w:val="16"/>
                <w:color w:val="auto"/>
              </w:rPr>
              <w:t>Consolidated</w:t>
            </w:r>
          </w:p>
        </w:tc>
        <w:tc>
          <w:tcPr>
            <w:tcW w:w="1880" w:type="dxa"/>
            <w:vAlign w:val="bottom"/>
            <w:vMerge w:val="continue"/>
            <w:shd w:val="clear" w:color="auto" w:fill="E5E5E5"/>
          </w:tcPr>
          <w:p>
            <w:pPr>
              <w:spacing w:after="0"/>
              <w:rPr>
                <w:sz w:val="12"/>
                <w:szCs w:val="12"/>
                <w:color w:val="auto"/>
              </w:rPr>
            </w:pPr>
          </w:p>
        </w:tc>
        <w:tc>
          <w:tcPr>
            <w:tcW w:w="1840" w:type="dxa"/>
            <w:vAlign w:val="bottom"/>
            <w:vMerge w:val="continue"/>
            <w:shd w:val="clear" w:color="auto" w:fill="E5E5E5"/>
          </w:tcPr>
          <w:p>
            <w:pPr>
              <w:spacing w:after="0"/>
              <w:rPr>
                <w:sz w:val="12"/>
                <w:szCs w:val="12"/>
                <w:color w:val="auto"/>
              </w:rPr>
            </w:pPr>
          </w:p>
        </w:tc>
        <w:tc>
          <w:tcPr>
            <w:tcW w:w="1940" w:type="dxa"/>
            <w:vAlign w:val="bottom"/>
            <w:vMerge w:val="continue"/>
            <w:shd w:val="clear" w:color="auto" w:fill="E5E5E5"/>
          </w:tcPr>
          <w:p>
            <w:pPr>
              <w:spacing w:after="0"/>
              <w:rPr>
                <w:sz w:val="12"/>
                <w:szCs w:val="12"/>
                <w:color w:val="auto"/>
              </w:rPr>
            </w:pPr>
          </w:p>
        </w:tc>
        <w:tc>
          <w:tcPr>
            <w:tcW w:w="1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140" w:type="dxa"/>
            <w:vAlign w:val="bottom"/>
            <w:vMerge w:val="continue"/>
          </w:tcPr>
          <w:p>
            <w:pPr>
              <w:spacing w:after="0"/>
              <w:rPr>
                <w:sz w:val="4"/>
                <w:szCs w:val="4"/>
                <w:color w:val="auto"/>
              </w:rPr>
            </w:pPr>
          </w:p>
        </w:tc>
        <w:tc>
          <w:tcPr>
            <w:tcW w:w="1640" w:type="dxa"/>
            <w:vAlign w:val="bottom"/>
            <w:vMerge w:val="continue"/>
          </w:tcPr>
          <w:p>
            <w:pPr>
              <w:spacing w:after="0"/>
              <w:rPr>
                <w:sz w:val="4"/>
                <w:szCs w:val="4"/>
                <w:color w:val="auto"/>
              </w:rPr>
            </w:pPr>
          </w:p>
        </w:tc>
        <w:tc>
          <w:tcPr>
            <w:tcW w:w="1880" w:type="dxa"/>
            <w:vAlign w:val="bottom"/>
            <w:shd w:val="clear" w:color="auto" w:fill="E5E5E5"/>
          </w:tcPr>
          <w:p>
            <w:pPr>
              <w:spacing w:after="0"/>
              <w:rPr>
                <w:sz w:val="4"/>
                <w:szCs w:val="4"/>
                <w:color w:val="auto"/>
              </w:rPr>
            </w:pPr>
          </w:p>
        </w:tc>
        <w:tc>
          <w:tcPr>
            <w:tcW w:w="1840" w:type="dxa"/>
            <w:vAlign w:val="bottom"/>
            <w:shd w:val="clear" w:color="auto" w:fill="E5E5E5"/>
          </w:tcPr>
          <w:p>
            <w:pPr>
              <w:spacing w:after="0"/>
              <w:rPr>
                <w:sz w:val="4"/>
                <w:szCs w:val="4"/>
                <w:color w:val="auto"/>
              </w:rPr>
            </w:pPr>
          </w:p>
        </w:tc>
        <w:tc>
          <w:tcPr>
            <w:tcW w:w="1940" w:type="dxa"/>
            <w:vAlign w:val="bottom"/>
            <w:shd w:val="clear" w:color="auto" w:fill="E5E5E5"/>
          </w:tcPr>
          <w:p>
            <w:pPr>
              <w:spacing w:after="0"/>
              <w:rPr>
                <w:sz w:val="4"/>
                <w:szCs w:val="4"/>
                <w:color w:val="auto"/>
              </w:rPr>
            </w:pPr>
          </w:p>
        </w:tc>
        <w:tc>
          <w:tcPr>
            <w:tcW w:w="1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shd w:val="clear" w:color="auto" w:fill="E5E5E5"/>
          </w:tcPr>
          <w:p>
            <w:pPr>
              <w:spacing w:after="0"/>
              <w:rPr>
                <w:sz w:val="19"/>
                <w:szCs w:val="19"/>
                <w:color w:val="auto"/>
              </w:rPr>
            </w:pPr>
          </w:p>
        </w:tc>
        <w:tc>
          <w:tcPr>
            <w:tcW w:w="1840" w:type="dxa"/>
            <w:vAlign w:val="bottom"/>
            <w:tcBorders>
              <w:bottom w:val="single" w:sz="8" w:color="auto"/>
            </w:tcBorders>
            <w:shd w:val="clear" w:color="auto" w:fill="E5E5E5"/>
          </w:tcPr>
          <w:p>
            <w:pPr>
              <w:spacing w:after="0"/>
              <w:rPr>
                <w:sz w:val="19"/>
                <w:szCs w:val="19"/>
                <w:color w:val="auto"/>
              </w:rPr>
            </w:pPr>
          </w:p>
        </w:tc>
        <w:tc>
          <w:tcPr>
            <w:tcW w:w="1940" w:type="dxa"/>
            <w:vAlign w:val="bottom"/>
            <w:tcBorders>
              <w:bottom w:val="single" w:sz="8" w:color="auto"/>
            </w:tcBorders>
            <w:shd w:val="clear" w:color="auto" w:fill="E5E5E5"/>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140" w:type="dxa"/>
            <w:vAlign w:val="bottom"/>
          </w:tcPr>
          <w:p>
            <w:pPr>
              <w:ind w:left="40"/>
              <w:spacing w:after="0"/>
              <w:rPr>
                <w:sz w:val="20"/>
                <w:szCs w:val="20"/>
                <w:color w:val="auto"/>
              </w:rPr>
            </w:pPr>
            <w:r>
              <w:rPr>
                <w:rFonts w:ascii="Arial" w:cs="Arial" w:eastAsia="Arial" w:hAnsi="Arial"/>
                <w:sz w:val="16"/>
                <w:szCs w:val="16"/>
                <w:b w:val="1"/>
                <w:bCs w:val="1"/>
                <w:color w:val="auto"/>
              </w:rPr>
              <w:t>Free Cash</w:t>
            </w:r>
          </w:p>
        </w:tc>
        <w:tc>
          <w:tcPr>
            <w:tcW w:w="1640" w:type="dxa"/>
            <w:vAlign w:val="bottom"/>
          </w:tcPr>
          <w:p>
            <w:pPr>
              <w:jc w:val="center"/>
              <w:ind w:right="115"/>
              <w:spacing w:after="0"/>
              <w:rPr>
                <w:sz w:val="20"/>
                <w:szCs w:val="20"/>
                <w:color w:val="auto"/>
              </w:rPr>
            </w:pPr>
            <w:r>
              <w:rPr>
                <w:rFonts w:ascii="Arial" w:cs="Arial" w:eastAsia="Arial" w:hAnsi="Arial"/>
                <w:sz w:val="16"/>
                <w:szCs w:val="16"/>
                <w:color w:val="auto"/>
              </w:rPr>
              <w:t>BWXT</w:t>
            </w:r>
          </w:p>
        </w:tc>
        <w:tc>
          <w:tcPr>
            <w:tcW w:w="1880" w:type="dxa"/>
            <w:vAlign w:val="bottom"/>
            <w:vMerge w:val="restart"/>
            <w:shd w:val="clear" w:color="auto" w:fill="E5E5E5"/>
          </w:tcPr>
          <w:p>
            <w:pPr>
              <w:jc w:val="center"/>
              <w:spacing w:after="0"/>
              <w:rPr>
                <w:sz w:val="20"/>
                <w:szCs w:val="20"/>
                <w:color w:val="auto"/>
              </w:rPr>
            </w:pPr>
            <w:r>
              <w:rPr>
                <w:rFonts w:ascii="Arial" w:cs="Arial" w:eastAsia="Arial" w:hAnsi="Arial"/>
                <w:sz w:val="16"/>
                <w:szCs w:val="16"/>
                <w:color w:val="auto"/>
              </w:rPr>
              <w:t>$70.5 million</w:t>
            </w:r>
          </w:p>
        </w:tc>
        <w:tc>
          <w:tcPr>
            <w:tcW w:w="1840" w:type="dxa"/>
            <w:vAlign w:val="bottom"/>
            <w:vMerge w:val="restart"/>
            <w:shd w:val="clear" w:color="auto" w:fill="E5E5E5"/>
          </w:tcPr>
          <w:p>
            <w:pPr>
              <w:jc w:val="center"/>
              <w:spacing w:after="0"/>
              <w:rPr>
                <w:sz w:val="20"/>
                <w:szCs w:val="20"/>
                <w:color w:val="auto"/>
              </w:rPr>
            </w:pPr>
            <w:r>
              <w:rPr>
                <w:rFonts w:ascii="Arial" w:cs="Arial" w:eastAsia="Arial" w:hAnsi="Arial"/>
                <w:sz w:val="16"/>
                <w:szCs w:val="16"/>
                <w:color w:val="auto"/>
              </w:rPr>
              <w:t>$88.1 million</w:t>
            </w:r>
          </w:p>
        </w:tc>
        <w:tc>
          <w:tcPr>
            <w:tcW w:w="1940" w:type="dxa"/>
            <w:vAlign w:val="bottom"/>
            <w:vMerge w:val="restart"/>
            <w:shd w:val="clear" w:color="auto" w:fill="E5E5E5"/>
          </w:tcPr>
          <w:p>
            <w:pPr>
              <w:jc w:val="center"/>
              <w:spacing w:after="0"/>
              <w:rPr>
                <w:sz w:val="20"/>
                <w:szCs w:val="20"/>
                <w:color w:val="auto"/>
              </w:rPr>
            </w:pPr>
            <w:r>
              <w:rPr>
                <w:rFonts w:ascii="Arial" w:cs="Arial" w:eastAsia="Arial" w:hAnsi="Arial"/>
                <w:sz w:val="16"/>
                <w:szCs w:val="16"/>
                <w:color w:val="auto"/>
              </w:rPr>
              <w:t>$105.7 million</w:t>
            </w:r>
          </w:p>
        </w:tc>
        <w:tc>
          <w:tcPr>
            <w:tcW w:w="19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$117.6 million</w:t>
            </w:r>
            <w:r>
              <w:rPr>
                <w:rFonts w:ascii="Arial" w:cs="Arial" w:eastAsia="Arial" w:hAnsi="Arial"/>
                <w:sz w:val="21"/>
                <w:szCs w:val="21"/>
                <w:b w:val="1"/>
                <w:bCs w:val="1"/>
                <w:color w:val="auto"/>
                <w:w w:val="98"/>
                <w:vertAlign w:val="superscript"/>
              </w:rPr>
              <w:t>(1)</w:t>
            </w:r>
          </w:p>
        </w:tc>
        <w:tc>
          <w:tcPr>
            <w:tcW w:w="0" w:type="dxa"/>
            <w:vAlign w:val="bottom"/>
          </w:tcPr>
          <w:p>
            <w:pPr>
              <w:spacing w:after="0"/>
              <w:rPr>
                <w:sz w:val="1"/>
                <w:szCs w:val="1"/>
                <w:color w:val="auto"/>
              </w:rPr>
            </w:pPr>
          </w:p>
        </w:tc>
      </w:tr>
      <w:tr>
        <w:trPr>
          <w:trHeight w:val="167"/>
        </w:trPr>
        <w:tc>
          <w:tcPr>
            <w:tcW w:w="21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Flow</w:t>
            </w:r>
          </w:p>
        </w:tc>
        <w:tc>
          <w:tcPr>
            <w:tcW w:w="1640" w:type="dxa"/>
            <w:vAlign w:val="bottom"/>
            <w:vMerge w:val="restart"/>
          </w:tcPr>
          <w:p>
            <w:pPr>
              <w:jc w:val="center"/>
              <w:ind w:right="115"/>
              <w:spacing w:after="0"/>
              <w:rPr>
                <w:sz w:val="20"/>
                <w:szCs w:val="20"/>
                <w:color w:val="auto"/>
              </w:rPr>
            </w:pPr>
            <w:r>
              <w:rPr>
                <w:rFonts w:ascii="Arial" w:cs="Arial" w:eastAsia="Arial" w:hAnsi="Arial"/>
                <w:sz w:val="16"/>
                <w:szCs w:val="16"/>
                <w:color w:val="auto"/>
              </w:rPr>
              <w:t>Consolidated</w:t>
            </w:r>
          </w:p>
        </w:tc>
        <w:tc>
          <w:tcPr>
            <w:tcW w:w="1880" w:type="dxa"/>
            <w:vAlign w:val="bottom"/>
            <w:vMerge w:val="continue"/>
            <w:shd w:val="clear" w:color="auto" w:fill="E5E5E5"/>
          </w:tcPr>
          <w:p>
            <w:pPr>
              <w:spacing w:after="0"/>
              <w:rPr>
                <w:sz w:val="14"/>
                <w:szCs w:val="14"/>
                <w:color w:val="auto"/>
              </w:rPr>
            </w:pPr>
          </w:p>
        </w:tc>
        <w:tc>
          <w:tcPr>
            <w:tcW w:w="1840" w:type="dxa"/>
            <w:vAlign w:val="bottom"/>
            <w:vMerge w:val="continue"/>
            <w:shd w:val="clear" w:color="auto" w:fill="E5E5E5"/>
          </w:tcPr>
          <w:p>
            <w:pPr>
              <w:spacing w:after="0"/>
              <w:rPr>
                <w:sz w:val="14"/>
                <w:szCs w:val="14"/>
                <w:color w:val="auto"/>
              </w:rPr>
            </w:pPr>
          </w:p>
        </w:tc>
        <w:tc>
          <w:tcPr>
            <w:tcW w:w="1940" w:type="dxa"/>
            <w:vAlign w:val="bottom"/>
            <w:vMerge w:val="continue"/>
            <w:shd w:val="clear" w:color="auto" w:fill="E5E5E5"/>
          </w:tcPr>
          <w:p>
            <w:pPr>
              <w:spacing w:after="0"/>
              <w:rPr>
                <w:sz w:val="14"/>
                <w:szCs w:val="14"/>
                <w:color w:val="auto"/>
              </w:rPr>
            </w:pPr>
          </w:p>
        </w:tc>
        <w:tc>
          <w:tcPr>
            <w:tcW w:w="1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140" w:type="dxa"/>
            <w:vAlign w:val="bottom"/>
            <w:vMerge w:val="continue"/>
          </w:tcPr>
          <w:p>
            <w:pPr>
              <w:spacing w:after="0" w:line="20" w:lineRule="exact"/>
              <w:rPr>
                <w:sz w:val="1"/>
                <w:szCs w:val="1"/>
                <w:color w:val="auto"/>
              </w:rPr>
            </w:pPr>
          </w:p>
        </w:tc>
        <w:tc>
          <w:tcPr>
            <w:tcW w:w="1640" w:type="dxa"/>
            <w:vAlign w:val="bottom"/>
            <w:vMerge w:val="continue"/>
          </w:tcPr>
          <w:p>
            <w:pPr>
              <w:spacing w:after="0" w:line="20" w:lineRule="exact"/>
              <w:rPr>
                <w:sz w:val="1"/>
                <w:szCs w:val="1"/>
                <w:color w:val="auto"/>
              </w:rPr>
            </w:pPr>
          </w:p>
        </w:tc>
        <w:tc>
          <w:tcPr>
            <w:tcW w:w="1880" w:type="dxa"/>
            <w:vAlign w:val="bottom"/>
            <w:shd w:val="clear" w:color="auto" w:fill="E5E5E5"/>
          </w:tcPr>
          <w:p>
            <w:pPr>
              <w:spacing w:after="0" w:line="20" w:lineRule="exact"/>
              <w:rPr>
                <w:sz w:val="1"/>
                <w:szCs w:val="1"/>
                <w:color w:val="auto"/>
              </w:rPr>
            </w:pPr>
          </w:p>
        </w:tc>
        <w:tc>
          <w:tcPr>
            <w:tcW w:w="1840" w:type="dxa"/>
            <w:vAlign w:val="bottom"/>
            <w:shd w:val="clear" w:color="auto" w:fill="E5E5E5"/>
          </w:tcPr>
          <w:p>
            <w:pPr>
              <w:spacing w:after="0" w:line="20" w:lineRule="exact"/>
              <w:rPr>
                <w:sz w:val="1"/>
                <w:szCs w:val="1"/>
                <w:color w:val="auto"/>
              </w:rPr>
            </w:pPr>
          </w:p>
        </w:tc>
        <w:tc>
          <w:tcPr>
            <w:tcW w:w="1940" w:type="dxa"/>
            <w:vAlign w:val="bottom"/>
            <w:shd w:val="clear" w:color="auto" w:fill="E5E5E5"/>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140" w:type="dxa"/>
            <w:vAlign w:val="bottom"/>
          </w:tcPr>
          <w:p>
            <w:pPr>
              <w:ind w:left="40"/>
              <w:spacing w:after="0"/>
              <w:rPr>
                <w:sz w:val="20"/>
                <w:szCs w:val="20"/>
                <w:color w:val="auto"/>
              </w:rPr>
            </w:pPr>
            <w:r>
              <w:rPr>
                <w:rFonts w:ascii="Arial" w:cs="Arial" w:eastAsia="Arial" w:hAnsi="Arial"/>
                <w:sz w:val="16"/>
                <w:szCs w:val="16"/>
                <w:b w:val="1"/>
                <w:bCs w:val="1"/>
                <w:color w:val="auto"/>
              </w:rPr>
              <w:t>(25%)</w:t>
            </w:r>
          </w:p>
        </w:tc>
        <w:tc>
          <w:tcPr>
            <w:tcW w:w="1640" w:type="dxa"/>
            <w:vAlign w:val="bottom"/>
          </w:tcPr>
          <w:p>
            <w:pPr>
              <w:spacing w:after="0"/>
              <w:rPr>
                <w:sz w:val="19"/>
                <w:szCs w:val="19"/>
                <w:color w:val="auto"/>
              </w:rPr>
            </w:pPr>
          </w:p>
        </w:tc>
        <w:tc>
          <w:tcPr>
            <w:tcW w:w="1880" w:type="dxa"/>
            <w:vAlign w:val="bottom"/>
            <w:tcBorders>
              <w:bottom w:val="single" w:sz="8" w:color="E5E5E5"/>
            </w:tcBorders>
            <w:shd w:val="clear" w:color="auto" w:fill="E5E5E5"/>
          </w:tcPr>
          <w:p>
            <w:pPr>
              <w:spacing w:after="0"/>
              <w:rPr>
                <w:sz w:val="19"/>
                <w:szCs w:val="19"/>
                <w:color w:val="auto"/>
              </w:rPr>
            </w:pPr>
          </w:p>
        </w:tc>
        <w:tc>
          <w:tcPr>
            <w:tcW w:w="1840" w:type="dxa"/>
            <w:vAlign w:val="bottom"/>
            <w:tcBorders>
              <w:bottom w:val="single" w:sz="8" w:color="E5E5E5"/>
            </w:tcBorders>
            <w:shd w:val="clear" w:color="auto" w:fill="E5E5E5"/>
          </w:tcPr>
          <w:p>
            <w:pPr>
              <w:spacing w:after="0"/>
              <w:rPr>
                <w:sz w:val="19"/>
                <w:szCs w:val="19"/>
                <w:color w:val="auto"/>
              </w:rPr>
            </w:pPr>
          </w:p>
        </w:tc>
        <w:tc>
          <w:tcPr>
            <w:tcW w:w="1940" w:type="dxa"/>
            <w:vAlign w:val="bottom"/>
            <w:tcBorders>
              <w:bottom w:val="single" w:sz="8" w:color="E5E5E5"/>
            </w:tcBorders>
            <w:shd w:val="clear" w:color="auto" w:fill="E5E5E5"/>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4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620" w:right="660" w:hanging="585"/>
        <w:spacing w:after="0" w:line="279" w:lineRule="auto"/>
        <w:tabs>
          <w:tab w:leader="none" w:pos="620" w:val="left"/>
        </w:tabs>
        <w:numPr>
          <w:ilvl w:val="0"/>
          <w:numId w:val="82"/>
        </w:numPr>
        <w:rPr>
          <w:rFonts w:ascii="Arial" w:cs="Arial" w:eastAsia="Arial" w:hAnsi="Arial"/>
          <w:sz w:val="14"/>
          <w:szCs w:val="14"/>
          <w:i w:val="1"/>
          <w:iCs w:val="1"/>
          <w:color w:val="auto"/>
        </w:rPr>
      </w:pPr>
      <w:r>
        <w:rPr>
          <w:rFonts w:ascii="Arial" w:cs="Arial" w:eastAsia="Arial" w:hAnsi="Arial"/>
          <w:sz w:val="14"/>
          <w:szCs w:val="14"/>
          <w:i w:val="1"/>
          <w:iCs w:val="1"/>
          <w:color w:val="auto"/>
        </w:rPr>
        <w:t>This result reflects a downward adjustment applied by our Compensation Committee to exclude the impact of an accrual reversal related to a favorable litigation outcome.</w:t>
      </w:r>
    </w:p>
    <w:p>
      <w:pPr>
        <w:spacing w:after="0" w:line="66"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Regardless of the level of performance achieved, the Compensation Committee retains the right to decrease the amount of annual incentive compensation payable in its discretion.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2C2C2C"/>
        </w:rPr>
        <w:t xml:space="preserve">32 </w:t>
      </w:r>
      <w:r>
        <w:rPr>
          <w:sz w:val="1"/>
          <w:szCs w:val="1"/>
          <w:color w:val="auto"/>
        </w:rPr>
        <w:drawing>
          <wp:inline distT="0" distB="0" distL="0" distR="0">
            <wp:extent cx="445770" cy="18034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45770" cy="180340"/>
                    </a:xfrm>
                    <a:prstGeom prst="rect">
                      <a:avLst/>
                    </a:prstGeom>
                    <a:noFill/>
                    <a:ln>
                      <a:noFill/>
                    </a:ln>
                  </pic:spPr>
                </pic:pic>
              </a:graphicData>
            </a:graphic>
          </wp:inline>
        </w:drawing>
      </w:r>
      <w:r>
        <w:rPr>
          <w:rFonts w:ascii="Arial" w:cs="Arial" w:eastAsia="Arial" w:hAnsi="Arial"/>
          <w:sz w:val="18"/>
          <w:szCs w:val="18"/>
          <w:color w:val="auto"/>
        </w:rPr>
        <w:t xml:space="preserve"> 2018 PROXY STATEMENT</w:t>
      </w:r>
    </w:p>
    <w:p>
      <w:pPr>
        <w:sectPr>
          <w:pgSz w:w="11900" w:h="16838" w:orient="portrait"/>
          <w:cols w:equalWidth="0" w:num="1">
            <w:col w:w="11420"/>
          </w:cols>
          <w:pgMar w:left="240" w:top="125" w:right="239" w:bottom="1440" w:gutter="0" w:footer="0" w:header="0"/>
        </w:sectPr>
      </w:pPr>
    </w:p>
    <w:bookmarkStart w:id="41" w:name="page42"/>
    <w:bookmarkEnd w:id="41"/>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960"/>
        <w:spacing w:after="0"/>
        <w:rPr>
          <w:sz w:val="20"/>
          <w:szCs w:val="20"/>
          <w:color w:val="auto"/>
        </w:rPr>
      </w:pPr>
      <w:r>
        <w:rPr>
          <w:rFonts w:ascii="Arial" w:cs="Arial" w:eastAsia="Arial" w:hAnsi="Arial"/>
          <w:sz w:val="14"/>
          <w:szCs w:val="14"/>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9"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b w:val="1"/>
          <w:bCs w:val="1"/>
          <w:i w:val="1"/>
          <w:iCs w:val="1"/>
          <w:color w:val="auto"/>
        </w:rPr>
        <w:t xml:space="preserve">Summary of EICP Payments. </w:t>
      </w:r>
      <w:r>
        <w:rPr>
          <w:rFonts w:ascii="Arial" w:cs="Arial" w:eastAsia="Arial" w:hAnsi="Arial"/>
          <w:sz w:val="18"/>
          <w:szCs w:val="18"/>
          <w:color w:val="auto"/>
        </w:rPr>
        <w:t>The total payout percentage represents the combined results of applicable financial, individual and safety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The amount paid under the EICP for 2017 can be illustrated by the following formula:</w:t>
      </w:r>
    </w:p>
    <w:p>
      <w:pPr>
        <w:spacing w:after="0" w:line="99"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Total Cash Award = Earnings from Salary x Target % x Total Payout % (0 – 200%)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Total Payout % is the sum of the Financial Multiplier, Safety Performance Result and Individual Performance Result.</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following table indicates the amount earned under the EICP by our Named Executives based for the 2017 performance period (January 1 - December 31, 2017). For each Named Executive, the financial performance result (the Weighted Financial Performance Percentage) established the maximum eligible amount of EICP for 2017 (the Eligible Amount).</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ANALYSIS OF 2017 EICP PAY-OUT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00" w:type="dxa"/>
            <w:vAlign w:val="bottom"/>
            <w:shd w:val="clear" w:color="auto" w:fill="525252"/>
          </w:tcPr>
          <w:p>
            <w:pPr>
              <w:spacing w:after="0"/>
              <w:rPr>
                <w:sz w:val="23"/>
                <w:szCs w:val="23"/>
                <w:color w:val="auto"/>
              </w:rPr>
            </w:pPr>
          </w:p>
        </w:tc>
        <w:tc>
          <w:tcPr>
            <w:tcW w:w="2120" w:type="dxa"/>
            <w:vAlign w:val="bottom"/>
            <w:shd w:val="clear" w:color="auto" w:fill="525252"/>
          </w:tcPr>
          <w:p>
            <w:pPr>
              <w:spacing w:after="0"/>
              <w:rPr>
                <w:sz w:val="23"/>
                <w:szCs w:val="23"/>
                <w:color w:val="auto"/>
              </w:rPr>
            </w:pPr>
          </w:p>
        </w:tc>
        <w:tc>
          <w:tcPr>
            <w:tcW w:w="220" w:type="dxa"/>
            <w:vAlign w:val="bottom"/>
            <w:shd w:val="clear" w:color="auto" w:fill="525252"/>
          </w:tcPr>
          <w:p>
            <w:pPr>
              <w:spacing w:after="0"/>
              <w:rPr>
                <w:sz w:val="23"/>
                <w:szCs w:val="23"/>
                <w:color w:val="auto"/>
              </w:rPr>
            </w:pPr>
          </w:p>
        </w:tc>
        <w:tc>
          <w:tcPr>
            <w:tcW w:w="1300" w:type="dxa"/>
            <w:vAlign w:val="bottom"/>
            <w:shd w:val="clear" w:color="auto" w:fill="525252"/>
          </w:tcPr>
          <w:p>
            <w:pPr>
              <w:jc w:val="right"/>
              <w:ind w:right="260"/>
              <w:spacing w:after="0"/>
              <w:rPr>
                <w:sz w:val="20"/>
                <w:szCs w:val="20"/>
                <w:color w:val="auto"/>
              </w:rPr>
            </w:pPr>
            <w:r>
              <w:rPr>
                <w:rFonts w:ascii="Arial" w:cs="Arial" w:eastAsia="Arial" w:hAnsi="Arial"/>
                <w:sz w:val="14"/>
                <w:szCs w:val="14"/>
                <w:b w:val="1"/>
                <w:bCs w:val="1"/>
                <w:color w:val="FFFFFF"/>
              </w:rPr>
              <w:t>Mr. Geveden</w:t>
            </w:r>
          </w:p>
        </w:tc>
        <w:tc>
          <w:tcPr>
            <w:tcW w:w="320" w:type="dxa"/>
            <w:vAlign w:val="bottom"/>
            <w:shd w:val="clear" w:color="auto" w:fill="525252"/>
          </w:tcPr>
          <w:p>
            <w:pPr>
              <w:spacing w:after="0"/>
              <w:rPr>
                <w:sz w:val="23"/>
                <w:szCs w:val="23"/>
                <w:color w:val="auto"/>
              </w:rPr>
            </w:pPr>
          </w:p>
        </w:tc>
        <w:tc>
          <w:tcPr>
            <w:tcW w:w="1400" w:type="dxa"/>
            <w:vAlign w:val="bottom"/>
            <w:shd w:val="clear" w:color="auto" w:fill="525252"/>
          </w:tcPr>
          <w:p>
            <w:pPr>
              <w:jc w:val="right"/>
              <w:ind w:right="460"/>
              <w:spacing w:after="0"/>
              <w:rPr>
                <w:sz w:val="20"/>
                <w:szCs w:val="20"/>
                <w:color w:val="auto"/>
              </w:rPr>
            </w:pPr>
            <w:r>
              <w:rPr>
                <w:rFonts w:ascii="Arial" w:cs="Arial" w:eastAsia="Arial" w:hAnsi="Arial"/>
                <w:sz w:val="14"/>
                <w:szCs w:val="14"/>
                <w:b w:val="1"/>
                <w:bCs w:val="1"/>
                <w:color w:val="FFFFFF"/>
              </w:rPr>
              <w:t>Mr. Black</w:t>
            </w:r>
          </w:p>
        </w:tc>
        <w:tc>
          <w:tcPr>
            <w:tcW w:w="300" w:type="dxa"/>
            <w:vAlign w:val="bottom"/>
            <w:shd w:val="clear" w:color="auto" w:fill="525252"/>
          </w:tcPr>
          <w:p>
            <w:pPr>
              <w:spacing w:after="0"/>
              <w:rPr>
                <w:sz w:val="23"/>
                <w:szCs w:val="23"/>
                <w:color w:val="auto"/>
              </w:rPr>
            </w:pPr>
          </w:p>
        </w:tc>
        <w:tc>
          <w:tcPr>
            <w:tcW w:w="1300" w:type="dxa"/>
            <w:vAlign w:val="bottom"/>
            <w:shd w:val="clear" w:color="auto" w:fill="525252"/>
          </w:tcPr>
          <w:p>
            <w:pPr>
              <w:jc w:val="right"/>
              <w:ind w:right="440"/>
              <w:spacing w:after="0"/>
              <w:rPr>
                <w:sz w:val="20"/>
                <w:szCs w:val="20"/>
                <w:color w:val="auto"/>
              </w:rPr>
            </w:pPr>
            <w:r>
              <w:rPr>
                <w:rFonts w:ascii="Arial" w:cs="Arial" w:eastAsia="Arial" w:hAnsi="Arial"/>
                <w:sz w:val="14"/>
                <w:szCs w:val="14"/>
                <w:b w:val="1"/>
                <w:bCs w:val="1"/>
                <w:color w:val="FFFFFF"/>
              </w:rPr>
              <w:t>Mr. Fees</w:t>
            </w:r>
          </w:p>
        </w:tc>
        <w:tc>
          <w:tcPr>
            <w:tcW w:w="280" w:type="dxa"/>
            <w:vAlign w:val="bottom"/>
            <w:shd w:val="clear" w:color="auto" w:fill="525252"/>
          </w:tcPr>
          <w:p>
            <w:pPr>
              <w:spacing w:after="0"/>
              <w:rPr>
                <w:sz w:val="23"/>
                <w:szCs w:val="23"/>
                <w:color w:val="auto"/>
              </w:rPr>
            </w:pPr>
          </w:p>
        </w:tc>
        <w:tc>
          <w:tcPr>
            <w:tcW w:w="1440" w:type="dxa"/>
            <w:vAlign w:val="bottom"/>
            <w:shd w:val="clear" w:color="auto" w:fill="525252"/>
          </w:tcPr>
          <w:p>
            <w:pPr>
              <w:jc w:val="right"/>
              <w:ind w:right="380"/>
              <w:spacing w:after="0"/>
              <w:rPr>
                <w:sz w:val="20"/>
                <w:szCs w:val="20"/>
                <w:color w:val="auto"/>
              </w:rPr>
            </w:pPr>
            <w:r>
              <w:rPr>
                <w:rFonts w:ascii="Arial" w:cs="Arial" w:eastAsia="Arial" w:hAnsi="Arial"/>
                <w:sz w:val="14"/>
                <w:szCs w:val="14"/>
                <w:b w:val="1"/>
                <w:bCs w:val="1"/>
                <w:color w:val="FFFFFF"/>
              </w:rPr>
              <w:t>Mr. Canafax</w:t>
            </w:r>
          </w:p>
        </w:tc>
        <w:tc>
          <w:tcPr>
            <w:tcW w:w="340" w:type="dxa"/>
            <w:vAlign w:val="bottom"/>
            <w:shd w:val="clear" w:color="auto" w:fill="525252"/>
          </w:tcPr>
          <w:p>
            <w:pPr>
              <w:spacing w:after="0"/>
              <w:rPr>
                <w:sz w:val="23"/>
                <w:szCs w:val="23"/>
                <w:color w:val="auto"/>
              </w:rPr>
            </w:pPr>
          </w:p>
        </w:tc>
        <w:tc>
          <w:tcPr>
            <w:tcW w:w="1500" w:type="dxa"/>
            <w:vAlign w:val="bottom"/>
            <w:shd w:val="clear" w:color="auto" w:fill="525252"/>
          </w:tcPr>
          <w:p>
            <w:pPr>
              <w:jc w:val="right"/>
              <w:ind w:right="520"/>
              <w:spacing w:after="0"/>
              <w:rPr>
                <w:sz w:val="20"/>
                <w:szCs w:val="20"/>
                <w:color w:val="auto"/>
              </w:rPr>
            </w:pPr>
            <w:r>
              <w:rPr>
                <w:rFonts w:ascii="Arial" w:cs="Arial" w:eastAsia="Arial" w:hAnsi="Arial"/>
                <w:sz w:val="14"/>
                <w:szCs w:val="14"/>
                <w:b w:val="1"/>
                <w:bCs w:val="1"/>
                <w:color w:val="FFFFFF"/>
              </w:rPr>
              <w:t>Mr. Henry</w:t>
            </w:r>
          </w:p>
        </w:tc>
      </w:tr>
      <w:tr>
        <w:trPr>
          <w:trHeight w:val="224"/>
        </w:trPr>
        <w:tc>
          <w:tcPr>
            <w:tcW w:w="2920" w:type="dxa"/>
            <w:vAlign w:val="bottom"/>
            <w:gridSpan w:val="2"/>
          </w:tcPr>
          <w:p>
            <w:pPr>
              <w:ind w:left="40"/>
              <w:spacing w:after="0"/>
              <w:rPr>
                <w:sz w:val="20"/>
                <w:szCs w:val="20"/>
                <w:color w:val="auto"/>
              </w:rPr>
            </w:pPr>
            <w:r>
              <w:rPr>
                <w:rFonts w:ascii="Arial" w:cs="Arial" w:eastAsia="Arial" w:hAnsi="Arial"/>
                <w:sz w:val="16"/>
                <w:szCs w:val="16"/>
                <w:color w:val="auto"/>
              </w:rPr>
              <w:t>Earnings from Salary</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693,750</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00"/>
              <w:spacing w:after="0"/>
              <w:rPr>
                <w:sz w:val="20"/>
                <w:szCs w:val="20"/>
                <w:color w:val="auto"/>
              </w:rPr>
            </w:pPr>
            <w:r>
              <w:rPr>
                <w:rFonts w:ascii="Arial" w:cs="Arial" w:eastAsia="Arial" w:hAnsi="Arial"/>
                <w:sz w:val="16"/>
                <w:szCs w:val="16"/>
                <w:color w:val="auto"/>
              </w:rPr>
              <w:t>435,000</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600,000</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00"/>
              <w:spacing w:after="0"/>
              <w:rPr>
                <w:sz w:val="20"/>
                <w:szCs w:val="20"/>
                <w:color w:val="auto"/>
              </w:rPr>
            </w:pPr>
            <w:r>
              <w:rPr>
                <w:rFonts w:ascii="Arial" w:cs="Arial" w:eastAsia="Arial" w:hAnsi="Arial"/>
                <w:sz w:val="16"/>
                <w:szCs w:val="16"/>
                <w:color w:val="auto"/>
              </w:rPr>
              <w:t>507,500</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00"/>
              <w:spacing w:after="0"/>
              <w:rPr>
                <w:sz w:val="20"/>
                <w:szCs w:val="20"/>
                <w:color w:val="auto"/>
              </w:rPr>
            </w:pPr>
            <w:r>
              <w:rPr>
                <w:rFonts w:ascii="Arial" w:cs="Arial" w:eastAsia="Arial" w:hAnsi="Arial"/>
                <w:sz w:val="16"/>
                <w:szCs w:val="16"/>
                <w:color w:val="auto"/>
              </w:rPr>
              <w:t>467,500</w:t>
            </w:r>
          </w:p>
        </w:tc>
      </w:tr>
      <w:tr>
        <w:trPr>
          <w:trHeight w:val="243"/>
        </w:trPr>
        <w:tc>
          <w:tcPr>
            <w:tcW w:w="2920" w:type="dxa"/>
            <w:vAlign w:val="bottom"/>
            <w:gridSpan w:val="2"/>
          </w:tcPr>
          <w:p>
            <w:pPr>
              <w:ind w:left="40"/>
              <w:spacing w:after="0"/>
              <w:rPr>
                <w:sz w:val="20"/>
                <w:szCs w:val="20"/>
                <w:color w:val="auto"/>
              </w:rPr>
            </w:pPr>
            <w:r>
              <w:rPr>
                <w:rFonts w:ascii="Arial" w:cs="Arial" w:eastAsia="Arial" w:hAnsi="Arial"/>
                <w:sz w:val="16"/>
                <w:szCs w:val="16"/>
                <w:color w:val="auto"/>
              </w:rPr>
              <w:t>Target Percentage</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90%</w:t>
            </w: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60%</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75%</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60%</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32"/>
        </w:trPr>
        <w:tc>
          <w:tcPr>
            <w:tcW w:w="2920" w:type="dxa"/>
            <w:vAlign w:val="bottom"/>
            <w:gridSpan w:val="2"/>
          </w:tcPr>
          <w:p>
            <w:pPr>
              <w:ind w:left="40"/>
              <w:spacing w:after="0"/>
              <w:rPr>
                <w:sz w:val="20"/>
                <w:szCs w:val="20"/>
                <w:color w:val="auto"/>
              </w:rPr>
            </w:pPr>
            <w:r>
              <w:rPr>
                <w:rFonts w:ascii="Arial" w:cs="Arial" w:eastAsia="Arial" w:hAnsi="Arial"/>
                <w:sz w:val="16"/>
                <w:szCs w:val="16"/>
                <w:color w:val="auto"/>
              </w:rPr>
              <w:t>Weighted Financial Performance</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43"/>
        </w:trPr>
        <w:tc>
          <w:tcPr>
            <w:tcW w:w="2920" w:type="dxa"/>
            <w:vAlign w:val="bottom"/>
            <w:gridSpan w:val="2"/>
          </w:tcPr>
          <w:p>
            <w:pPr>
              <w:ind w:left="40"/>
              <w:spacing w:after="0"/>
              <w:rPr>
                <w:sz w:val="20"/>
                <w:szCs w:val="20"/>
                <w:color w:val="auto"/>
              </w:rPr>
            </w:pPr>
            <w:r>
              <w:rPr>
                <w:rFonts w:ascii="Arial" w:cs="Arial" w:eastAsia="Arial" w:hAnsi="Arial"/>
                <w:sz w:val="16"/>
                <w:szCs w:val="16"/>
                <w:color w:val="auto"/>
              </w:rPr>
              <w:t>Percentage</w:t>
            </w:r>
            <w:r>
              <w:rPr>
                <w:rFonts w:ascii="Arial" w:cs="Arial" w:eastAsia="Arial" w:hAnsi="Arial"/>
                <w:sz w:val="21"/>
                <w:szCs w:val="21"/>
                <w:color w:val="auto"/>
                <w:vertAlign w:val="superscript"/>
              </w:rPr>
              <w:t>(1)</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154.6%</w:t>
            </w: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154.6%</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154.6%</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154.6%</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152.0%</w:t>
            </w:r>
          </w:p>
        </w:tc>
      </w:tr>
      <w:tr>
        <w:trPr>
          <w:trHeight w:val="219"/>
        </w:trPr>
        <w:tc>
          <w:tcPr>
            <w:tcW w:w="2920" w:type="dxa"/>
            <w:vAlign w:val="bottom"/>
            <w:gridSpan w:val="2"/>
          </w:tcPr>
          <w:p>
            <w:pPr>
              <w:ind w:left="40"/>
              <w:spacing w:after="0" w:line="219" w:lineRule="exact"/>
              <w:rPr>
                <w:sz w:val="20"/>
                <w:szCs w:val="20"/>
                <w:color w:val="auto"/>
              </w:rPr>
            </w:pPr>
            <w:r>
              <w:rPr>
                <w:rFonts w:ascii="Arial" w:cs="Arial" w:eastAsia="Arial" w:hAnsi="Arial"/>
                <w:sz w:val="16"/>
                <w:szCs w:val="16"/>
                <w:color w:val="auto"/>
              </w:rPr>
              <w:t>Eligible Amount</w:t>
            </w:r>
            <w:r>
              <w:rPr>
                <w:rFonts w:ascii="Arial" w:cs="Arial" w:eastAsia="Arial" w:hAnsi="Arial"/>
                <w:sz w:val="21"/>
                <w:szCs w:val="21"/>
                <w:color w:val="auto"/>
                <w:vertAlign w:val="superscript"/>
              </w:rPr>
              <w:t>(2)</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965,284</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00"/>
              <w:spacing w:after="0"/>
              <w:rPr>
                <w:sz w:val="20"/>
                <w:szCs w:val="20"/>
                <w:color w:val="auto"/>
              </w:rPr>
            </w:pPr>
            <w:r>
              <w:rPr>
                <w:rFonts w:ascii="Arial" w:cs="Arial" w:eastAsia="Arial" w:hAnsi="Arial"/>
                <w:sz w:val="16"/>
                <w:szCs w:val="16"/>
                <w:color w:val="auto"/>
              </w:rPr>
              <w:t>403,506</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695,700</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00"/>
              <w:spacing w:after="0"/>
              <w:rPr>
                <w:sz w:val="20"/>
                <w:szCs w:val="20"/>
                <w:color w:val="auto"/>
              </w:rPr>
            </w:pPr>
            <w:r>
              <w:rPr>
                <w:rFonts w:ascii="Arial" w:cs="Arial" w:eastAsia="Arial" w:hAnsi="Arial"/>
                <w:sz w:val="16"/>
                <w:szCs w:val="16"/>
                <w:color w:val="auto"/>
              </w:rPr>
              <w:t>470,757</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00"/>
              <w:spacing w:after="0"/>
              <w:rPr>
                <w:sz w:val="20"/>
                <w:szCs w:val="20"/>
                <w:color w:val="auto"/>
              </w:rPr>
            </w:pPr>
            <w:r>
              <w:rPr>
                <w:rFonts w:ascii="Arial" w:cs="Arial" w:eastAsia="Arial" w:hAnsi="Arial"/>
                <w:sz w:val="16"/>
                <w:szCs w:val="16"/>
                <w:color w:val="auto"/>
              </w:rPr>
              <w:t>426,360</w:t>
            </w:r>
          </w:p>
        </w:tc>
      </w:tr>
      <w:tr>
        <w:trPr>
          <w:trHeight w:val="243"/>
        </w:trPr>
        <w:tc>
          <w:tcPr>
            <w:tcW w:w="800" w:type="dxa"/>
            <w:vAlign w:val="bottom"/>
            <w:shd w:val="clear" w:color="auto" w:fill="525252"/>
          </w:tcPr>
          <w:p>
            <w:pPr>
              <w:ind w:left="40"/>
              <w:spacing w:after="0"/>
              <w:rPr>
                <w:sz w:val="20"/>
                <w:szCs w:val="20"/>
                <w:color w:val="auto"/>
              </w:rPr>
            </w:pPr>
            <w:r>
              <w:rPr>
                <w:rFonts w:ascii="Arial" w:cs="Arial" w:eastAsia="Arial" w:hAnsi="Arial"/>
                <w:sz w:val="16"/>
                <w:szCs w:val="16"/>
                <w:color w:val="FFFFFF"/>
                <w:w w:val="97"/>
              </w:rPr>
              <w:t>Total 2017</w:t>
            </w:r>
          </w:p>
        </w:tc>
        <w:tc>
          <w:tcPr>
            <w:tcW w:w="2120" w:type="dxa"/>
            <w:vAlign w:val="bottom"/>
            <w:shd w:val="clear" w:color="auto" w:fill="525252"/>
          </w:tcPr>
          <w:p>
            <w:pPr>
              <w:ind w:left="20"/>
              <w:spacing w:after="0"/>
              <w:rPr>
                <w:sz w:val="20"/>
                <w:szCs w:val="20"/>
                <w:color w:val="auto"/>
              </w:rPr>
            </w:pPr>
            <w:r>
              <w:rPr>
                <w:rFonts w:ascii="Arial" w:cs="Arial" w:eastAsia="Arial" w:hAnsi="Arial"/>
                <w:sz w:val="16"/>
                <w:szCs w:val="16"/>
                <w:color w:val="FFFFFF"/>
              </w:rPr>
              <w:t>EICP Pay-Out</w:t>
            </w:r>
            <w:r>
              <w:rPr>
                <w:rFonts w:ascii="Arial" w:cs="Arial" w:eastAsia="Arial" w:hAnsi="Arial"/>
                <w:sz w:val="21"/>
                <w:szCs w:val="21"/>
                <w:color w:val="FFFFFF"/>
                <w:vertAlign w:val="superscript"/>
              </w:rPr>
              <w:t>(3)</w:t>
            </w:r>
          </w:p>
        </w:tc>
        <w:tc>
          <w:tcPr>
            <w:tcW w:w="220" w:type="dxa"/>
            <w:vAlign w:val="bottom"/>
            <w:shd w:val="clear" w:color="auto" w:fill="525252"/>
          </w:tcPr>
          <w:p>
            <w:pPr>
              <w:jc w:val="right"/>
              <w:ind w:right="19"/>
              <w:spacing w:after="0"/>
              <w:rPr>
                <w:sz w:val="20"/>
                <w:szCs w:val="20"/>
                <w:color w:val="auto"/>
              </w:rPr>
            </w:pPr>
            <w:r>
              <w:rPr>
                <w:rFonts w:ascii="Arial" w:cs="Arial" w:eastAsia="Arial" w:hAnsi="Arial"/>
                <w:sz w:val="16"/>
                <w:szCs w:val="16"/>
                <w:color w:val="FFFFFF"/>
              </w:rPr>
              <w:t>$</w:t>
            </w:r>
          </w:p>
        </w:tc>
        <w:tc>
          <w:tcPr>
            <w:tcW w:w="1300" w:type="dxa"/>
            <w:vAlign w:val="bottom"/>
            <w:shd w:val="clear" w:color="auto" w:fill="525252"/>
          </w:tcPr>
          <w:p>
            <w:pPr>
              <w:jc w:val="right"/>
              <w:ind w:right="100"/>
              <w:spacing w:after="0"/>
              <w:rPr>
                <w:sz w:val="20"/>
                <w:szCs w:val="20"/>
                <w:color w:val="auto"/>
              </w:rPr>
            </w:pPr>
            <w:r>
              <w:rPr>
                <w:rFonts w:ascii="Arial" w:cs="Arial" w:eastAsia="Arial" w:hAnsi="Arial"/>
                <w:sz w:val="16"/>
                <w:szCs w:val="16"/>
                <w:color w:val="FFFFFF"/>
              </w:rPr>
              <w:t>939,309</w:t>
            </w:r>
          </w:p>
        </w:tc>
        <w:tc>
          <w:tcPr>
            <w:tcW w:w="320" w:type="dxa"/>
            <w:vAlign w:val="bottom"/>
            <w:shd w:val="clear" w:color="auto" w:fill="525252"/>
          </w:tcPr>
          <w:p>
            <w:pPr>
              <w:jc w:val="right"/>
              <w:ind w:right="119"/>
              <w:spacing w:after="0"/>
              <w:rPr>
                <w:sz w:val="20"/>
                <w:szCs w:val="20"/>
                <w:color w:val="auto"/>
              </w:rPr>
            </w:pPr>
            <w:r>
              <w:rPr>
                <w:rFonts w:ascii="Arial" w:cs="Arial" w:eastAsia="Arial" w:hAnsi="Arial"/>
                <w:sz w:val="16"/>
                <w:szCs w:val="16"/>
                <w:color w:val="FFFFFF"/>
              </w:rPr>
              <w:t>$</w:t>
            </w:r>
          </w:p>
        </w:tc>
        <w:tc>
          <w:tcPr>
            <w:tcW w:w="1400" w:type="dxa"/>
            <w:vAlign w:val="bottom"/>
            <w:shd w:val="clear" w:color="auto" w:fill="525252"/>
          </w:tcPr>
          <w:p>
            <w:pPr>
              <w:jc w:val="right"/>
              <w:ind w:right="100"/>
              <w:spacing w:after="0"/>
              <w:rPr>
                <w:sz w:val="20"/>
                <w:szCs w:val="20"/>
                <w:color w:val="auto"/>
              </w:rPr>
            </w:pPr>
            <w:r>
              <w:rPr>
                <w:rFonts w:ascii="Arial" w:cs="Arial" w:eastAsia="Arial" w:hAnsi="Arial"/>
                <w:sz w:val="16"/>
                <w:szCs w:val="16"/>
                <w:color w:val="FFFFFF"/>
              </w:rPr>
              <w:t>392,648</w:t>
            </w:r>
          </w:p>
        </w:tc>
        <w:tc>
          <w:tcPr>
            <w:tcW w:w="300" w:type="dxa"/>
            <w:vAlign w:val="bottom"/>
            <w:shd w:val="clear" w:color="auto" w:fill="525252"/>
          </w:tcPr>
          <w:p>
            <w:pPr>
              <w:jc w:val="right"/>
              <w:ind w:right="99"/>
              <w:spacing w:after="0"/>
              <w:rPr>
                <w:sz w:val="20"/>
                <w:szCs w:val="20"/>
                <w:color w:val="auto"/>
              </w:rPr>
            </w:pPr>
            <w:r>
              <w:rPr>
                <w:rFonts w:ascii="Arial" w:cs="Arial" w:eastAsia="Arial" w:hAnsi="Arial"/>
                <w:sz w:val="16"/>
                <w:szCs w:val="16"/>
                <w:color w:val="FFFFFF"/>
              </w:rPr>
              <w:t>$</w:t>
            </w:r>
          </w:p>
        </w:tc>
        <w:tc>
          <w:tcPr>
            <w:tcW w:w="1300" w:type="dxa"/>
            <w:vAlign w:val="bottom"/>
            <w:shd w:val="clear" w:color="auto" w:fill="525252"/>
          </w:tcPr>
          <w:p>
            <w:pPr>
              <w:jc w:val="right"/>
              <w:ind w:right="100"/>
              <w:spacing w:after="0"/>
              <w:rPr>
                <w:sz w:val="20"/>
                <w:szCs w:val="20"/>
                <w:color w:val="auto"/>
              </w:rPr>
            </w:pPr>
            <w:r>
              <w:rPr>
                <w:rFonts w:ascii="Arial" w:cs="Arial" w:eastAsia="Arial" w:hAnsi="Arial"/>
                <w:sz w:val="16"/>
                <w:szCs w:val="16"/>
                <w:color w:val="FFFFFF"/>
              </w:rPr>
              <w:t>676,980</w:t>
            </w:r>
          </w:p>
        </w:tc>
        <w:tc>
          <w:tcPr>
            <w:tcW w:w="280" w:type="dxa"/>
            <w:vAlign w:val="bottom"/>
            <w:shd w:val="clear" w:color="auto" w:fill="525252"/>
          </w:tcPr>
          <w:p>
            <w:pPr>
              <w:jc w:val="right"/>
              <w:ind w:right="79"/>
              <w:spacing w:after="0"/>
              <w:rPr>
                <w:sz w:val="20"/>
                <w:szCs w:val="20"/>
                <w:color w:val="auto"/>
              </w:rPr>
            </w:pPr>
            <w:r>
              <w:rPr>
                <w:rFonts w:ascii="Arial" w:cs="Arial" w:eastAsia="Arial" w:hAnsi="Arial"/>
                <w:sz w:val="16"/>
                <w:szCs w:val="16"/>
                <w:color w:val="FFFFFF"/>
              </w:rPr>
              <w:t>$</w:t>
            </w:r>
          </w:p>
        </w:tc>
        <w:tc>
          <w:tcPr>
            <w:tcW w:w="1440" w:type="dxa"/>
            <w:vAlign w:val="bottom"/>
            <w:shd w:val="clear" w:color="auto" w:fill="525252"/>
          </w:tcPr>
          <w:p>
            <w:pPr>
              <w:jc w:val="right"/>
              <w:ind w:right="100"/>
              <w:spacing w:after="0"/>
              <w:rPr>
                <w:sz w:val="20"/>
                <w:szCs w:val="20"/>
                <w:color w:val="auto"/>
              </w:rPr>
            </w:pPr>
            <w:r>
              <w:rPr>
                <w:rFonts w:ascii="Arial" w:cs="Arial" w:eastAsia="Arial" w:hAnsi="Arial"/>
                <w:sz w:val="16"/>
                <w:szCs w:val="16"/>
                <w:color w:val="FFFFFF"/>
              </w:rPr>
              <w:t>458,090</w:t>
            </w:r>
          </w:p>
        </w:tc>
        <w:tc>
          <w:tcPr>
            <w:tcW w:w="340" w:type="dxa"/>
            <w:vAlign w:val="bottom"/>
            <w:shd w:val="clear" w:color="auto" w:fill="525252"/>
          </w:tcPr>
          <w:p>
            <w:pPr>
              <w:jc w:val="right"/>
              <w:ind w:right="139"/>
              <w:spacing w:after="0"/>
              <w:rPr>
                <w:sz w:val="20"/>
                <w:szCs w:val="20"/>
                <w:color w:val="auto"/>
              </w:rPr>
            </w:pPr>
            <w:r>
              <w:rPr>
                <w:rFonts w:ascii="Arial" w:cs="Arial" w:eastAsia="Arial" w:hAnsi="Arial"/>
                <w:sz w:val="16"/>
                <w:szCs w:val="16"/>
                <w:color w:val="FFFFFF"/>
              </w:rPr>
              <w:t>$</w:t>
            </w:r>
          </w:p>
        </w:tc>
        <w:tc>
          <w:tcPr>
            <w:tcW w:w="1500" w:type="dxa"/>
            <w:vAlign w:val="bottom"/>
            <w:shd w:val="clear" w:color="auto" w:fill="525252"/>
          </w:tcPr>
          <w:p>
            <w:pPr>
              <w:jc w:val="right"/>
              <w:ind w:right="100"/>
              <w:spacing w:after="0"/>
              <w:rPr>
                <w:sz w:val="20"/>
                <w:szCs w:val="20"/>
                <w:color w:val="auto"/>
              </w:rPr>
            </w:pPr>
            <w:r>
              <w:rPr>
                <w:rFonts w:ascii="Arial" w:cs="Arial" w:eastAsia="Arial" w:hAnsi="Arial"/>
                <w:sz w:val="16"/>
                <w:szCs w:val="16"/>
                <w:color w:val="FFFFFF"/>
              </w:rPr>
              <w:t>406,388</w:t>
            </w:r>
          </w:p>
        </w:tc>
      </w:tr>
      <w:tr>
        <w:trPr>
          <w:trHeight w:val="257"/>
        </w:trPr>
        <w:tc>
          <w:tcPr>
            <w:tcW w:w="800" w:type="dxa"/>
            <w:vAlign w:val="bottom"/>
            <w:shd w:val="clear" w:color="auto" w:fill="525252"/>
          </w:tcPr>
          <w:p>
            <w:pPr>
              <w:ind w:left="40"/>
              <w:spacing w:after="0"/>
              <w:rPr>
                <w:sz w:val="20"/>
                <w:szCs w:val="20"/>
                <w:color w:val="auto"/>
              </w:rPr>
            </w:pPr>
            <w:r>
              <w:rPr>
                <w:rFonts w:ascii="Arial" w:cs="Arial" w:eastAsia="Arial" w:hAnsi="Arial"/>
                <w:sz w:val="16"/>
                <w:szCs w:val="16"/>
                <w:color w:val="FFFFFF"/>
                <w:w w:val="97"/>
              </w:rPr>
              <w:t>Total 2017</w:t>
            </w:r>
          </w:p>
        </w:tc>
        <w:tc>
          <w:tcPr>
            <w:tcW w:w="2120" w:type="dxa"/>
            <w:vAlign w:val="bottom"/>
            <w:shd w:val="clear" w:color="auto" w:fill="525252"/>
          </w:tcPr>
          <w:p>
            <w:pPr>
              <w:ind w:left="20"/>
              <w:spacing w:after="0"/>
              <w:rPr>
                <w:sz w:val="20"/>
                <w:szCs w:val="20"/>
                <w:color w:val="auto"/>
              </w:rPr>
            </w:pPr>
            <w:r>
              <w:rPr>
                <w:rFonts w:ascii="Arial" w:cs="Arial" w:eastAsia="Arial" w:hAnsi="Arial"/>
                <w:sz w:val="16"/>
                <w:szCs w:val="16"/>
                <w:color w:val="FFFFFF"/>
              </w:rPr>
              <w:t>Pay-Out Multiplier</w:t>
            </w:r>
          </w:p>
        </w:tc>
        <w:tc>
          <w:tcPr>
            <w:tcW w:w="220" w:type="dxa"/>
            <w:vAlign w:val="bottom"/>
            <w:shd w:val="clear" w:color="auto" w:fill="525252"/>
          </w:tcPr>
          <w:p>
            <w:pPr>
              <w:spacing w:after="0"/>
              <w:rPr>
                <w:sz w:val="22"/>
                <w:szCs w:val="22"/>
                <w:color w:val="auto"/>
              </w:rPr>
            </w:pPr>
          </w:p>
        </w:tc>
        <w:tc>
          <w:tcPr>
            <w:tcW w:w="1300" w:type="dxa"/>
            <w:vAlign w:val="bottom"/>
            <w:shd w:val="clear" w:color="auto" w:fill="525252"/>
          </w:tcPr>
          <w:p>
            <w:pPr>
              <w:jc w:val="right"/>
              <w:spacing w:after="0"/>
              <w:rPr>
                <w:sz w:val="20"/>
                <w:szCs w:val="20"/>
                <w:color w:val="auto"/>
              </w:rPr>
            </w:pPr>
            <w:r>
              <w:rPr>
                <w:rFonts w:ascii="Arial" w:cs="Arial" w:eastAsia="Arial" w:hAnsi="Arial"/>
                <w:sz w:val="16"/>
                <w:szCs w:val="16"/>
                <w:color w:val="FFFFFF"/>
              </w:rPr>
              <w:t>150.4%</w:t>
            </w:r>
          </w:p>
        </w:tc>
        <w:tc>
          <w:tcPr>
            <w:tcW w:w="320" w:type="dxa"/>
            <w:vAlign w:val="bottom"/>
            <w:shd w:val="clear" w:color="auto" w:fill="525252"/>
          </w:tcPr>
          <w:p>
            <w:pPr>
              <w:spacing w:after="0"/>
              <w:rPr>
                <w:sz w:val="22"/>
                <w:szCs w:val="22"/>
                <w:color w:val="auto"/>
              </w:rPr>
            </w:pPr>
          </w:p>
        </w:tc>
        <w:tc>
          <w:tcPr>
            <w:tcW w:w="1400" w:type="dxa"/>
            <w:vAlign w:val="bottom"/>
            <w:shd w:val="clear" w:color="auto" w:fill="525252"/>
          </w:tcPr>
          <w:p>
            <w:pPr>
              <w:jc w:val="right"/>
              <w:spacing w:after="0"/>
              <w:rPr>
                <w:sz w:val="20"/>
                <w:szCs w:val="20"/>
                <w:color w:val="auto"/>
              </w:rPr>
            </w:pPr>
            <w:r>
              <w:rPr>
                <w:rFonts w:ascii="Arial" w:cs="Arial" w:eastAsia="Arial" w:hAnsi="Arial"/>
                <w:sz w:val="16"/>
                <w:szCs w:val="16"/>
                <w:color w:val="FFFFFF"/>
              </w:rPr>
              <w:t>150.4%</w:t>
            </w:r>
          </w:p>
        </w:tc>
        <w:tc>
          <w:tcPr>
            <w:tcW w:w="300" w:type="dxa"/>
            <w:vAlign w:val="bottom"/>
            <w:shd w:val="clear" w:color="auto" w:fill="525252"/>
          </w:tcPr>
          <w:p>
            <w:pPr>
              <w:spacing w:after="0"/>
              <w:rPr>
                <w:sz w:val="22"/>
                <w:szCs w:val="22"/>
                <w:color w:val="auto"/>
              </w:rPr>
            </w:pPr>
          </w:p>
        </w:tc>
        <w:tc>
          <w:tcPr>
            <w:tcW w:w="1300" w:type="dxa"/>
            <w:vAlign w:val="bottom"/>
            <w:shd w:val="clear" w:color="auto" w:fill="525252"/>
          </w:tcPr>
          <w:p>
            <w:pPr>
              <w:jc w:val="right"/>
              <w:spacing w:after="0"/>
              <w:rPr>
                <w:sz w:val="20"/>
                <w:szCs w:val="20"/>
                <w:color w:val="auto"/>
              </w:rPr>
            </w:pPr>
            <w:r>
              <w:rPr>
                <w:rFonts w:ascii="Arial" w:cs="Arial" w:eastAsia="Arial" w:hAnsi="Arial"/>
                <w:sz w:val="16"/>
                <w:szCs w:val="16"/>
                <w:color w:val="FFFFFF"/>
              </w:rPr>
              <w:t>150.4%</w:t>
            </w:r>
          </w:p>
        </w:tc>
        <w:tc>
          <w:tcPr>
            <w:tcW w:w="280" w:type="dxa"/>
            <w:vAlign w:val="bottom"/>
            <w:shd w:val="clear" w:color="auto" w:fill="525252"/>
          </w:tcPr>
          <w:p>
            <w:pPr>
              <w:spacing w:after="0"/>
              <w:rPr>
                <w:sz w:val="22"/>
                <w:szCs w:val="22"/>
                <w:color w:val="auto"/>
              </w:rPr>
            </w:pPr>
          </w:p>
        </w:tc>
        <w:tc>
          <w:tcPr>
            <w:tcW w:w="1440" w:type="dxa"/>
            <w:vAlign w:val="bottom"/>
            <w:shd w:val="clear" w:color="auto" w:fill="525252"/>
          </w:tcPr>
          <w:p>
            <w:pPr>
              <w:jc w:val="right"/>
              <w:spacing w:after="0"/>
              <w:rPr>
                <w:sz w:val="20"/>
                <w:szCs w:val="20"/>
                <w:color w:val="auto"/>
              </w:rPr>
            </w:pPr>
            <w:r>
              <w:rPr>
                <w:rFonts w:ascii="Arial" w:cs="Arial" w:eastAsia="Arial" w:hAnsi="Arial"/>
                <w:sz w:val="16"/>
                <w:szCs w:val="16"/>
                <w:color w:val="FFFFFF"/>
              </w:rPr>
              <w:t>150.4%</w:t>
            </w:r>
          </w:p>
        </w:tc>
        <w:tc>
          <w:tcPr>
            <w:tcW w:w="340" w:type="dxa"/>
            <w:vAlign w:val="bottom"/>
            <w:shd w:val="clear" w:color="auto" w:fill="525252"/>
          </w:tcPr>
          <w:p>
            <w:pPr>
              <w:spacing w:after="0"/>
              <w:rPr>
                <w:sz w:val="22"/>
                <w:szCs w:val="22"/>
                <w:color w:val="auto"/>
              </w:rPr>
            </w:pPr>
          </w:p>
        </w:tc>
        <w:tc>
          <w:tcPr>
            <w:tcW w:w="1500" w:type="dxa"/>
            <w:vAlign w:val="bottom"/>
            <w:shd w:val="clear" w:color="auto" w:fill="525252"/>
          </w:tcPr>
          <w:p>
            <w:pPr>
              <w:jc w:val="right"/>
              <w:spacing w:after="0"/>
              <w:rPr>
                <w:sz w:val="20"/>
                <w:szCs w:val="20"/>
                <w:color w:val="auto"/>
              </w:rPr>
            </w:pPr>
            <w:r>
              <w:rPr>
                <w:rFonts w:ascii="Arial" w:cs="Arial" w:eastAsia="Arial" w:hAnsi="Arial"/>
                <w:sz w:val="16"/>
                <w:szCs w:val="16"/>
                <w:color w:val="FFFFFF"/>
              </w:rPr>
              <w:t>144.9%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7804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46" w:lineRule="exact"/>
        <w:rPr>
          <w:sz w:val="20"/>
          <w:szCs w:val="20"/>
          <w:color w:val="auto"/>
        </w:rPr>
      </w:pPr>
    </w:p>
    <w:p>
      <w:pPr>
        <w:ind w:left="620" w:right="180" w:hanging="585"/>
        <w:spacing w:after="0" w:line="279" w:lineRule="auto"/>
        <w:tabs>
          <w:tab w:leader="none" w:pos="620" w:val="left"/>
        </w:tabs>
        <w:numPr>
          <w:ilvl w:val="0"/>
          <w:numId w:val="83"/>
        </w:numPr>
        <w:rPr>
          <w:rFonts w:ascii="Arial" w:cs="Arial" w:eastAsia="Arial" w:hAnsi="Arial"/>
          <w:sz w:val="14"/>
          <w:szCs w:val="14"/>
          <w:i w:val="1"/>
          <w:iCs w:val="1"/>
          <w:color w:val="auto"/>
        </w:rPr>
      </w:pPr>
      <w:r>
        <w:rPr>
          <w:rFonts w:ascii="Arial" w:cs="Arial" w:eastAsia="Arial" w:hAnsi="Arial"/>
          <w:sz w:val="14"/>
          <w:szCs w:val="14"/>
          <w:i w:val="1"/>
          <w:iCs w:val="1"/>
          <w:color w:val="auto"/>
        </w:rPr>
        <w:t>The financial performance for all Named Executives is based on BWXT consolidated financial results, except for Mr. Henry, for whom operating income is measured on the results for the Nuclear Operations Group.</w:t>
      </w:r>
    </w:p>
    <w:p>
      <w:pPr>
        <w:spacing w:after="0" w:line="3" w:lineRule="exact"/>
        <w:rPr>
          <w:rFonts w:ascii="Arial" w:cs="Arial" w:eastAsia="Arial" w:hAnsi="Arial"/>
          <w:sz w:val="14"/>
          <w:szCs w:val="14"/>
          <w:i w:val="1"/>
          <w:iCs w:val="1"/>
          <w:color w:val="auto"/>
        </w:rPr>
      </w:pPr>
    </w:p>
    <w:p>
      <w:pPr>
        <w:ind w:left="620" w:hanging="585"/>
        <w:spacing w:after="0"/>
        <w:tabs>
          <w:tab w:leader="none" w:pos="620" w:val="left"/>
        </w:tabs>
        <w:numPr>
          <w:ilvl w:val="0"/>
          <w:numId w:val="83"/>
        </w:numPr>
        <w:rPr>
          <w:rFonts w:ascii="Arial" w:cs="Arial" w:eastAsia="Arial" w:hAnsi="Arial"/>
          <w:sz w:val="14"/>
          <w:szCs w:val="14"/>
          <w:i w:val="1"/>
          <w:iCs w:val="1"/>
          <w:color w:val="auto"/>
        </w:rPr>
      </w:pPr>
      <w:r>
        <w:rPr>
          <w:rFonts w:ascii="Arial" w:cs="Arial" w:eastAsia="Arial" w:hAnsi="Arial"/>
          <w:sz w:val="14"/>
          <w:szCs w:val="14"/>
          <w:i w:val="1"/>
          <w:iCs w:val="1"/>
          <w:color w:val="auto"/>
        </w:rPr>
        <w:t>Amounts may not foot due to rounding.</w:t>
      </w:r>
    </w:p>
    <w:p>
      <w:pPr>
        <w:spacing w:after="0" w:line="55" w:lineRule="exact"/>
        <w:rPr>
          <w:rFonts w:ascii="Arial" w:cs="Arial" w:eastAsia="Arial" w:hAnsi="Arial"/>
          <w:sz w:val="14"/>
          <w:szCs w:val="14"/>
          <w:i w:val="1"/>
          <w:iCs w:val="1"/>
          <w:color w:val="auto"/>
        </w:rPr>
      </w:pPr>
    </w:p>
    <w:p>
      <w:pPr>
        <w:ind w:left="620" w:hanging="585"/>
        <w:spacing w:after="0"/>
        <w:tabs>
          <w:tab w:leader="none" w:pos="620" w:val="left"/>
        </w:tabs>
        <w:numPr>
          <w:ilvl w:val="0"/>
          <w:numId w:val="83"/>
        </w:numPr>
        <w:rPr>
          <w:rFonts w:ascii="Arial" w:cs="Arial" w:eastAsia="Arial" w:hAnsi="Arial"/>
          <w:sz w:val="14"/>
          <w:szCs w:val="14"/>
          <w:i w:val="1"/>
          <w:iCs w:val="1"/>
          <w:color w:val="auto"/>
        </w:rPr>
      </w:pPr>
      <w:r>
        <w:rPr>
          <w:rFonts w:ascii="Arial" w:cs="Arial" w:eastAsia="Arial" w:hAnsi="Arial"/>
          <w:sz w:val="14"/>
          <w:szCs w:val="14"/>
          <w:i w:val="1"/>
          <w:iCs w:val="1"/>
          <w:color w:val="auto"/>
        </w:rPr>
        <w:t>Amount is based upon financial, safety and individual performance results.</w:t>
      </w:r>
    </w:p>
    <w:p>
      <w:pPr>
        <w:spacing w:after="0" w:line="12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 xml:space="preserve">Analysis of Target Percentage. </w:t>
      </w:r>
      <w:r>
        <w:rPr>
          <w:rFonts w:ascii="Arial" w:cs="Arial" w:eastAsia="Arial" w:hAnsi="Arial"/>
          <w:sz w:val="18"/>
          <w:szCs w:val="18"/>
          <w:color w:val="auto"/>
        </w:rPr>
        <w:t>The Compensation Committee set target percentages indicated in the table during its annual review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compensation in February 2017. The following table shows the 2017 target annual incentive compensation for each Named Executive based on the executive’s target percentage and projected 2017 earnings from salary, relative to his benchmark. The target percentages were not changed for the Named Executives in 2017, except for Mr. Geveden whose target increased from 80% as a result of his promotion from Chief Operating Officer to Chief Executive Officer on January 1, 2017. For Mr. Canafax, the committee set his target annual incentive award opportunity for performance considerations and in recognition of his dual role as BWXT's General Counsel and Chief Compliance Officer, as well as his assumption of certain Chief Operating Officer responsibilities.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TARGET ANNUAL INCENTIVE COMPENSATION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40" w:type="dxa"/>
            <w:vAlign w:val="bottom"/>
            <w:shd w:val="clear" w:color="auto" w:fill="525252"/>
          </w:tcPr>
          <w:p>
            <w:pPr>
              <w:spacing w:after="0"/>
              <w:rPr>
                <w:sz w:val="18"/>
                <w:szCs w:val="18"/>
                <w:color w:val="auto"/>
              </w:rPr>
            </w:pPr>
          </w:p>
        </w:tc>
        <w:tc>
          <w:tcPr>
            <w:tcW w:w="3080" w:type="dxa"/>
            <w:vAlign w:val="bottom"/>
            <w:shd w:val="clear" w:color="auto" w:fill="525252"/>
          </w:tcPr>
          <w:p>
            <w:pPr>
              <w:spacing w:after="0"/>
              <w:rPr>
                <w:sz w:val="18"/>
                <w:szCs w:val="18"/>
                <w:color w:val="auto"/>
              </w:rPr>
            </w:pPr>
          </w:p>
        </w:tc>
        <w:tc>
          <w:tcPr>
            <w:tcW w:w="2540" w:type="dxa"/>
            <w:vAlign w:val="bottom"/>
            <w:tcBorders>
              <w:right w:val="single" w:sz="8" w:color="525252"/>
            </w:tcBorders>
            <w:shd w:val="clear" w:color="auto" w:fill="525252"/>
          </w:tcPr>
          <w:p>
            <w:pPr>
              <w:jc w:val="center"/>
              <w:spacing w:after="0"/>
              <w:rPr>
                <w:sz w:val="20"/>
                <w:szCs w:val="20"/>
                <w:color w:val="auto"/>
              </w:rPr>
            </w:pPr>
            <w:r>
              <w:rPr>
                <w:rFonts w:ascii="Arial" w:cs="Arial" w:eastAsia="Arial" w:hAnsi="Arial"/>
                <w:sz w:val="18"/>
                <w:szCs w:val="18"/>
                <w:b w:val="1"/>
                <w:bCs w:val="1"/>
                <w:color w:val="FFFFFF"/>
                <w:w w:val="99"/>
              </w:rPr>
              <w:t>% Variance</w:t>
            </w:r>
          </w:p>
        </w:tc>
        <w:tc>
          <w:tcPr>
            <w:tcW w:w="3040" w:type="dxa"/>
            <w:vAlign w:val="bottom"/>
            <w:shd w:val="clear" w:color="auto" w:fill="525252"/>
          </w:tcPr>
          <w:p>
            <w:pPr>
              <w:jc w:val="center"/>
              <w:spacing w:after="0"/>
              <w:rPr>
                <w:sz w:val="20"/>
                <w:szCs w:val="20"/>
                <w:color w:val="auto"/>
              </w:rPr>
            </w:pPr>
            <w:r>
              <w:rPr>
                <w:rFonts w:ascii="Arial" w:cs="Arial" w:eastAsia="Arial" w:hAnsi="Arial"/>
                <w:sz w:val="18"/>
                <w:szCs w:val="18"/>
                <w:b w:val="1"/>
                <w:bCs w:val="1"/>
                <w:color w:val="FFFFFF"/>
                <w:w w:val="97"/>
              </w:rPr>
              <w:t>% Variance</w:t>
            </w:r>
          </w:p>
        </w:tc>
      </w:tr>
      <w:tr>
        <w:trPr>
          <w:trHeight w:val="203"/>
        </w:trPr>
        <w:tc>
          <w:tcPr>
            <w:tcW w:w="2740" w:type="dxa"/>
            <w:vAlign w:val="bottom"/>
            <w:shd w:val="clear" w:color="auto" w:fill="525252"/>
          </w:tcPr>
          <w:p>
            <w:pPr>
              <w:ind w:left="120"/>
              <w:spacing w:after="0" w:line="202" w:lineRule="exact"/>
              <w:rPr>
                <w:sz w:val="20"/>
                <w:szCs w:val="20"/>
                <w:color w:val="auto"/>
              </w:rPr>
            </w:pPr>
            <w:r>
              <w:rPr>
                <w:rFonts w:ascii="Arial" w:cs="Arial" w:eastAsia="Arial" w:hAnsi="Arial"/>
                <w:sz w:val="18"/>
                <w:szCs w:val="18"/>
                <w:b w:val="1"/>
                <w:bCs w:val="1"/>
                <w:color w:val="FFFFFF"/>
              </w:rPr>
              <w:t>Named</w:t>
            </w:r>
          </w:p>
        </w:tc>
        <w:tc>
          <w:tcPr>
            <w:tcW w:w="3080" w:type="dxa"/>
            <w:vAlign w:val="bottom"/>
            <w:shd w:val="clear" w:color="auto" w:fill="525252"/>
          </w:tcPr>
          <w:p>
            <w:pPr>
              <w:jc w:val="center"/>
              <w:ind w:left="770"/>
              <w:spacing w:after="0" w:line="202" w:lineRule="exact"/>
              <w:rPr>
                <w:sz w:val="20"/>
                <w:szCs w:val="20"/>
                <w:color w:val="auto"/>
              </w:rPr>
            </w:pPr>
            <w:r>
              <w:rPr>
                <w:rFonts w:ascii="Arial" w:cs="Arial" w:eastAsia="Arial" w:hAnsi="Arial"/>
                <w:sz w:val="18"/>
                <w:szCs w:val="18"/>
                <w:b w:val="1"/>
                <w:bCs w:val="1"/>
                <w:color w:val="FFFFFF"/>
                <w:w w:val="99"/>
              </w:rPr>
              <w:t>EICP</w:t>
            </w:r>
          </w:p>
        </w:tc>
        <w:tc>
          <w:tcPr>
            <w:tcW w:w="2540" w:type="dxa"/>
            <w:vAlign w:val="bottom"/>
            <w:tcBorders>
              <w:right w:val="single" w:sz="8" w:color="525252"/>
            </w:tcBorders>
            <w:shd w:val="clear" w:color="auto" w:fill="525252"/>
          </w:tcPr>
          <w:p>
            <w:pPr>
              <w:jc w:val="center"/>
              <w:spacing w:after="0" w:line="202" w:lineRule="exact"/>
              <w:rPr>
                <w:sz w:val="20"/>
                <w:szCs w:val="20"/>
                <w:color w:val="auto"/>
              </w:rPr>
            </w:pPr>
            <w:r>
              <w:rPr>
                <w:rFonts w:ascii="Arial" w:cs="Arial" w:eastAsia="Arial" w:hAnsi="Arial"/>
                <w:sz w:val="18"/>
                <w:szCs w:val="18"/>
                <w:b w:val="1"/>
                <w:bCs w:val="1"/>
                <w:color w:val="FFFFFF"/>
              </w:rPr>
              <w:t>from Median</w:t>
            </w:r>
          </w:p>
        </w:tc>
        <w:tc>
          <w:tcPr>
            <w:tcW w:w="3040" w:type="dxa"/>
            <w:vAlign w:val="bottom"/>
            <w:shd w:val="clear" w:color="auto" w:fill="525252"/>
          </w:tcPr>
          <w:p>
            <w:pPr>
              <w:jc w:val="center"/>
              <w:spacing w:after="0" w:line="202" w:lineRule="exact"/>
              <w:rPr>
                <w:sz w:val="20"/>
                <w:szCs w:val="20"/>
                <w:color w:val="auto"/>
              </w:rPr>
            </w:pPr>
            <w:r>
              <w:rPr>
                <w:rFonts w:ascii="Arial" w:cs="Arial" w:eastAsia="Arial" w:hAnsi="Arial"/>
                <w:sz w:val="18"/>
                <w:szCs w:val="18"/>
                <w:b w:val="1"/>
                <w:bCs w:val="1"/>
                <w:color w:val="FFFFFF"/>
                <w:w w:val="99"/>
              </w:rPr>
              <w:t>from Median</w:t>
            </w:r>
          </w:p>
        </w:tc>
      </w:tr>
      <w:tr>
        <w:trPr>
          <w:trHeight w:val="252"/>
        </w:trPr>
        <w:tc>
          <w:tcPr>
            <w:tcW w:w="2740" w:type="dxa"/>
            <w:vAlign w:val="bottom"/>
            <w:shd w:val="clear" w:color="auto" w:fill="525252"/>
          </w:tcPr>
          <w:p>
            <w:pPr>
              <w:ind w:left="120"/>
              <w:spacing w:after="0"/>
              <w:rPr>
                <w:sz w:val="20"/>
                <w:szCs w:val="20"/>
                <w:color w:val="auto"/>
              </w:rPr>
            </w:pPr>
            <w:r>
              <w:rPr>
                <w:rFonts w:ascii="Arial" w:cs="Arial" w:eastAsia="Arial" w:hAnsi="Arial"/>
                <w:sz w:val="18"/>
                <w:szCs w:val="18"/>
                <w:b w:val="1"/>
                <w:bCs w:val="1"/>
                <w:color w:val="FFFFFF"/>
              </w:rPr>
              <w:t>Executive</w:t>
            </w:r>
          </w:p>
        </w:tc>
        <w:tc>
          <w:tcPr>
            <w:tcW w:w="3080" w:type="dxa"/>
            <w:vAlign w:val="bottom"/>
            <w:shd w:val="clear" w:color="auto" w:fill="525252"/>
          </w:tcPr>
          <w:p>
            <w:pPr>
              <w:jc w:val="center"/>
              <w:ind w:left="750"/>
              <w:spacing w:after="0"/>
              <w:rPr>
                <w:sz w:val="20"/>
                <w:szCs w:val="20"/>
                <w:color w:val="auto"/>
              </w:rPr>
            </w:pPr>
            <w:r>
              <w:rPr>
                <w:rFonts w:ascii="Arial" w:cs="Arial" w:eastAsia="Arial" w:hAnsi="Arial"/>
                <w:sz w:val="18"/>
                <w:szCs w:val="18"/>
                <w:b w:val="1"/>
                <w:bCs w:val="1"/>
                <w:color w:val="FFFFFF"/>
                <w:w w:val="95"/>
              </w:rPr>
              <w:t>Target%</w:t>
            </w:r>
            <w:r>
              <w:rPr>
                <w:rFonts w:ascii="Arial" w:cs="Arial" w:eastAsia="Arial" w:hAnsi="Arial"/>
                <w:sz w:val="21"/>
                <w:szCs w:val="21"/>
                <w:b w:val="1"/>
                <w:bCs w:val="1"/>
                <w:color w:val="FFFFFF"/>
                <w:w w:val="95"/>
                <w:vertAlign w:val="superscript"/>
              </w:rPr>
              <w:t>(1)</w:t>
            </w:r>
          </w:p>
        </w:tc>
        <w:tc>
          <w:tcPr>
            <w:tcW w:w="2540" w:type="dxa"/>
            <w:vAlign w:val="bottom"/>
            <w:tcBorders>
              <w:right w:val="single" w:sz="8" w:color="525252"/>
            </w:tcBorders>
            <w:shd w:val="clear" w:color="auto" w:fill="525252"/>
          </w:tcPr>
          <w:p>
            <w:pPr>
              <w:jc w:val="center"/>
              <w:spacing w:after="0"/>
              <w:rPr>
                <w:sz w:val="20"/>
                <w:szCs w:val="20"/>
                <w:color w:val="auto"/>
              </w:rPr>
            </w:pPr>
            <w:r>
              <w:rPr>
                <w:rFonts w:ascii="Arial" w:cs="Arial" w:eastAsia="Arial" w:hAnsi="Arial"/>
                <w:sz w:val="18"/>
                <w:szCs w:val="18"/>
                <w:b w:val="1"/>
                <w:bCs w:val="1"/>
                <w:color w:val="FFFFFF"/>
                <w:w w:val="99"/>
              </w:rPr>
              <w:t>(Survey Data)</w:t>
            </w:r>
          </w:p>
        </w:tc>
        <w:tc>
          <w:tcPr>
            <w:tcW w:w="3040" w:type="dxa"/>
            <w:vAlign w:val="bottom"/>
            <w:shd w:val="clear" w:color="auto" w:fill="525252"/>
          </w:tcPr>
          <w:p>
            <w:pPr>
              <w:jc w:val="center"/>
              <w:spacing w:after="0"/>
              <w:rPr>
                <w:sz w:val="20"/>
                <w:szCs w:val="20"/>
                <w:color w:val="auto"/>
              </w:rPr>
            </w:pPr>
            <w:r>
              <w:rPr>
                <w:rFonts w:ascii="Arial" w:cs="Arial" w:eastAsia="Arial" w:hAnsi="Arial"/>
                <w:sz w:val="18"/>
                <w:szCs w:val="18"/>
                <w:b w:val="1"/>
                <w:bCs w:val="1"/>
                <w:color w:val="FFFFFF"/>
                <w:w w:val="99"/>
              </w:rPr>
              <w:t>(Proxy Data)</w:t>
            </w:r>
          </w:p>
        </w:tc>
      </w:tr>
      <w:tr>
        <w:trPr>
          <w:trHeight w:val="263"/>
        </w:trPr>
        <w:tc>
          <w:tcPr>
            <w:tcW w:w="2740" w:type="dxa"/>
            <w:vAlign w:val="bottom"/>
          </w:tcPr>
          <w:p>
            <w:pPr>
              <w:ind w:left="180"/>
              <w:spacing w:after="0"/>
              <w:rPr>
                <w:sz w:val="20"/>
                <w:szCs w:val="20"/>
                <w:color w:val="auto"/>
              </w:rPr>
            </w:pPr>
            <w:r>
              <w:rPr>
                <w:rFonts w:ascii="Arial" w:cs="Arial" w:eastAsia="Arial" w:hAnsi="Arial"/>
                <w:sz w:val="18"/>
                <w:szCs w:val="18"/>
                <w:color w:val="auto"/>
              </w:rPr>
              <w:t>Mr. Geveden</w:t>
            </w:r>
          </w:p>
        </w:tc>
        <w:tc>
          <w:tcPr>
            <w:tcW w:w="3080" w:type="dxa"/>
            <w:vAlign w:val="bottom"/>
          </w:tcPr>
          <w:p>
            <w:pPr>
              <w:jc w:val="center"/>
              <w:ind w:left="750"/>
              <w:spacing w:after="0"/>
              <w:rPr>
                <w:sz w:val="20"/>
                <w:szCs w:val="20"/>
                <w:color w:val="auto"/>
              </w:rPr>
            </w:pPr>
            <w:r>
              <w:rPr>
                <w:rFonts w:ascii="Arial" w:cs="Arial" w:eastAsia="Arial" w:hAnsi="Arial"/>
                <w:sz w:val="18"/>
                <w:szCs w:val="18"/>
                <w:color w:val="auto"/>
                <w:w w:val="99"/>
              </w:rPr>
              <w:t>90%</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-31%</w:t>
            </w:r>
          </w:p>
        </w:tc>
        <w:tc>
          <w:tcPr>
            <w:tcW w:w="3040" w:type="dxa"/>
            <w:vAlign w:val="bottom"/>
          </w:tcPr>
          <w:p>
            <w:pPr>
              <w:jc w:val="center"/>
              <w:spacing w:after="0"/>
              <w:rPr>
                <w:sz w:val="20"/>
                <w:szCs w:val="20"/>
                <w:color w:val="auto"/>
              </w:rPr>
            </w:pPr>
            <w:r>
              <w:rPr>
                <w:rFonts w:ascii="Arial" w:cs="Arial" w:eastAsia="Arial" w:hAnsi="Arial"/>
                <w:sz w:val="18"/>
                <w:szCs w:val="18"/>
                <w:color w:val="auto"/>
                <w:w w:val="99"/>
              </w:rPr>
              <w:t>-32%</w:t>
            </w:r>
          </w:p>
        </w:tc>
      </w:tr>
      <w:tr>
        <w:trPr>
          <w:trHeight w:val="277"/>
        </w:trPr>
        <w:tc>
          <w:tcPr>
            <w:tcW w:w="2740" w:type="dxa"/>
            <w:vAlign w:val="bottom"/>
            <w:shd w:val="clear" w:color="auto" w:fill="E5E5E5"/>
          </w:tcPr>
          <w:p>
            <w:pPr>
              <w:ind w:left="180"/>
              <w:spacing w:after="0"/>
              <w:rPr>
                <w:sz w:val="20"/>
                <w:szCs w:val="20"/>
                <w:color w:val="auto"/>
              </w:rPr>
            </w:pPr>
            <w:r>
              <w:rPr>
                <w:rFonts w:ascii="Arial" w:cs="Arial" w:eastAsia="Arial" w:hAnsi="Arial"/>
                <w:sz w:val="18"/>
                <w:szCs w:val="18"/>
                <w:color w:val="auto"/>
              </w:rPr>
              <w:t>Mr. Black</w:t>
            </w:r>
          </w:p>
        </w:tc>
        <w:tc>
          <w:tcPr>
            <w:tcW w:w="3080" w:type="dxa"/>
            <w:vAlign w:val="bottom"/>
            <w:shd w:val="clear" w:color="auto" w:fill="E5E5E5"/>
          </w:tcPr>
          <w:p>
            <w:pPr>
              <w:jc w:val="center"/>
              <w:ind w:left="750"/>
              <w:spacing w:after="0"/>
              <w:rPr>
                <w:sz w:val="20"/>
                <w:szCs w:val="20"/>
                <w:color w:val="auto"/>
              </w:rPr>
            </w:pPr>
            <w:r>
              <w:rPr>
                <w:rFonts w:ascii="Arial" w:cs="Arial" w:eastAsia="Arial" w:hAnsi="Arial"/>
                <w:sz w:val="18"/>
                <w:szCs w:val="18"/>
                <w:color w:val="auto"/>
                <w:w w:val="99"/>
              </w:rPr>
              <w:t>60%</w:t>
            </w:r>
          </w:p>
        </w:tc>
        <w:tc>
          <w:tcPr>
            <w:tcW w:w="2540" w:type="dxa"/>
            <w:vAlign w:val="bottom"/>
            <w:tcBorders>
              <w:right w:val="single" w:sz="8" w:color="auto"/>
            </w:tcBorders>
            <w:shd w:val="clear" w:color="auto" w:fill="E5E5E5"/>
          </w:tcPr>
          <w:p>
            <w:pPr>
              <w:jc w:val="center"/>
              <w:spacing w:after="0"/>
              <w:rPr>
                <w:sz w:val="20"/>
                <w:szCs w:val="20"/>
                <w:color w:val="auto"/>
              </w:rPr>
            </w:pPr>
            <w:r>
              <w:rPr>
                <w:rFonts w:ascii="Arial" w:cs="Arial" w:eastAsia="Arial" w:hAnsi="Arial"/>
                <w:sz w:val="18"/>
                <w:szCs w:val="18"/>
                <w:color w:val="auto"/>
                <w:w w:val="99"/>
              </w:rPr>
              <w:t>-6%</w:t>
            </w:r>
          </w:p>
        </w:tc>
        <w:tc>
          <w:tcPr>
            <w:tcW w:w="30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-24%</w:t>
            </w:r>
          </w:p>
        </w:tc>
      </w:tr>
      <w:tr>
        <w:trPr>
          <w:trHeight w:val="263"/>
        </w:trPr>
        <w:tc>
          <w:tcPr>
            <w:tcW w:w="2740" w:type="dxa"/>
            <w:vAlign w:val="bottom"/>
          </w:tcPr>
          <w:p>
            <w:pPr>
              <w:ind w:left="180"/>
              <w:spacing w:after="0"/>
              <w:rPr>
                <w:sz w:val="20"/>
                <w:szCs w:val="20"/>
                <w:color w:val="auto"/>
              </w:rPr>
            </w:pPr>
            <w:r>
              <w:rPr>
                <w:rFonts w:ascii="Arial" w:cs="Arial" w:eastAsia="Arial" w:hAnsi="Arial"/>
                <w:sz w:val="18"/>
                <w:szCs w:val="18"/>
                <w:color w:val="auto"/>
              </w:rPr>
              <w:t>Mr. Fees</w:t>
            </w:r>
          </w:p>
        </w:tc>
        <w:tc>
          <w:tcPr>
            <w:tcW w:w="3080" w:type="dxa"/>
            <w:vAlign w:val="bottom"/>
          </w:tcPr>
          <w:p>
            <w:pPr>
              <w:jc w:val="center"/>
              <w:ind w:left="750"/>
              <w:spacing w:after="0"/>
              <w:rPr>
                <w:sz w:val="20"/>
                <w:szCs w:val="20"/>
                <w:color w:val="auto"/>
              </w:rPr>
            </w:pPr>
            <w:r>
              <w:rPr>
                <w:rFonts w:ascii="Arial" w:cs="Arial" w:eastAsia="Arial" w:hAnsi="Arial"/>
                <w:sz w:val="18"/>
                <w:szCs w:val="18"/>
                <w:color w:val="auto"/>
                <w:w w:val="99"/>
              </w:rPr>
              <w:t>75%</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-12%</w:t>
            </w:r>
          </w:p>
        </w:tc>
        <w:tc>
          <w:tcPr>
            <w:tcW w:w="30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7"/>
        </w:trPr>
        <w:tc>
          <w:tcPr>
            <w:tcW w:w="2740" w:type="dxa"/>
            <w:vAlign w:val="bottom"/>
            <w:shd w:val="clear" w:color="auto" w:fill="E5E5E5"/>
          </w:tcPr>
          <w:p>
            <w:pPr>
              <w:ind w:left="180"/>
              <w:spacing w:after="0"/>
              <w:rPr>
                <w:sz w:val="20"/>
                <w:szCs w:val="20"/>
                <w:color w:val="auto"/>
              </w:rPr>
            </w:pPr>
            <w:r>
              <w:rPr>
                <w:rFonts w:ascii="Arial" w:cs="Arial" w:eastAsia="Arial" w:hAnsi="Arial"/>
                <w:sz w:val="18"/>
                <w:szCs w:val="18"/>
                <w:color w:val="auto"/>
              </w:rPr>
              <w:t>Mr. Canafax</w:t>
            </w:r>
          </w:p>
        </w:tc>
        <w:tc>
          <w:tcPr>
            <w:tcW w:w="3080" w:type="dxa"/>
            <w:vAlign w:val="bottom"/>
            <w:shd w:val="clear" w:color="auto" w:fill="E5E5E5"/>
          </w:tcPr>
          <w:p>
            <w:pPr>
              <w:jc w:val="center"/>
              <w:ind w:left="750"/>
              <w:spacing w:after="0"/>
              <w:rPr>
                <w:sz w:val="20"/>
                <w:szCs w:val="20"/>
                <w:color w:val="auto"/>
              </w:rPr>
            </w:pPr>
            <w:r>
              <w:rPr>
                <w:rFonts w:ascii="Arial" w:cs="Arial" w:eastAsia="Arial" w:hAnsi="Arial"/>
                <w:sz w:val="18"/>
                <w:szCs w:val="18"/>
                <w:color w:val="auto"/>
                <w:w w:val="99"/>
              </w:rPr>
              <w:t>60%</w:t>
            </w:r>
          </w:p>
        </w:tc>
        <w:tc>
          <w:tcPr>
            <w:tcW w:w="2540" w:type="dxa"/>
            <w:vAlign w:val="bottom"/>
            <w:tcBorders>
              <w:right w:val="single" w:sz="8" w:color="auto"/>
            </w:tcBorders>
            <w:shd w:val="clear" w:color="auto" w:fill="E5E5E5"/>
          </w:tcPr>
          <w:p>
            <w:pPr>
              <w:jc w:val="center"/>
              <w:spacing w:after="0"/>
              <w:rPr>
                <w:sz w:val="20"/>
                <w:szCs w:val="20"/>
                <w:color w:val="auto"/>
              </w:rPr>
            </w:pPr>
            <w:r>
              <w:rPr>
                <w:rFonts w:ascii="Arial" w:cs="Arial" w:eastAsia="Arial" w:hAnsi="Arial"/>
                <w:sz w:val="18"/>
                <w:szCs w:val="18"/>
                <w:color w:val="auto"/>
                <w:w w:val="99"/>
              </w:rPr>
              <w:t>16%</w:t>
            </w:r>
          </w:p>
        </w:tc>
        <w:tc>
          <w:tcPr>
            <w:tcW w:w="30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16%</w:t>
            </w:r>
          </w:p>
        </w:tc>
      </w:tr>
      <w:tr>
        <w:trPr>
          <w:trHeight w:val="270"/>
        </w:trPr>
        <w:tc>
          <w:tcPr>
            <w:tcW w:w="2740" w:type="dxa"/>
            <w:vAlign w:val="bottom"/>
          </w:tcPr>
          <w:p>
            <w:pPr>
              <w:ind w:left="180"/>
              <w:spacing w:after="0"/>
              <w:rPr>
                <w:sz w:val="20"/>
                <w:szCs w:val="20"/>
                <w:color w:val="auto"/>
              </w:rPr>
            </w:pPr>
            <w:r>
              <w:rPr>
                <w:rFonts w:ascii="Arial" w:cs="Arial" w:eastAsia="Arial" w:hAnsi="Arial"/>
                <w:sz w:val="18"/>
                <w:szCs w:val="18"/>
                <w:color w:val="auto"/>
              </w:rPr>
              <w:t>Mr. Henry</w:t>
            </w:r>
          </w:p>
        </w:tc>
        <w:tc>
          <w:tcPr>
            <w:tcW w:w="3080" w:type="dxa"/>
            <w:vAlign w:val="bottom"/>
          </w:tcPr>
          <w:p>
            <w:pPr>
              <w:jc w:val="center"/>
              <w:ind w:left="750"/>
              <w:spacing w:after="0"/>
              <w:rPr>
                <w:sz w:val="20"/>
                <w:szCs w:val="20"/>
                <w:color w:val="auto"/>
              </w:rPr>
            </w:pPr>
            <w:r>
              <w:rPr>
                <w:rFonts w:ascii="Arial" w:cs="Arial" w:eastAsia="Arial" w:hAnsi="Arial"/>
                <w:sz w:val="18"/>
                <w:szCs w:val="18"/>
                <w:color w:val="auto"/>
                <w:w w:val="99"/>
              </w:rPr>
              <w:t>60%</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-24%</w:t>
            </w:r>
          </w:p>
        </w:tc>
        <w:tc>
          <w:tcPr>
            <w:tcW w:w="3040" w:type="dxa"/>
            <w:vAlign w:val="bottom"/>
          </w:tcPr>
          <w:p>
            <w:pPr>
              <w:jc w:val="center"/>
              <w:spacing w:after="0"/>
              <w:rPr>
                <w:sz w:val="20"/>
                <w:szCs w:val="20"/>
                <w:color w:val="auto"/>
              </w:rPr>
            </w:pPr>
            <w:r>
              <w:rPr>
                <w:rFonts w:ascii="Arial" w:cs="Arial" w:eastAsia="Arial" w:hAnsi="Arial"/>
                <w:sz w:val="18"/>
                <w:szCs w:val="18"/>
                <w:color w:val="auto"/>
                <w:w w:val="99"/>
              </w:rPr>
              <w:t>-24%</w:t>
            </w:r>
          </w:p>
        </w:tc>
      </w:tr>
    </w:tbl>
    <w:p>
      <w:pPr>
        <w:ind w:left="460" w:right="300" w:hanging="330"/>
        <w:spacing w:after="0" w:line="265" w:lineRule="auto"/>
        <w:tabs>
          <w:tab w:leader="none" w:pos="460" w:val="left"/>
        </w:tabs>
        <w:numPr>
          <w:ilvl w:val="0"/>
          <w:numId w:val="84"/>
        </w:numPr>
        <w:rPr>
          <w:rFonts w:ascii="Arial" w:cs="Arial" w:eastAsia="Arial" w:hAnsi="Arial"/>
          <w:sz w:val="14"/>
          <w:szCs w:val="14"/>
          <w:i w:val="1"/>
          <w:iCs w:val="1"/>
          <w:color w:val="auto"/>
        </w:rPr>
      </w:pPr>
      <w:r>
        <w:rPr>
          <w:rFonts w:ascii="Arial" w:cs="Arial" w:eastAsia="Arial" w:hAnsi="Arial"/>
          <w:sz w:val="14"/>
          <w:szCs w:val="14"/>
          <w:i w:val="1"/>
          <w:iCs w:val="1"/>
          <w:color w:val="auto"/>
        </w:rPr>
        <w:t>Each Named Executive’s EICP target compensation was calculated by multiplying the applicable EICP Target % by the applicable projected earnings from salary during 2017. See “Executive Compensation – Summary Compensation Table” for each Named Executives’ earnings from salary during 2017.</w:t>
      </w:r>
    </w:p>
    <w:p>
      <w:pPr>
        <w:spacing w:after="0" w:line="49"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At the time the Compensation Committee established the 2017 financial goals, it designed the 2017 annual incentive plan to exclude from actual operating income results the effect of certain pre-established items that it believed would not reflect operating performance, including</w:t>
      </w:r>
    </w:p>
    <w:p>
      <w:pPr>
        <w:spacing w:after="0" w:line="1" w:lineRule="exact"/>
        <w:rPr>
          <w:sz w:val="20"/>
          <w:szCs w:val="20"/>
          <w:color w:val="auto"/>
        </w:rPr>
      </w:pPr>
    </w:p>
    <w:p>
      <w:pPr>
        <w:ind w:left="280" w:hanging="272"/>
        <w:spacing w:after="0"/>
        <w:tabs>
          <w:tab w:leader="none" w:pos="2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expenses associated with restructuring activity or asset acquisitions or dispositions, (2) pension accounting mark-to-market losses,</w:t>
      </w:r>
    </w:p>
    <w:p>
      <w:pPr>
        <w:spacing w:after="0" w:line="9" w:lineRule="exact"/>
        <w:rPr>
          <w:rFonts w:ascii="Arial" w:cs="Arial" w:eastAsia="Arial" w:hAnsi="Arial"/>
          <w:sz w:val="18"/>
          <w:szCs w:val="18"/>
          <w:color w:val="auto"/>
        </w:rPr>
      </w:pPr>
    </w:p>
    <w:p>
      <w:pPr>
        <w:ind w:right="500" w:firstLine="8"/>
        <w:spacing w:after="0" w:line="262" w:lineRule="auto"/>
        <w:tabs>
          <w:tab w:leader="none" w:pos="270" w:val="left"/>
        </w:tabs>
        <w:numPr>
          <w:ilvl w:val="0"/>
          <w:numId w:val="86"/>
        </w:numPr>
        <w:rPr>
          <w:rFonts w:ascii="Arial" w:cs="Arial" w:eastAsia="Arial" w:hAnsi="Arial"/>
          <w:sz w:val="18"/>
          <w:szCs w:val="18"/>
          <w:color w:val="auto"/>
        </w:rPr>
      </w:pPr>
      <w:r>
        <w:rPr>
          <w:rFonts w:ascii="Arial" w:cs="Arial" w:eastAsia="Arial" w:hAnsi="Arial"/>
          <w:sz w:val="18"/>
          <w:szCs w:val="18"/>
          <w:color w:val="auto"/>
        </w:rPr>
        <w:t>losses in respect of legal proceedings, divestitures, and impairment to assets, (4) acquisition related amortization and (5) certain other unusual or non-recurring items.</w:t>
      </w:r>
    </w:p>
    <w:p>
      <w:pPr>
        <w:spacing w:after="0" w:line="224" w:lineRule="exact"/>
        <w:rPr>
          <w:sz w:val="20"/>
          <w:szCs w:val="20"/>
          <w:color w:val="auto"/>
        </w:rPr>
      </w:pPr>
    </w:p>
    <w:p>
      <w:pPr>
        <w:jc w:val="right"/>
        <w:spacing w:after="0"/>
        <w:rPr>
          <w:sz w:val="20"/>
          <w:szCs w:val="20"/>
          <w:color w:val="auto"/>
        </w:rPr>
      </w:pPr>
      <w:r>
        <w:rPr>
          <w:sz w:val="1"/>
          <w:szCs w:val="1"/>
          <w:color w:val="auto"/>
        </w:rPr>
        <w:drawing>
          <wp:inline distT="0" distB="0" distL="0" distR="0">
            <wp:extent cx="488950" cy="20574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88950" cy="205740"/>
                    </a:xfrm>
                    <a:prstGeom prst="rect">
                      <a:avLst/>
                    </a:prstGeom>
                    <a:noFill/>
                    <a:ln>
                      <a:noFill/>
                    </a:ln>
                  </pic:spPr>
                </pic:pic>
              </a:graphicData>
            </a:graphic>
          </wp:inline>
        </w:drawing>
      </w:r>
      <w:r>
        <w:rPr>
          <w:rFonts w:ascii="Arial" w:cs="Arial" w:eastAsia="Arial" w:hAnsi="Arial"/>
          <w:sz w:val="18"/>
          <w:szCs w:val="18"/>
          <w:color w:val="auto"/>
        </w:rPr>
        <w:t xml:space="preserve"> 2018 PROXY STATEMENT </w:t>
      </w:r>
      <w:r>
        <w:rPr>
          <w:rFonts w:ascii="Arial" w:cs="Arial" w:eastAsia="Arial" w:hAnsi="Arial"/>
          <w:sz w:val="18"/>
          <w:szCs w:val="18"/>
          <w:b w:val="1"/>
          <w:bCs w:val="1"/>
          <w:color w:val="2C2C2C"/>
        </w:rPr>
        <w:t>33</w:t>
      </w:r>
    </w:p>
    <w:p>
      <w:pPr>
        <w:sectPr>
          <w:pgSz w:w="11900" w:h="16838" w:orient="portrait"/>
          <w:cols w:equalWidth="0" w:num="1">
            <w:col w:w="11420"/>
          </w:cols>
          <w:pgMar w:left="240" w:top="125" w:right="239" w:bottom="1440" w:gutter="0" w:footer="0" w:header="0"/>
        </w:sectPr>
      </w:pPr>
    </w:p>
    <w:bookmarkStart w:id="42" w:name="page43"/>
    <w:bookmarkEnd w:id="42"/>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7320"/>
        <w:spacing w:after="0"/>
        <w:rPr>
          <w:sz w:val="20"/>
          <w:szCs w:val="20"/>
          <w:color w:val="auto"/>
        </w:rPr>
      </w:pPr>
      <w:r>
        <w:rPr>
          <w:rFonts w:ascii="Arial" w:cs="Arial" w:eastAsia="Arial" w:hAnsi="Arial"/>
          <w:sz w:val="14"/>
          <w:szCs w:val="14"/>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8"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i w:val="1"/>
          <w:iCs w:val="1"/>
          <w:color w:val="auto"/>
        </w:rPr>
        <w:t xml:space="preserve">Analysis of 2017 EICP Performance Results. </w:t>
      </w:r>
      <w:r>
        <w:rPr>
          <w:rFonts w:ascii="Arial" w:cs="Arial" w:eastAsia="Arial" w:hAnsi="Arial"/>
          <w:sz w:val="18"/>
          <w:szCs w:val="18"/>
          <w:color w:val="auto"/>
        </w:rPr>
        <w:t>The following table summarizes the level of attainment of the financial and safety results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relative to the target goals.</w:t>
      </w:r>
    </w:p>
    <w:p>
      <w:pPr>
        <w:spacing w:after="0" w:line="9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2017 ANNUAL INCENTIVE PERFORMANCE RESULTS</w:t>
      </w:r>
      <w:r>
        <w:rPr>
          <w:rFonts w:ascii="Arial" w:cs="Arial" w:eastAsia="Arial" w:hAnsi="Arial"/>
          <w:sz w:val="21"/>
          <w:szCs w:val="21"/>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-1270</wp:posOffset>
            </wp:positionV>
            <wp:extent cx="4570730" cy="22809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570730" cy="228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40" w:hanging="571"/>
        <w:spacing w:after="0"/>
        <w:tabs>
          <w:tab w:leader="none" w:pos="640" w:val="left"/>
        </w:tabs>
        <w:numPr>
          <w:ilvl w:val="0"/>
          <w:numId w:val="87"/>
        </w:numPr>
        <w:rPr>
          <w:rFonts w:ascii="Arial" w:cs="Arial" w:eastAsia="Arial" w:hAnsi="Arial"/>
          <w:sz w:val="14"/>
          <w:szCs w:val="14"/>
          <w:i w:val="1"/>
          <w:iCs w:val="1"/>
          <w:color w:val="auto"/>
        </w:rPr>
      </w:pPr>
      <w:r>
        <w:rPr>
          <w:rFonts w:ascii="Arial" w:cs="Arial" w:eastAsia="Arial" w:hAnsi="Arial"/>
          <w:sz w:val="14"/>
          <w:szCs w:val="14"/>
          <w:i w:val="1"/>
          <w:iCs w:val="1"/>
          <w:color w:val="auto"/>
        </w:rPr>
        <w:t>For purposes of calculating Mr. Henry's EICP payout, operating income results for the Nuclear Operations Group were 105% of target.</w:t>
      </w:r>
    </w:p>
    <w:p>
      <w:pPr>
        <w:spacing w:after="0" w:line="2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Analysis of Financial Performance. </w:t>
      </w:r>
      <w:r>
        <w:rPr>
          <w:rFonts w:ascii="Arial" w:cs="Arial" w:eastAsia="Arial" w:hAnsi="Arial"/>
          <w:sz w:val="18"/>
          <w:szCs w:val="18"/>
          <w:color w:val="auto"/>
        </w:rPr>
        <w:t>The adjusted financial performance results for the 2017 Performance Period achieved a 1.546x pay-out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each of our Named Executives (1.520x for Mr. Henry) before taking into account safety and individual performance. These results included mandatory, pre-established adjustments from our GAAP operating income results for the items discussed on the previous page. In determining final EICP pay-out amounts, our Compensation Committee also exercised negative discretion by applying a downward adjustment to reflect operating income performance without the effect of a beneficial reversal of an accrual that resulted from a favorable litigation appeal.</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 xml:space="preserve">Analysis of Safety and Individual Performance. </w:t>
      </w:r>
      <w:r>
        <w:rPr>
          <w:rFonts w:ascii="Arial" w:cs="Arial" w:eastAsia="Arial" w:hAnsi="Arial"/>
          <w:sz w:val="18"/>
          <w:szCs w:val="18"/>
          <w:color w:val="auto"/>
        </w:rPr>
        <w:t>The following table sets forth the threshold and target goals applicable to each safety metric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the level of achievement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37730" cy="1631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37730" cy="163195"/>
                    </a:xfrm>
                    <a:prstGeom prst="rect">
                      <a:avLst/>
                    </a:prstGeom>
                    <a:noFill/>
                  </pic:spPr>
                </pic:pic>
              </a:graphicData>
            </a:graphic>
          </wp:anchor>
        </w:drawing>
      </w:r>
    </w:p>
    <w:p>
      <w:pPr>
        <w:spacing w:after="0" w:line="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FFFFFF"/>
        </w:rPr>
        <w:t>2017 Safety Goals and Actual Results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4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Safety Metric</w:t>
            </w:r>
          </w:p>
        </w:tc>
        <w:tc>
          <w:tcPr>
            <w:tcW w:w="3380" w:type="dxa"/>
            <w:vAlign w:val="bottom"/>
            <w:tcBorders>
              <w:bottom w:val="single" w:sz="8" w:color="auto"/>
            </w:tcBorders>
          </w:tcPr>
          <w:p>
            <w:pPr>
              <w:jc w:val="center"/>
              <w:ind w:left="730"/>
              <w:spacing w:after="0"/>
              <w:rPr>
                <w:sz w:val="20"/>
                <w:szCs w:val="20"/>
                <w:color w:val="auto"/>
              </w:rPr>
            </w:pPr>
            <w:r>
              <w:rPr>
                <w:rFonts w:ascii="Arial" w:cs="Arial" w:eastAsia="Arial" w:hAnsi="Arial"/>
                <w:sz w:val="18"/>
                <w:szCs w:val="18"/>
                <w:b w:val="1"/>
                <w:bCs w:val="1"/>
                <w:color w:val="auto"/>
              </w:rPr>
              <w:t>Threshold</w:t>
            </w:r>
          </w:p>
        </w:tc>
        <w:tc>
          <w:tcPr>
            <w:tcW w:w="238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8"/>
              </w:rPr>
              <w:t>Target</w:t>
            </w:r>
          </w:p>
        </w:tc>
        <w:tc>
          <w:tcPr>
            <w:tcW w:w="224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Actual Result</w:t>
            </w:r>
          </w:p>
        </w:tc>
      </w:tr>
      <w:tr>
        <w:trPr>
          <w:trHeight w:val="259"/>
        </w:trPr>
        <w:tc>
          <w:tcPr>
            <w:tcW w:w="3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TRIR</w:t>
            </w:r>
          </w:p>
        </w:tc>
        <w:tc>
          <w:tcPr>
            <w:tcW w:w="3380" w:type="dxa"/>
            <w:vAlign w:val="bottom"/>
            <w:tcBorders>
              <w:bottom w:val="single" w:sz="8" w:color="auto"/>
            </w:tcBorders>
          </w:tcPr>
          <w:p>
            <w:pPr>
              <w:jc w:val="center"/>
              <w:ind w:left="730"/>
              <w:spacing w:after="0"/>
              <w:rPr>
                <w:sz w:val="20"/>
                <w:szCs w:val="20"/>
                <w:color w:val="auto"/>
              </w:rPr>
            </w:pPr>
            <w:r>
              <w:rPr>
                <w:rFonts w:ascii="Arial" w:cs="Arial" w:eastAsia="Arial" w:hAnsi="Arial"/>
                <w:sz w:val="18"/>
                <w:szCs w:val="18"/>
                <w:color w:val="auto"/>
              </w:rPr>
              <w:t>0.91</w:t>
            </w:r>
          </w:p>
        </w:tc>
        <w:tc>
          <w:tcPr>
            <w:tcW w:w="2380" w:type="dxa"/>
            <w:vAlign w:val="bottom"/>
            <w:tcBorders>
              <w:bottom w:val="single" w:sz="8" w:color="auto"/>
              <w:right w:val="single" w:sz="8" w:color="auto"/>
            </w:tcBorders>
          </w:tcPr>
          <w:p>
            <w:pPr>
              <w:jc w:val="center"/>
              <w:ind w:right="50"/>
              <w:spacing w:after="0"/>
              <w:rPr>
                <w:sz w:val="20"/>
                <w:szCs w:val="20"/>
                <w:color w:val="auto"/>
              </w:rPr>
            </w:pPr>
            <w:r>
              <w:rPr>
                <w:rFonts w:ascii="Arial" w:cs="Arial" w:eastAsia="Arial" w:hAnsi="Arial"/>
                <w:sz w:val="18"/>
                <w:szCs w:val="18"/>
                <w:color w:val="auto"/>
              </w:rPr>
              <w:t>0.80</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0.89</w:t>
            </w:r>
          </w:p>
        </w:tc>
      </w:tr>
      <w:tr>
        <w:trPr>
          <w:trHeight w:val="264"/>
        </w:trPr>
        <w:tc>
          <w:tcPr>
            <w:tcW w:w="3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DART</w:t>
            </w:r>
          </w:p>
        </w:tc>
        <w:tc>
          <w:tcPr>
            <w:tcW w:w="3380" w:type="dxa"/>
            <w:vAlign w:val="bottom"/>
            <w:tcBorders>
              <w:bottom w:val="single" w:sz="8" w:color="auto"/>
            </w:tcBorders>
          </w:tcPr>
          <w:p>
            <w:pPr>
              <w:jc w:val="center"/>
              <w:ind w:left="730"/>
              <w:spacing w:after="0"/>
              <w:rPr>
                <w:sz w:val="20"/>
                <w:szCs w:val="20"/>
                <w:color w:val="auto"/>
              </w:rPr>
            </w:pPr>
            <w:r>
              <w:rPr>
                <w:rFonts w:ascii="Arial" w:cs="Arial" w:eastAsia="Arial" w:hAnsi="Arial"/>
                <w:sz w:val="18"/>
                <w:szCs w:val="18"/>
                <w:color w:val="auto"/>
              </w:rPr>
              <w:t>0.32</w:t>
            </w:r>
          </w:p>
        </w:tc>
        <w:tc>
          <w:tcPr>
            <w:tcW w:w="2380" w:type="dxa"/>
            <w:vAlign w:val="bottom"/>
            <w:tcBorders>
              <w:bottom w:val="single" w:sz="8" w:color="auto"/>
              <w:right w:val="single" w:sz="8" w:color="auto"/>
            </w:tcBorders>
          </w:tcPr>
          <w:p>
            <w:pPr>
              <w:jc w:val="center"/>
              <w:ind w:right="50"/>
              <w:spacing w:after="0"/>
              <w:rPr>
                <w:sz w:val="20"/>
                <w:szCs w:val="20"/>
                <w:color w:val="auto"/>
              </w:rPr>
            </w:pPr>
            <w:r>
              <w:rPr>
                <w:rFonts w:ascii="Arial" w:cs="Arial" w:eastAsia="Arial" w:hAnsi="Arial"/>
                <w:sz w:val="18"/>
                <w:szCs w:val="18"/>
                <w:color w:val="auto"/>
              </w:rPr>
              <w:t>0.29</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0.20</w:t>
            </w:r>
          </w:p>
        </w:tc>
      </w:tr>
      <w:tr>
        <w:trPr>
          <w:trHeight w:val="264"/>
        </w:trPr>
        <w:tc>
          <w:tcPr>
            <w:tcW w:w="3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EHS BP</w:t>
            </w:r>
          </w:p>
        </w:tc>
        <w:tc>
          <w:tcPr>
            <w:tcW w:w="3380" w:type="dxa"/>
            <w:vAlign w:val="bottom"/>
            <w:tcBorders>
              <w:bottom w:val="single" w:sz="8" w:color="auto"/>
            </w:tcBorders>
          </w:tcPr>
          <w:p>
            <w:pPr>
              <w:jc w:val="center"/>
              <w:ind w:left="730"/>
              <w:spacing w:after="0"/>
              <w:rPr>
                <w:sz w:val="20"/>
                <w:szCs w:val="20"/>
                <w:color w:val="auto"/>
              </w:rPr>
            </w:pPr>
            <w:r>
              <w:rPr>
                <w:rFonts w:ascii="Arial" w:cs="Arial" w:eastAsia="Arial" w:hAnsi="Arial"/>
                <w:sz w:val="18"/>
                <w:szCs w:val="18"/>
                <w:color w:val="auto"/>
              </w:rPr>
              <w:t>None</w:t>
            </w:r>
          </w:p>
        </w:tc>
        <w:tc>
          <w:tcPr>
            <w:tcW w:w="2380" w:type="dxa"/>
            <w:vAlign w:val="bottom"/>
            <w:tcBorders>
              <w:bottom w:val="single" w:sz="8" w:color="auto"/>
              <w:right w:val="single" w:sz="8" w:color="auto"/>
            </w:tcBorders>
          </w:tcPr>
          <w:p>
            <w:pPr>
              <w:jc w:val="center"/>
              <w:ind w:right="50"/>
              <w:spacing w:after="0"/>
              <w:rPr>
                <w:sz w:val="20"/>
                <w:szCs w:val="20"/>
                <w:color w:val="auto"/>
              </w:rPr>
            </w:pPr>
            <w:r>
              <w:rPr>
                <w:rFonts w:ascii="Arial" w:cs="Arial" w:eastAsia="Arial" w:hAnsi="Arial"/>
                <w:sz w:val="18"/>
                <w:szCs w:val="18"/>
                <w:color w:val="auto"/>
                <w:w w:val="99"/>
              </w:rPr>
              <w:t>97%</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99%</w:t>
            </w:r>
          </w:p>
        </w:tc>
      </w:tr>
      <w:tr>
        <w:trPr>
          <w:trHeight w:val="264"/>
        </w:trPr>
        <w:tc>
          <w:tcPr>
            <w:tcW w:w="3400" w:type="dxa"/>
            <w:vAlign w:val="bottom"/>
            <w:tcBorders>
              <w:bottom w:val="single" w:sz="8" w:color="auto"/>
            </w:tcBorders>
            <w:shd w:val="clear" w:color="auto" w:fill="E5E5E5"/>
          </w:tcPr>
          <w:p>
            <w:pPr>
              <w:ind w:left="40"/>
              <w:spacing w:after="0"/>
              <w:rPr>
                <w:sz w:val="20"/>
                <w:szCs w:val="20"/>
                <w:color w:val="auto"/>
              </w:rPr>
            </w:pPr>
            <w:r>
              <w:rPr>
                <w:rFonts w:ascii="Arial" w:cs="Arial" w:eastAsia="Arial" w:hAnsi="Arial"/>
                <w:sz w:val="18"/>
                <w:szCs w:val="18"/>
                <w:color w:val="auto"/>
              </w:rPr>
              <w:t>Total Safety Multiplier</w:t>
            </w:r>
          </w:p>
        </w:tc>
        <w:tc>
          <w:tcPr>
            <w:tcW w:w="3380" w:type="dxa"/>
            <w:vAlign w:val="bottom"/>
            <w:tcBorders>
              <w:bottom w:val="single" w:sz="8" w:color="auto"/>
            </w:tcBorders>
            <w:shd w:val="clear" w:color="auto" w:fill="E5E5E5"/>
          </w:tcPr>
          <w:p>
            <w:pPr>
              <w:jc w:val="center"/>
              <w:ind w:left="710"/>
              <w:spacing w:after="0"/>
              <w:rPr>
                <w:sz w:val="20"/>
                <w:szCs w:val="20"/>
                <w:color w:val="auto"/>
              </w:rPr>
            </w:pPr>
            <w:r>
              <w:rPr>
                <w:rFonts w:ascii="Arial" w:cs="Arial" w:eastAsia="Arial" w:hAnsi="Arial"/>
                <w:sz w:val="18"/>
                <w:szCs w:val="18"/>
                <w:color w:val="auto"/>
                <w:w w:val="99"/>
              </w:rPr>
              <w:t>4%</w:t>
            </w:r>
          </w:p>
        </w:tc>
        <w:tc>
          <w:tcPr>
            <w:tcW w:w="2380" w:type="dxa"/>
            <w:vAlign w:val="bottom"/>
            <w:tcBorders>
              <w:bottom w:val="single" w:sz="8" w:color="auto"/>
              <w:right w:val="single" w:sz="8" w:color="auto"/>
            </w:tcBorders>
            <w:shd w:val="clear" w:color="auto" w:fill="E5E5E5"/>
          </w:tcPr>
          <w:p>
            <w:pPr>
              <w:jc w:val="center"/>
              <w:ind w:right="50"/>
              <w:spacing w:after="0"/>
              <w:rPr>
                <w:sz w:val="20"/>
                <w:szCs w:val="20"/>
                <w:color w:val="auto"/>
              </w:rPr>
            </w:pPr>
            <w:r>
              <w:rPr>
                <w:rFonts w:ascii="Arial" w:cs="Arial" w:eastAsia="Arial" w:hAnsi="Arial"/>
                <w:sz w:val="18"/>
                <w:szCs w:val="18"/>
                <w:color w:val="auto"/>
                <w:w w:val="99"/>
              </w:rPr>
              <w:t>10%</w:t>
            </w:r>
          </w:p>
        </w:tc>
        <w:tc>
          <w:tcPr>
            <w:tcW w:w="224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8"/>
                <w:szCs w:val="18"/>
                <w:color w:val="auto"/>
                <w:w w:val="99"/>
              </w:rPr>
              <w:t>8%</w:t>
            </w:r>
          </w:p>
        </w:tc>
      </w:tr>
    </w:tbl>
    <w:p>
      <w:pPr>
        <w:spacing w:after="0" w:line="80"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Our Named Executives are also evaluated on pre-established individual performance goals. For Messrs. Fees and Geveden, the Compensation Committee evaluates their individual performance based on the following criteria: (1) leadership; (2) strategic planning; (3) financial results; (4) succession planning; (5) communications; and (6) Board relations. Our other Named Executives are evaluated on performance goals specific to their respective roles and responsibilities. Negative discretion was applied towards the individual performance results of Mr. Henry for 2017 relating to partial achievement of certain non-financial performance targets.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 COMPENSATION</w:t>
      </w:r>
    </w:p>
    <w:p>
      <w:pPr>
        <w:spacing w:after="0" w:line="90"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b w:val="1"/>
          <w:bCs w:val="1"/>
          <w:i w:val="1"/>
          <w:iCs w:val="1"/>
          <w:color w:val="auto"/>
        </w:rPr>
        <w:t xml:space="preserve">Analysis of 2017 Target Long-Term Incentive Awards. </w:t>
      </w:r>
      <w:r>
        <w:rPr>
          <w:rFonts w:ascii="Arial" w:cs="Arial" w:eastAsia="Arial" w:hAnsi="Arial"/>
          <w:sz w:val="18"/>
          <w:szCs w:val="18"/>
          <w:color w:val="auto"/>
        </w:rPr>
        <w:t>In determining the type and mix of stock granted to our Named Executives,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Committee seeks to maintain a strong correlation between pay and performance while promoting retention of key employees. The Compensation Committee allocated 2017 long-term incentive compensation as follows: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2C2C2C"/>
        </w:rPr>
        <w:t xml:space="preserve">34 </w:t>
      </w:r>
      <w:r>
        <w:rPr>
          <w:sz w:val="1"/>
          <w:szCs w:val="1"/>
          <w:color w:val="auto"/>
        </w:rPr>
        <w:drawing>
          <wp:inline distT="0" distB="0" distL="0" distR="0">
            <wp:extent cx="445770" cy="18034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45770" cy="180340"/>
                    </a:xfrm>
                    <a:prstGeom prst="rect">
                      <a:avLst/>
                    </a:prstGeom>
                    <a:noFill/>
                    <a:ln>
                      <a:noFill/>
                    </a:ln>
                  </pic:spPr>
                </pic:pic>
              </a:graphicData>
            </a:graphic>
          </wp:inline>
        </w:drawing>
      </w:r>
      <w:r>
        <w:rPr>
          <w:rFonts w:ascii="Arial" w:cs="Arial" w:eastAsia="Arial" w:hAnsi="Arial"/>
          <w:sz w:val="18"/>
          <w:szCs w:val="18"/>
          <w:color w:val="auto"/>
        </w:rPr>
        <w:t xml:space="preserve"> 2018 PROXY STATEMENT</w:t>
      </w:r>
    </w:p>
    <w:p>
      <w:pPr>
        <w:sectPr>
          <w:pgSz w:w="11900" w:h="16838" w:orient="portrait"/>
          <w:cols w:equalWidth="0" w:num="1">
            <w:col w:w="11420"/>
          </w:cols>
          <w:pgMar w:left="240" w:top="125" w:right="239" w:bottom="1440" w:gutter="0" w:footer="0" w:header="0"/>
        </w:sectPr>
      </w:pPr>
    </w:p>
    <w:bookmarkStart w:id="43" w:name="page44"/>
    <w:bookmarkEnd w:id="43"/>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960"/>
        <w:spacing w:after="0"/>
        <w:rPr>
          <w:sz w:val="20"/>
          <w:szCs w:val="20"/>
          <w:color w:val="auto"/>
        </w:rPr>
      </w:pPr>
      <w:r>
        <w:rPr>
          <w:rFonts w:ascii="Arial" w:cs="Arial" w:eastAsia="Arial" w:hAnsi="Arial"/>
          <w:sz w:val="14"/>
          <w:szCs w:val="14"/>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2017 Long-Term Incentive Vehicles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71755</wp:posOffset>
            </wp:positionV>
            <wp:extent cx="2992755" cy="15265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992755" cy="152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In 2016, the Compensation Committee made the following enhancements to our long-term incentive award mix:</w:t>
      </w:r>
    </w:p>
    <w:p>
      <w:pPr>
        <w:spacing w:after="0" w:line="63" w:lineRule="exact"/>
        <w:rPr>
          <w:sz w:val="20"/>
          <w:szCs w:val="20"/>
          <w:color w:val="auto"/>
        </w:rPr>
      </w:pPr>
    </w:p>
    <w:p>
      <w:pPr>
        <w:ind w:left="660" w:right="700" w:hanging="328"/>
        <w:spacing w:after="0" w:line="262"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returned performance-based stock awards to long-term incentive mix after suspending their use for one year due to the unique challenges of using performance awards during the year of the spin-off of our former Power Generation business;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increased the proportion of the performance-based stock award vehicle to 60% of the total long-term incentive mix;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eliminated the use of stock options as an award vehicle.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continued these design elements in the 2017 long-term incentive plan.</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2017 Performance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106045</wp:posOffset>
            </wp:positionV>
            <wp:extent cx="6980555" cy="1631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80555" cy="163195"/>
                    </a:xfrm>
                    <a:prstGeom prst="rect">
                      <a:avLst/>
                    </a:prstGeom>
                    <a:noFill/>
                  </pic:spPr>
                </pic:pic>
              </a:graphicData>
            </a:graphic>
          </wp:anchor>
        </w:drawing>
      </w:r>
    </w:p>
    <w:p>
      <w:pPr>
        <w:spacing w:after="0" w:line="151" w:lineRule="exact"/>
        <w:rPr>
          <w:sz w:val="20"/>
          <w:szCs w:val="20"/>
          <w:color w:val="auto"/>
        </w:rPr>
      </w:pPr>
    </w:p>
    <w:p>
      <w:pPr>
        <w:ind w:left="2440"/>
        <w:spacing w:after="0"/>
        <w:tabs>
          <w:tab w:leader="none" w:pos="7920" w:val="left"/>
        </w:tabs>
        <w:rPr>
          <w:sz w:val="20"/>
          <w:szCs w:val="20"/>
          <w:color w:val="auto"/>
        </w:rPr>
      </w:pPr>
      <w:r>
        <w:rPr>
          <w:rFonts w:ascii="Arial" w:cs="Arial" w:eastAsia="Arial" w:hAnsi="Arial"/>
          <w:sz w:val="18"/>
          <w:szCs w:val="18"/>
          <w:b w:val="1"/>
          <w:bCs w:val="1"/>
          <w:color w:val="FFFFFF"/>
        </w:rPr>
        <w:t>Attributes</w:t>
      </w:r>
      <w:r>
        <w:rPr>
          <w:sz w:val="20"/>
          <w:szCs w:val="20"/>
          <w:color w:val="auto"/>
        </w:rPr>
        <w:tab/>
      </w:r>
      <w:r>
        <w:rPr>
          <w:rFonts w:ascii="Arial" w:cs="Arial" w:eastAsia="Arial" w:hAnsi="Arial"/>
          <w:sz w:val="18"/>
          <w:szCs w:val="18"/>
          <w:b w:val="1"/>
          <w:bCs w:val="1"/>
          <w:color w:val="FFFFFF"/>
        </w:rPr>
        <w:t>Rationale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28575</wp:posOffset>
            </wp:positionV>
            <wp:extent cx="8890" cy="22212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222123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72" w:lineRule="exact"/>
        <w:rPr>
          <w:sz w:val="20"/>
          <w:szCs w:val="20"/>
          <w:color w:val="auto"/>
        </w:rPr>
      </w:pPr>
    </w:p>
    <w:p>
      <w:pPr>
        <w:ind w:left="240" w:right="40" w:firstLine="166"/>
        <w:spacing w:after="0" w:line="234" w:lineRule="auto"/>
        <w:tabs>
          <w:tab w:leader="none" w:pos="564" w:val="left"/>
        </w:tabs>
        <w:numPr>
          <w:ilvl w:val="0"/>
          <w:numId w:val="89"/>
        </w:numPr>
        <w:rPr>
          <w:rFonts w:ascii="Arial" w:cs="Arial" w:eastAsia="Arial" w:hAnsi="Arial"/>
          <w:sz w:val="18"/>
          <w:szCs w:val="18"/>
          <w:color w:val="auto"/>
        </w:rPr>
      </w:pPr>
      <w:r>
        <w:rPr>
          <w:rFonts w:ascii="Arial" w:cs="Arial" w:eastAsia="Arial" w:hAnsi="Arial"/>
          <w:sz w:val="18"/>
          <w:szCs w:val="18"/>
          <w:color w:val="auto"/>
        </w:rPr>
        <w:t>Vest between 0% and 200% of the amount of initial shares granted depending on cumulative diluted EPS performance (50% weighting) and average return on invested capital ("ROIC") performance (50% weighting) attained during performance period.</w:t>
      </w:r>
    </w:p>
    <w:p>
      <w:pPr>
        <w:spacing w:after="0" w:line="3" w:lineRule="exact"/>
        <w:rPr>
          <w:rFonts w:ascii="Arial" w:cs="Arial" w:eastAsia="Arial" w:hAnsi="Arial"/>
          <w:sz w:val="18"/>
          <w:szCs w:val="18"/>
          <w:color w:val="auto"/>
        </w:rPr>
      </w:pPr>
    </w:p>
    <w:p>
      <w:pPr>
        <w:ind w:left="240" w:right="500" w:firstLine="166"/>
        <w:spacing w:after="0" w:line="234" w:lineRule="auto"/>
        <w:tabs>
          <w:tab w:leader="none" w:pos="564"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Performance period runs from January 1, 2017 through December 31, 2019.</w:t>
      </w:r>
    </w:p>
    <w:p>
      <w:pPr>
        <w:spacing w:after="0" w:line="1" w:lineRule="exact"/>
        <w:rPr>
          <w:rFonts w:ascii="Arial" w:cs="Arial" w:eastAsia="Arial" w:hAnsi="Arial"/>
          <w:sz w:val="18"/>
          <w:szCs w:val="18"/>
          <w:color w:val="auto"/>
        </w:rPr>
      </w:pPr>
    </w:p>
    <w:p>
      <w:pPr>
        <w:ind w:left="240" w:right="260" w:firstLine="166"/>
        <w:spacing w:after="0" w:line="234" w:lineRule="auto"/>
        <w:tabs>
          <w:tab w:leader="none" w:pos="564" w:val="left"/>
        </w:tabs>
        <w:numPr>
          <w:ilvl w:val="0"/>
          <w:numId w:val="89"/>
        </w:numPr>
        <w:rPr>
          <w:rFonts w:ascii="Arial" w:cs="Arial" w:eastAsia="Arial" w:hAnsi="Arial"/>
          <w:sz w:val="18"/>
          <w:szCs w:val="18"/>
          <w:color w:val="auto"/>
        </w:rPr>
      </w:pPr>
      <w:r>
        <w:rPr>
          <w:rFonts w:ascii="Arial" w:cs="Arial" w:eastAsia="Arial" w:hAnsi="Arial"/>
          <w:sz w:val="18"/>
          <w:szCs w:val="18"/>
          <w:color w:val="auto"/>
        </w:rPr>
        <w:t>For each performance measure, results at the threshold, target and maximum goals produce vesting at 50%, 100% and 200%, respectively, of the initial performance restricted stock units granted.</w:t>
      </w:r>
    </w:p>
    <w:p>
      <w:pPr>
        <w:spacing w:after="0" w:line="3" w:lineRule="exact"/>
        <w:rPr>
          <w:rFonts w:ascii="Arial" w:cs="Arial" w:eastAsia="Arial" w:hAnsi="Arial"/>
          <w:sz w:val="18"/>
          <w:szCs w:val="18"/>
          <w:color w:val="auto"/>
        </w:rPr>
      </w:pPr>
    </w:p>
    <w:p>
      <w:pPr>
        <w:ind w:left="240" w:firstLine="166"/>
        <w:spacing w:after="0" w:line="234" w:lineRule="auto"/>
        <w:tabs>
          <w:tab w:leader="none" w:pos="564" w:val="left"/>
        </w:tabs>
        <w:numPr>
          <w:ilvl w:val="0"/>
          <w:numId w:val="89"/>
        </w:numPr>
        <w:rPr>
          <w:rFonts w:ascii="Arial" w:cs="Arial" w:eastAsia="Arial" w:hAnsi="Arial"/>
          <w:sz w:val="18"/>
          <w:szCs w:val="18"/>
          <w:color w:val="auto"/>
        </w:rPr>
      </w:pPr>
      <w:r>
        <w:rPr>
          <w:rFonts w:ascii="Arial" w:cs="Arial" w:eastAsia="Arial" w:hAnsi="Arial"/>
          <w:sz w:val="18"/>
          <w:szCs w:val="18"/>
          <w:color w:val="auto"/>
        </w:rPr>
        <w:t>Vesting for performance results between threshold and target or target and maximum is determined by linear interpolation. No amount will vest with respect to any performance measure unless threshold results are attained.</w:t>
      </w:r>
    </w:p>
    <w:p>
      <w:pPr>
        <w:spacing w:after="0" w:line="3" w:lineRule="exact"/>
        <w:rPr>
          <w:rFonts w:ascii="Arial" w:cs="Arial" w:eastAsia="Arial" w:hAnsi="Arial"/>
          <w:sz w:val="18"/>
          <w:szCs w:val="18"/>
          <w:color w:val="auto"/>
        </w:rPr>
      </w:pPr>
    </w:p>
    <w:p>
      <w:pPr>
        <w:ind w:left="240" w:right="760" w:firstLine="166"/>
        <w:spacing w:after="0" w:line="246" w:lineRule="auto"/>
        <w:tabs>
          <w:tab w:leader="none" w:pos="564" w:val="left"/>
        </w:tabs>
        <w:numPr>
          <w:ilvl w:val="0"/>
          <w:numId w:val="89"/>
        </w:numPr>
        <w:rPr>
          <w:rFonts w:ascii="Arial" w:cs="Arial" w:eastAsia="Arial" w:hAnsi="Arial"/>
          <w:sz w:val="18"/>
          <w:szCs w:val="18"/>
          <w:color w:val="auto"/>
        </w:rPr>
      </w:pPr>
      <w:r>
        <w:rPr>
          <w:rFonts w:ascii="Arial" w:cs="Arial" w:eastAsia="Arial" w:hAnsi="Arial"/>
          <w:sz w:val="18"/>
          <w:szCs w:val="18"/>
          <w:color w:val="auto"/>
        </w:rPr>
        <w:t>EPS results exclude the effect of share repurchases conducted during the performance period.</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323" w:right="600" w:firstLine="323"/>
        <w:spacing w:after="0" w:line="234" w:lineRule="auto"/>
        <w:tabs>
          <w:tab w:leader="none" w:pos="164"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believe that over the long-term, there is a high degree of correlation between earnings per share and stock price.</w:t>
      </w:r>
    </w:p>
    <w:p>
      <w:pPr>
        <w:spacing w:after="0" w:line="1" w:lineRule="exact"/>
        <w:rPr>
          <w:rFonts w:ascii="Arial" w:cs="Arial" w:eastAsia="Arial" w:hAnsi="Arial"/>
          <w:sz w:val="18"/>
          <w:szCs w:val="18"/>
          <w:color w:val="auto"/>
        </w:rPr>
      </w:pPr>
    </w:p>
    <w:p>
      <w:pPr>
        <w:ind w:left="-323" w:right="240" w:firstLine="323"/>
        <w:spacing w:after="0" w:line="234" w:lineRule="auto"/>
        <w:tabs>
          <w:tab w:leader="none" w:pos="164" w:val="left"/>
        </w:tabs>
        <w:numPr>
          <w:ilvl w:val="0"/>
          <w:numId w:val="90"/>
        </w:numPr>
        <w:rPr>
          <w:rFonts w:ascii="Arial" w:cs="Arial" w:eastAsia="Arial" w:hAnsi="Arial"/>
          <w:sz w:val="18"/>
          <w:szCs w:val="18"/>
          <w:color w:val="auto"/>
        </w:rPr>
      </w:pPr>
      <w:r>
        <w:rPr>
          <w:rFonts w:ascii="Arial" w:cs="Arial" w:eastAsia="Arial" w:hAnsi="Arial"/>
          <w:sz w:val="18"/>
          <w:szCs w:val="18"/>
          <w:color w:val="auto"/>
        </w:rPr>
        <w:t>Accordingly, we use earnings per share in long-term stock-based compensation to more closely align our goals with stockholder interests.</w:t>
      </w:r>
    </w:p>
    <w:p>
      <w:pPr>
        <w:spacing w:after="0" w:line="2" w:lineRule="exact"/>
        <w:rPr>
          <w:rFonts w:ascii="Arial" w:cs="Arial" w:eastAsia="Arial" w:hAnsi="Arial"/>
          <w:sz w:val="18"/>
          <w:szCs w:val="18"/>
          <w:color w:val="auto"/>
        </w:rPr>
      </w:pPr>
    </w:p>
    <w:p>
      <w:pPr>
        <w:ind w:left="-323" w:right="300" w:firstLine="323"/>
        <w:spacing w:after="0" w:line="234" w:lineRule="auto"/>
        <w:tabs>
          <w:tab w:leader="none" w:pos="164"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believe using different performance measures than in the annual incentive compensation program reduces the focus on a single metric at the expense of others, helping to mitigate risk related to incentive compensation.</w:t>
      </w:r>
    </w:p>
    <w:p>
      <w:pPr>
        <w:spacing w:after="0" w:line="3" w:lineRule="exact"/>
        <w:rPr>
          <w:rFonts w:ascii="Arial" w:cs="Arial" w:eastAsia="Arial" w:hAnsi="Arial"/>
          <w:sz w:val="18"/>
          <w:szCs w:val="18"/>
          <w:color w:val="auto"/>
        </w:rPr>
      </w:pPr>
    </w:p>
    <w:p>
      <w:pPr>
        <w:ind w:left="-323" w:right="680" w:firstLine="323"/>
        <w:spacing w:after="0" w:line="246" w:lineRule="auto"/>
        <w:tabs>
          <w:tab w:leader="none" w:pos="164"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Including ROIC helps promote management focus on asset utilization.</w:t>
      </w:r>
    </w:p>
    <w:p>
      <w:pPr>
        <w:spacing w:after="0" w:line="1415" w:lineRule="exact"/>
        <w:rPr>
          <w:sz w:val="20"/>
          <w:szCs w:val="20"/>
          <w:color w:val="auto"/>
        </w:rPr>
      </w:pPr>
    </w:p>
    <w:p>
      <w:pPr>
        <w:sectPr>
          <w:pgSz w:w="11900" w:h="16838" w:orient="portrait"/>
          <w:cols w:equalWidth="0" w:num="2">
            <w:col w:w="5460" w:space="403"/>
            <w:col w:w="5557"/>
          </w:cols>
          <w:pgMar w:left="240" w:top="125" w:right="239" w:bottom="1440" w:gutter="0" w:footer="0" w:header="0"/>
          <w:type w:val="continuous"/>
        </w:sectPr>
      </w:pPr>
    </w:p>
    <w:p>
      <w:pPr>
        <w:spacing w:after="0" w:line="2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Compensation Committee sets target and maximum goals based on the sum of non-GAAP earnings per share estimates for each year of the Performance Period. To complement financial results under our annual incentive compensation program, we derived the estimates from the operating income target goal used in 2017 annual incentive compensation and assumed operating income growth rates of 11% and 16% for target and maximum goals, respectively, excluding the impact of share repurchases.</w:t>
      </w:r>
    </w:p>
    <w:p>
      <w:pPr>
        <w:spacing w:after="0" w:line="204" w:lineRule="exact"/>
        <w:rPr>
          <w:sz w:val="20"/>
          <w:szCs w:val="20"/>
          <w:color w:val="auto"/>
        </w:rPr>
      </w:pPr>
    </w:p>
    <w:p>
      <w:pPr>
        <w:ind w:right="580"/>
        <w:spacing w:after="0" w:line="254" w:lineRule="auto"/>
        <w:rPr>
          <w:sz w:val="20"/>
          <w:szCs w:val="20"/>
          <w:color w:val="auto"/>
        </w:rPr>
      </w:pPr>
      <w:r>
        <w:rPr>
          <w:rFonts w:ascii="Arial" w:cs="Arial" w:eastAsia="Arial" w:hAnsi="Arial"/>
          <w:sz w:val="18"/>
          <w:szCs w:val="18"/>
          <w:color w:val="auto"/>
        </w:rPr>
        <w:t>We set the threshold goal at 80% of the cumulative earnings per share target goal, consistent with the structure of annual incentive compensation. We set threshold, target and maximum goals for average ROIC at 11.5%, 14.5% and 17.5%, which the Compensation Committee determined to be appropriate based on management’s projections of the Company’s financial results during the Performance Period.</w:t>
      </w:r>
    </w:p>
    <w:p>
      <w:pPr>
        <w:spacing w:after="0" w:line="232" w:lineRule="exact"/>
        <w:rPr>
          <w:sz w:val="20"/>
          <w:szCs w:val="20"/>
          <w:color w:val="auto"/>
        </w:rPr>
      </w:pPr>
    </w:p>
    <w:p>
      <w:pPr>
        <w:jc w:val="right"/>
        <w:spacing w:after="0"/>
        <w:rPr>
          <w:sz w:val="20"/>
          <w:szCs w:val="20"/>
          <w:color w:val="auto"/>
        </w:rPr>
      </w:pPr>
      <w:r>
        <w:rPr>
          <w:sz w:val="1"/>
          <w:szCs w:val="1"/>
          <w:color w:val="auto"/>
        </w:rPr>
        <w:drawing>
          <wp:inline distT="0" distB="0" distL="0" distR="0">
            <wp:extent cx="488950" cy="20574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88950" cy="205740"/>
                    </a:xfrm>
                    <a:prstGeom prst="rect">
                      <a:avLst/>
                    </a:prstGeom>
                    <a:noFill/>
                    <a:ln>
                      <a:noFill/>
                    </a:ln>
                  </pic:spPr>
                </pic:pic>
              </a:graphicData>
            </a:graphic>
          </wp:inline>
        </w:drawing>
      </w:r>
      <w:r>
        <w:rPr>
          <w:rFonts w:ascii="Arial" w:cs="Arial" w:eastAsia="Arial" w:hAnsi="Arial"/>
          <w:sz w:val="18"/>
          <w:szCs w:val="18"/>
          <w:color w:val="auto"/>
        </w:rPr>
        <w:t xml:space="preserve"> 2018 PROXY STATEMENT </w:t>
      </w:r>
      <w:r>
        <w:rPr>
          <w:rFonts w:ascii="Arial" w:cs="Arial" w:eastAsia="Arial" w:hAnsi="Arial"/>
          <w:sz w:val="18"/>
          <w:szCs w:val="18"/>
          <w:b w:val="1"/>
          <w:bCs w:val="1"/>
          <w:color w:val="2C2C2C"/>
        </w:rPr>
        <w:t>35</w:t>
      </w:r>
    </w:p>
    <w:p>
      <w:pPr>
        <w:sectPr>
          <w:pgSz w:w="11900" w:h="16838" w:orient="portrait"/>
          <w:cols w:equalWidth="0" w:num="1">
            <w:col w:w="11420"/>
          </w:cols>
          <w:pgMar w:left="240" w:top="125" w:right="239" w:bottom="1440" w:gutter="0" w:footer="0" w:header="0"/>
          <w:type w:val="continuous"/>
        </w:sectPr>
      </w:pPr>
    </w:p>
    <w:bookmarkStart w:id="44" w:name="page45"/>
    <w:bookmarkEnd w:id="44"/>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7320"/>
        <w:spacing w:after="0"/>
        <w:rPr>
          <w:sz w:val="20"/>
          <w:szCs w:val="20"/>
          <w:color w:val="auto"/>
        </w:rPr>
      </w:pPr>
      <w:r>
        <w:rPr>
          <w:rFonts w:ascii="Arial" w:cs="Arial" w:eastAsia="Arial" w:hAnsi="Arial"/>
          <w:sz w:val="14"/>
          <w:szCs w:val="14"/>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0"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For more information regarding the 2017 restricted stock units, see the Grants of Plan-Based Awards table under “Compensation of Executive Officers” below and disclosures under “Compensation of Executive Officers – Estimated Future Payouts Under Equity Incentive Plan Awards.”</w:t>
      </w:r>
    </w:p>
    <w:p>
      <w:pPr>
        <w:spacing w:after="0" w:line="12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Value of 2017 Target Long-Term Incentive Compensation</w:t>
      </w:r>
      <w:r>
        <w:rPr>
          <w:rFonts w:ascii="Arial" w:cs="Arial" w:eastAsia="Arial" w:hAnsi="Arial"/>
          <w:sz w:val="18"/>
          <w:szCs w:val="18"/>
          <w:color w:val="auto"/>
        </w:rPr>
        <w:t>. The following table shows the 2017 target long-term incentive compensation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Named Executive relative to his benchmark.</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TARGET LONG-TERM INCENTIVE COMPENSATION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820" w:type="dxa"/>
            <w:vAlign w:val="bottom"/>
            <w:shd w:val="clear" w:color="auto" w:fill="525252"/>
          </w:tcPr>
          <w:p>
            <w:pPr>
              <w:ind w:left="140"/>
              <w:spacing w:after="0"/>
              <w:rPr>
                <w:sz w:val="20"/>
                <w:szCs w:val="20"/>
                <w:color w:val="auto"/>
              </w:rPr>
            </w:pPr>
            <w:r>
              <w:rPr>
                <w:rFonts w:ascii="Arial" w:cs="Arial" w:eastAsia="Arial" w:hAnsi="Arial"/>
                <w:sz w:val="14"/>
                <w:szCs w:val="14"/>
                <w:b w:val="1"/>
                <w:bCs w:val="1"/>
                <w:color w:val="FFFFFF"/>
              </w:rPr>
              <w:t>Named</w:t>
            </w:r>
          </w:p>
        </w:tc>
        <w:tc>
          <w:tcPr>
            <w:tcW w:w="3480" w:type="dxa"/>
            <w:vAlign w:val="bottom"/>
            <w:shd w:val="clear" w:color="auto" w:fill="525252"/>
          </w:tcPr>
          <w:p>
            <w:pPr>
              <w:jc w:val="right"/>
              <w:ind w:right="855"/>
              <w:spacing w:after="0"/>
              <w:rPr>
                <w:sz w:val="20"/>
                <w:szCs w:val="20"/>
                <w:color w:val="auto"/>
              </w:rPr>
            </w:pPr>
            <w:r>
              <w:rPr>
                <w:rFonts w:ascii="Arial" w:cs="Arial" w:eastAsia="Arial" w:hAnsi="Arial"/>
                <w:sz w:val="14"/>
                <w:szCs w:val="14"/>
                <w:b w:val="1"/>
                <w:bCs w:val="1"/>
                <w:color w:val="FFFFFF"/>
              </w:rPr>
              <w:t>Target</w:t>
            </w:r>
          </w:p>
        </w:tc>
        <w:tc>
          <w:tcPr>
            <w:tcW w:w="2660" w:type="dxa"/>
            <w:vAlign w:val="bottom"/>
            <w:shd w:val="clear" w:color="auto" w:fill="525252"/>
          </w:tcPr>
          <w:p>
            <w:pPr>
              <w:jc w:val="center"/>
              <w:ind w:left="75"/>
              <w:spacing w:after="0"/>
              <w:rPr>
                <w:sz w:val="20"/>
                <w:szCs w:val="20"/>
                <w:color w:val="auto"/>
              </w:rPr>
            </w:pPr>
            <w:r>
              <w:rPr>
                <w:rFonts w:ascii="Arial" w:cs="Arial" w:eastAsia="Arial" w:hAnsi="Arial"/>
                <w:sz w:val="14"/>
                <w:szCs w:val="14"/>
                <w:b w:val="1"/>
                <w:bCs w:val="1"/>
                <w:color w:val="FFFFFF"/>
              </w:rPr>
              <w:t>% Variance from Median</w:t>
            </w:r>
          </w:p>
        </w:tc>
        <w:tc>
          <w:tcPr>
            <w:tcW w:w="2440" w:type="dxa"/>
            <w:vAlign w:val="bottom"/>
            <w:shd w:val="clear" w:color="auto" w:fill="525252"/>
          </w:tcPr>
          <w:p>
            <w:pPr>
              <w:jc w:val="center"/>
              <w:spacing w:after="0"/>
              <w:rPr>
                <w:sz w:val="20"/>
                <w:szCs w:val="20"/>
                <w:color w:val="auto"/>
              </w:rPr>
            </w:pPr>
            <w:r>
              <w:rPr>
                <w:rFonts w:ascii="Arial" w:cs="Arial" w:eastAsia="Arial" w:hAnsi="Arial"/>
                <w:sz w:val="14"/>
                <w:szCs w:val="14"/>
                <w:b w:val="1"/>
                <w:bCs w:val="1"/>
                <w:color w:val="FFFFFF"/>
              </w:rPr>
              <w:t>% Variance from Median</w:t>
            </w:r>
          </w:p>
        </w:tc>
      </w:tr>
      <w:tr>
        <w:trPr>
          <w:trHeight w:val="202"/>
        </w:trPr>
        <w:tc>
          <w:tcPr>
            <w:tcW w:w="2820" w:type="dxa"/>
            <w:vAlign w:val="bottom"/>
            <w:shd w:val="clear" w:color="auto" w:fill="525252"/>
          </w:tcPr>
          <w:p>
            <w:pPr>
              <w:ind w:left="140"/>
              <w:spacing w:after="0"/>
              <w:rPr>
                <w:sz w:val="20"/>
                <w:szCs w:val="20"/>
                <w:color w:val="auto"/>
              </w:rPr>
            </w:pPr>
            <w:r>
              <w:rPr>
                <w:rFonts w:ascii="Arial" w:cs="Arial" w:eastAsia="Arial" w:hAnsi="Arial"/>
                <w:sz w:val="14"/>
                <w:szCs w:val="14"/>
                <w:b w:val="1"/>
                <w:bCs w:val="1"/>
                <w:color w:val="FFFFFF"/>
              </w:rPr>
              <w:t>Executive</w:t>
            </w:r>
          </w:p>
        </w:tc>
        <w:tc>
          <w:tcPr>
            <w:tcW w:w="3480" w:type="dxa"/>
            <w:vAlign w:val="bottom"/>
            <w:shd w:val="clear" w:color="auto" w:fill="525252"/>
          </w:tcPr>
          <w:p>
            <w:pPr>
              <w:jc w:val="right"/>
              <w:ind w:right="875"/>
              <w:spacing w:after="0"/>
              <w:rPr>
                <w:sz w:val="20"/>
                <w:szCs w:val="20"/>
                <w:color w:val="auto"/>
              </w:rPr>
            </w:pPr>
            <w:r>
              <w:rPr>
                <w:rFonts w:ascii="Arial" w:cs="Arial" w:eastAsia="Arial" w:hAnsi="Arial"/>
                <w:sz w:val="14"/>
                <w:szCs w:val="14"/>
                <w:b w:val="1"/>
                <w:bCs w:val="1"/>
                <w:color w:val="FFFFFF"/>
              </w:rPr>
              <w:t>Value</w:t>
            </w:r>
          </w:p>
        </w:tc>
        <w:tc>
          <w:tcPr>
            <w:tcW w:w="2660" w:type="dxa"/>
            <w:vAlign w:val="bottom"/>
            <w:shd w:val="clear" w:color="auto" w:fill="525252"/>
          </w:tcPr>
          <w:p>
            <w:pPr>
              <w:jc w:val="center"/>
              <w:ind w:left="75"/>
              <w:spacing w:after="0"/>
              <w:rPr>
                <w:sz w:val="20"/>
                <w:szCs w:val="20"/>
                <w:color w:val="auto"/>
              </w:rPr>
            </w:pPr>
            <w:r>
              <w:rPr>
                <w:rFonts w:ascii="Arial" w:cs="Arial" w:eastAsia="Arial" w:hAnsi="Arial"/>
                <w:sz w:val="14"/>
                <w:szCs w:val="14"/>
                <w:b w:val="1"/>
                <w:bCs w:val="1"/>
                <w:color w:val="FFFFFF"/>
              </w:rPr>
              <w:t>(Survey Data)</w:t>
            </w:r>
          </w:p>
        </w:tc>
        <w:tc>
          <w:tcPr>
            <w:tcW w:w="2440" w:type="dxa"/>
            <w:vAlign w:val="bottom"/>
            <w:shd w:val="clear" w:color="auto" w:fill="525252"/>
          </w:tcPr>
          <w:p>
            <w:pPr>
              <w:jc w:val="center"/>
              <w:spacing w:after="0"/>
              <w:rPr>
                <w:sz w:val="20"/>
                <w:szCs w:val="20"/>
                <w:color w:val="auto"/>
              </w:rPr>
            </w:pPr>
            <w:r>
              <w:rPr>
                <w:rFonts w:ascii="Arial" w:cs="Arial" w:eastAsia="Arial" w:hAnsi="Arial"/>
                <w:sz w:val="14"/>
                <w:szCs w:val="14"/>
                <w:b w:val="1"/>
                <w:bCs w:val="1"/>
                <w:color w:val="FFFFFF"/>
              </w:rPr>
              <w:t>(Proxy Data)</w:t>
            </w:r>
          </w:p>
        </w:tc>
      </w:tr>
      <w:tr>
        <w:trPr>
          <w:trHeight w:val="263"/>
        </w:trPr>
        <w:tc>
          <w:tcPr>
            <w:tcW w:w="2820" w:type="dxa"/>
            <w:vAlign w:val="bottom"/>
          </w:tcPr>
          <w:p>
            <w:pPr>
              <w:ind w:left="40"/>
              <w:spacing w:after="0"/>
              <w:rPr>
                <w:sz w:val="20"/>
                <w:szCs w:val="20"/>
                <w:color w:val="auto"/>
              </w:rPr>
            </w:pPr>
            <w:r>
              <w:rPr>
                <w:rFonts w:ascii="Arial" w:cs="Arial" w:eastAsia="Arial" w:hAnsi="Arial"/>
                <w:sz w:val="18"/>
                <w:szCs w:val="18"/>
                <w:color w:val="auto"/>
              </w:rPr>
              <w:t>Mr. Geveden</w:t>
            </w:r>
          </w:p>
        </w:tc>
        <w:tc>
          <w:tcPr>
            <w:tcW w:w="3480" w:type="dxa"/>
            <w:vAlign w:val="bottom"/>
          </w:tcPr>
          <w:p>
            <w:pPr>
              <w:jc w:val="right"/>
              <w:ind w:right="475"/>
              <w:spacing w:after="0"/>
              <w:rPr>
                <w:sz w:val="20"/>
                <w:szCs w:val="20"/>
                <w:color w:val="auto"/>
              </w:rPr>
            </w:pPr>
            <w:r>
              <w:rPr>
                <w:rFonts w:ascii="Arial" w:cs="Arial" w:eastAsia="Arial" w:hAnsi="Arial"/>
                <w:sz w:val="18"/>
                <w:szCs w:val="18"/>
                <w:color w:val="auto"/>
              </w:rPr>
              <w:t>$    2,300,000</w:t>
            </w:r>
          </w:p>
        </w:tc>
        <w:tc>
          <w:tcPr>
            <w:tcW w:w="2660" w:type="dxa"/>
            <w:vAlign w:val="bottom"/>
          </w:tcPr>
          <w:p>
            <w:pPr>
              <w:jc w:val="center"/>
              <w:ind w:left="75"/>
              <w:spacing w:after="0"/>
              <w:rPr>
                <w:sz w:val="20"/>
                <w:szCs w:val="20"/>
                <w:color w:val="auto"/>
              </w:rPr>
            </w:pPr>
            <w:r>
              <w:rPr>
                <w:rFonts w:ascii="Arial" w:cs="Arial" w:eastAsia="Arial" w:hAnsi="Arial"/>
                <w:sz w:val="18"/>
                <w:szCs w:val="18"/>
                <w:color w:val="auto"/>
                <w:w w:val="99"/>
              </w:rPr>
              <w:t>-12%</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277"/>
        </w:trPr>
        <w:tc>
          <w:tcPr>
            <w:tcW w:w="2820" w:type="dxa"/>
            <w:vAlign w:val="bottom"/>
            <w:shd w:val="clear" w:color="auto" w:fill="E5E5E5"/>
          </w:tcPr>
          <w:p>
            <w:pPr>
              <w:ind w:left="40"/>
              <w:spacing w:after="0"/>
              <w:rPr>
                <w:sz w:val="20"/>
                <w:szCs w:val="20"/>
                <w:color w:val="auto"/>
              </w:rPr>
            </w:pPr>
            <w:r>
              <w:rPr>
                <w:rFonts w:ascii="Arial" w:cs="Arial" w:eastAsia="Arial" w:hAnsi="Arial"/>
                <w:sz w:val="18"/>
                <w:szCs w:val="18"/>
                <w:color w:val="auto"/>
              </w:rPr>
              <w:t>Mr. Black</w:t>
            </w:r>
          </w:p>
        </w:tc>
        <w:tc>
          <w:tcPr>
            <w:tcW w:w="3480" w:type="dxa"/>
            <w:vAlign w:val="bottom"/>
            <w:shd w:val="clear" w:color="auto" w:fill="E5E5E5"/>
          </w:tcPr>
          <w:p>
            <w:pPr>
              <w:jc w:val="right"/>
              <w:ind w:right="475"/>
              <w:spacing w:after="0"/>
              <w:rPr>
                <w:sz w:val="20"/>
                <w:szCs w:val="20"/>
                <w:color w:val="auto"/>
              </w:rPr>
            </w:pPr>
            <w:r>
              <w:rPr>
                <w:rFonts w:ascii="Arial" w:cs="Arial" w:eastAsia="Arial" w:hAnsi="Arial"/>
                <w:sz w:val="18"/>
                <w:szCs w:val="18"/>
                <w:color w:val="auto"/>
              </w:rPr>
              <w:t>600,000</w:t>
            </w:r>
          </w:p>
        </w:tc>
        <w:tc>
          <w:tcPr>
            <w:tcW w:w="2660" w:type="dxa"/>
            <w:vAlign w:val="bottom"/>
            <w:shd w:val="clear" w:color="auto" w:fill="E5E5E5"/>
          </w:tcPr>
          <w:p>
            <w:pPr>
              <w:jc w:val="center"/>
              <w:ind w:left="95"/>
              <w:spacing w:after="0"/>
              <w:rPr>
                <w:sz w:val="20"/>
                <w:szCs w:val="20"/>
                <w:color w:val="auto"/>
              </w:rPr>
            </w:pPr>
            <w:r>
              <w:rPr>
                <w:rFonts w:ascii="Arial" w:cs="Arial" w:eastAsia="Arial" w:hAnsi="Arial"/>
                <w:sz w:val="18"/>
                <w:szCs w:val="18"/>
                <w:color w:val="auto"/>
                <w:w w:val="99"/>
              </w:rPr>
              <w:t>14%</w:t>
            </w:r>
          </w:p>
        </w:tc>
        <w:tc>
          <w:tcPr>
            <w:tcW w:w="24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-19%</w:t>
            </w:r>
          </w:p>
        </w:tc>
      </w:tr>
      <w:tr>
        <w:trPr>
          <w:trHeight w:val="263"/>
        </w:trPr>
        <w:tc>
          <w:tcPr>
            <w:tcW w:w="2820" w:type="dxa"/>
            <w:vAlign w:val="bottom"/>
          </w:tcPr>
          <w:p>
            <w:pPr>
              <w:ind w:left="40"/>
              <w:spacing w:after="0"/>
              <w:rPr>
                <w:sz w:val="20"/>
                <w:szCs w:val="20"/>
                <w:color w:val="auto"/>
              </w:rPr>
            </w:pPr>
            <w:r>
              <w:rPr>
                <w:rFonts w:ascii="Arial" w:cs="Arial" w:eastAsia="Arial" w:hAnsi="Arial"/>
                <w:sz w:val="18"/>
                <w:szCs w:val="18"/>
                <w:color w:val="auto"/>
              </w:rPr>
              <w:t>Mr. Fees</w:t>
            </w:r>
          </w:p>
        </w:tc>
        <w:tc>
          <w:tcPr>
            <w:tcW w:w="3480" w:type="dxa"/>
            <w:vAlign w:val="bottom"/>
          </w:tcPr>
          <w:p>
            <w:pPr>
              <w:jc w:val="right"/>
              <w:ind w:right="475"/>
              <w:spacing w:after="0"/>
              <w:rPr>
                <w:sz w:val="20"/>
                <w:szCs w:val="20"/>
                <w:color w:val="auto"/>
              </w:rPr>
            </w:pPr>
            <w:r>
              <w:rPr>
                <w:rFonts w:ascii="Arial" w:cs="Arial" w:eastAsia="Arial" w:hAnsi="Arial"/>
                <w:sz w:val="18"/>
                <w:szCs w:val="18"/>
                <w:color w:val="auto"/>
              </w:rPr>
              <w:t>1,250,000</w:t>
            </w:r>
          </w:p>
        </w:tc>
        <w:tc>
          <w:tcPr>
            <w:tcW w:w="2660" w:type="dxa"/>
            <w:vAlign w:val="bottom"/>
          </w:tcPr>
          <w:p>
            <w:pPr>
              <w:jc w:val="center"/>
              <w:ind w:left="75"/>
              <w:spacing w:after="0"/>
              <w:rPr>
                <w:sz w:val="20"/>
                <w:szCs w:val="20"/>
                <w:color w:val="auto"/>
              </w:rPr>
            </w:pPr>
            <w:r>
              <w:rPr>
                <w:rFonts w:ascii="Arial" w:cs="Arial" w:eastAsia="Arial" w:hAnsi="Arial"/>
                <w:sz w:val="18"/>
                <w:szCs w:val="18"/>
                <w:color w:val="auto"/>
                <w:w w:val="99"/>
              </w:rPr>
              <w:t>4%</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7"/>
        </w:trPr>
        <w:tc>
          <w:tcPr>
            <w:tcW w:w="2820" w:type="dxa"/>
            <w:vAlign w:val="bottom"/>
            <w:shd w:val="clear" w:color="auto" w:fill="E5E5E5"/>
          </w:tcPr>
          <w:p>
            <w:pPr>
              <w:ind w:left="40"/>
              <w:spacing w:after="0"/>
              <w:rPr>
                <w:sz w:val="20"/>
                <w:szCs w:val="20"/>
                <w:color w:val="auto"/>
              </w:rPr>
            </w:pPr>
            <w:r>
              <w:rPr>
                <w:rFonts w:ascii="Arial" w:cs="Arial" w:eastAsia="Arial" w:hAnsi="Arial"/>
                <w:sz w:val="18"/>
                <w:szCs w:val="18"/>
                <w:color w:val="auto"/>
              </w:rPr>
              <w:t>Mr. Canafax</w:t>
            </w:r>
            <w:r>
              <w:rPr>
                <w:rFonts w:ascii="Arial" w:cs="Arial" w:eastAsia="Arial" w:hAnsi="Arial"/>
                <w:sz w:val="21"/>
                <w:szCs w:val="21"/>
                <w:color w:val="auto"/>
                <w:vertAlign w:val="superscript"/>
              </w:rPr>
              <w:t>(1)</w:t>
            </w:r>
          </w:p>
        </w:tc>
        <w:tc>
          <w:tcPr>
            <w:tcW w:w="3480" w:type="dxa"/>
            <w:vAlign w:val="bottom"/>
            <w:shd w:val="clear" w:color="auto" w:fill="E5E5E5"/>
          </w:tcPr>
          <w:p>
            <w:pPr>
              <w:jc w:val="right"/>
              <w:ind w:right="475"/>
              <w:spacing w:after="0"/>
              <w:rPr>
                <w:sz w:val="20"/>
                <w:szCs w:val="20"/>
                <w:color w:val="auto"/>
              </w:rPr>
            </w:pPr>
            <w:r>
              <w:rPr>
                <w:rFonts w:ascii="Arial" w:cs="Arial" w:eastAsia="Arial" w:hAnsi="Arial"/>
                <w:sz w:val="18"/>
                <w:szCs w:val="18"/>
                <w:color w:val="auto"/>
              </w:rPr>
              <w:t>750,000</w:t>
            </w:r>
          </w:p>
        </w:tc>
        <w:tc>
          <w:tcPr>
            <w:tcW w:w="2660" w:type="dxa"/>
            <w:vAlign w:val="bottom"/>
            <w:shd w:val="clear" w:color="auto" w:fill="E5E5E5"/>
          </w:tcPr>
          <w:p>
            <w:pPr>
              <w:jc w:val="center"/>
              <w:ind w:left="95"/>
              <w:spacing w:after="0"/>
              <w:rPr>
                <w:sz w:val="20"/>
                <w:szCs w:val="20"/>
                <w:color w:val="auto"/>
              </w:rPr>
            </w:pPr>
            <w:r>
              <w:rPr>
                <w:rFonts w:ascii="Arial" w:cs="Arial" w:eastAsia="Arial" w:hAnsi="Arial"/>
                <w:sz w:val="18"/>
                <w:szCs w:val="18"/>
                <w:color w:val="auto"/>
                <w:w w:val="99"/>
              </w:rPr>
              <w:t>47%</w:t>
            </w:r>
          </w:p>
        </w:tc>
        <w:tc>
          <w:tcPr>
            <w:tcW w:w="24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21%</w:t>
            </w:r>
          </w:p>
        </w:tc>
      </w:tr>
      <w:tr>
        <w:trPr>
          <w:trHeight w:val="257"/>
        </w:trPr>
        <w:tc>
          <w:tcPr>
            <w:tcW w:w="2820" w:type="dxa"/>
            <w:vAlign w:val="bottom"/>
          </w:tcPr>
          <w:p>
            <w:pPr>
              <w:ind w:left="40"/>
              <w:spacing w:after="0"/>
              <w:rPr>
                <w:sz w:val="20"/>
                <w:szCs w:val="20"/>
                <w:color w:val="auto"/>
              </w:rPr>
            </w:pPr>
            <w:r>
              <w:rPr>
                <w:rFonts w:ascii="Arial" w:cs="Arial" w:eastAsia="Arial" w:hAnsi="Arial"/>
                <w:sz w:val="18"/>
                <w:szCs w:val="18"/>
                <w:color w:val="auto"/>
              </w:rPr>
              <w:t>Mr. Henry</w:t>
            </w:r>
          </w:p>
        </w:tc>
        <w:tc>
          <w:tcPr>
            <w:tcW w:w="3480" w:type="dxa"/>
            <w:vAlign w:val="bottom"/>
          </w:tcPr>
          <w:p>
            <w:pPr>
              <w:jc w:val="right"/>
              <w:ind w:right="475"/>
              <w:spacing w:after="0"/>
              <w:rPr>
                <w:sz w:val="20"/>
                <w:szCs w:val="20"/>
                <w:color w:val="auto"/>
              </w:rPr>
            </w:pPr>
            <w:r>
              <w:rPr>
                <w:rFonts w:ascii="Arial" w:cs="Arial" w:eastAsia="Arial" w:hAnsi="Arial"/>
                <w:sz w:val="18"/>
                <w:szCs w:val="18"/>
                <w:color w:val="auto"/>
              </w:rPr>
              <w:t>500,000</w:t>
            </w:r>
          </w:p>
        </w:tc>
        <w:tc>
          <w:tcPr>
            <w:tcW w:w="2660" w:type="dxa"/>
            <w:vAlign w:val="bottom"/>
          </w:tcPr>
          <w:p>
            <w:pPr>
              <w:jc w:val="center"/>
              <w:ind w:left="95"/>
              <w:spacing w:after="0"/>
              <w:rPr>
                <w:sz w:val="20"/>
                <w:szCs w:val="20"/>
                <w:color w:val="auto"/>
              </w:rPr>
            </w:pPr>
            <w:r>
              <w:rPr>
                <w:rFonts w:ascii="Arial" w:cs="Arial" w:eastAsia="Arial" w:hAnsi="Arial"/>
                <w:sz w:val="18"/>
                <w:szCs w:val="18"/>
                <w:color w:val="auto"/>
                <w:w w:val="99"/>
              </w:rPr>
              <w:t>-7%</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-32%</w:t>
            </w:r>
          </w:p>
        </w:tc>
      </w:tr>
    </w:tbl>
    <w:p>
      <w:pPr>
        <w:spacing w:after="0" w:line="72" w:lineRule="exact"/>
        <w:rPr>
          <w:sz w:val="20"/>
          <w:szCs w:val="20"/>
          <w:color w:val="auto"/>
        </w:rPr>
      </w:pPr>
    </w:p>
    <w:p>
      <w:pPr>
        <w:ind w:left="340" w:right="20" w:hanging="332"/>
        <w:spacing w:after="0" w:line="250" w:lineRule="auto"/>
        <w:tabs>
          <w:tab w:leader="none" w:pos="3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survey data and proxy data reported for Mr. Canafax do not take into account his additional responsibilities as our Chief Compliance Officer and his assumption of certain Chief Operating Officer responsibilities, and the Committee also considered performance and internal equity considerations when determining that a higher long-term incentive award value was warranted in his case.</w:t>
      </w:r>
    </w:p>
    <w:p>
      <w:pPr>
        <w:spacing w:after="0" w:line="17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Sizing Long-Term Incentive Compensation</w:t>
      </w:r>
      <w:r>
        <w:rPr>
          <w:rFonts w:ascii="Arial" w:cs="Arial" w:eastAsia="Arial" w:hAnsi="Arial"/>
          <w:sz w:val="18"/>
          <w:szCs w:val="18"/>
          <w:color w:val="auto"/>
        </w:rPr>
        <w:t>. When granting stock, the Compensation Committee targets a dollar value rather than a number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shares, units or options. The number of restricted stock units granted can be expressed through the following formula:</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Number of RSUs Granted = Target Value ($) / Stock Valuation ($)</w:t>
      </w:r>
    </w:p>
    <w:p>
      <w:pPr>
        <w:spacing w:after="0" w:line="11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target value was set by the Compensation Committee as previously discussed. The stock valuation was determined by Hay Group based on the closing price of our common stock on the New York Stock Exchange on the date of grant. For restricted stock units, Hay Group adjusted the closing price to reflect the conditions of the stock grants, such as the vesting conditions and transfer restrictions. To ensure that restricted stock units vest in equal installments during the three-year vest term, the number of shares calculated was rounded to the nearest multiple of three. Because FASB ASC 718 does not calculate grant date fair values for financial reporting purposes using the same valuation, the target values of long-term incentive compensation may differ from the grant date fair values reported on the Summary Compensation Table and Grants of Plan Based Awards table.</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4: OTHER BENEFITS AND PRACTICES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TRANSITION OF EXECUTIVE CHAIRMAN</w:t>
      </w:r>
    </w:p>
    <w:p>
      <w:pPr>
        <w:spacing w:after="0" w:line="11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December 2017, we announced that Mr. Fees, our Executive Chairman, would be transitioning to the role of Non-Executive Chairman of the Board, effective on the Resignation Date, as part of the Board's organization development and succession planning process. In connection with Mr. Fees’ transition to Non-Executive Chairman, he and the Company entered into a Transition Agreement, dated December 14, 2017 (the “Transition Agreement”). The Transition Agreement provides for the following compensation and benefits (in addition to certain other accrued benefits) for Mr. Fees through the Resignation Date:</w:t>
      </w:r>
    </w:p>
    <w:p>
      <w:pPr>
        <w:spacing w:after="0" w:line="70" w:lineRule="exact"/>
        <w:rPr>
          <w:sz w:val="20"/>
          <w:szCs w:val="20"/>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continued base salary of $50,000 per month (paid in two installments per month);</w:t>
      </w:r>
    </w:p>
    <w:p>
      <w:pPr>
        <w:spacing w:after="0" w:line="90" w:lineRule="exact"/>
        <w:rPr>
          <w:rFonts w:ascii="Arial" w:cs="Arial" w:eastAsia="Arial" w:hAnsi="Arial"/>
          <w:sz w:val="18"/>
          <w:szCs w:val="18"/>
          <w:color w:val="auto"/>
        </w:rPr>
      </w:pPr>
    </w:p>
    <w:p>
      <w:pPr>
        <w:ind w:left="660" w:right="320" w:hanging="328"/>
        <w:spacing w:after="0" w:line="262"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continued eligibility for the full 2017 annual incentive bonus under the Company’s Executive Incentive Compensation Plan (“EICP”), subject to satisfaction of the applicable performance conditions;</w:t>
      </w:r>
    </w:p>
    <w:p>
      <w:pPr>
        <w:spacing w:after="0" w:line="61" w:lineRule="exact"/>
        <w:rPr>
          <w:rFonts w:ascii="Arial" w:cs="Arial" w:eastAsia="Arial" w:hAnsi="Arial"/>
          <w:sz w:val="18"/>
          <w:szCs w:val="18"/>
          <w:color w:val="auto"/>
        </w:rPr>
      </w:pPr>
    </w:p>
    <w:p>
      <w:pPr>
        <w:ind w:left="660" w:right="320" w:hanging="328"/>
        <w:spacing w:after="0" w:line="262"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eligibility for a 2018 incentive bonus under the EICP at the same target as established for 2017, subject to prorated payout at target through the Resignation Date; and</w:t>
      </w:r>
    </w:p>
    <w:p>
      <w:pPr>
        <w:spacing w:after="0" w:line="61" w:lineRule="exact"/>
        <w:rPr>
          <w:rFonts w:ascii="Arial" w:cs="Arial" w:eastAsia="Arial" w:hAnsi="Arial"/>
          <w:sz w:val="18"/>
          <w:szCs w:val="18"/>
          <w:color w:val="auto"/>
        </w:rPr>
      </w:pPr>
    </w:p>
    <w:p>
      <w:pPr>
        <w:ind w:left="660" w:right="740" w:hanging="328"/>
        <w:spacing w:after="0" w:line="262"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continued participation in certain of our employee benefit plans (subject to the terms and conditions of such plans), but not the Company’s executive severance plan.</w:t>
      </w:r>
    </w:p>
    <w:p>
      <w:pPr>
        <w:spacing w:after="0" w:line="6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Mr. Fees will not receive an executive long-term incentive award in 2018. The Transition Agreement amended Mr. Fees’ equity awards that remain outstanding on the Resignation Date to allow for (i) awards of time-vested restricted stock units to vest immediately upon the Resignation Date, and (ii) awards of performance restricted stock units to continue to vest on the vesting dates set forth in the applicable award agreements based on achievement of the performance goals. The treatment of Mr. Fees’ equity awards and certain other benefits as described above are conditioned upon his execution of a release and waiver of claims against the Company. In addition, the Transition Agreement also terminates Mr. Fees’ previously disclosed Change in Control Agreement as of the Resignation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2C2C2C"/>
        </w:rPr>
        <w:t xml:space="preserve">36 </w:t>
      </w:r>
      <w:r>
        <w:rPr>
          <w:sz w:val="1"/>
          <w:szCs w:val="1"/>
          <w:color w:val="auto"/>
        </w:rPr>
        <w:drawing>
          <wp:inline distT="0" distB="0" distL="0" distR="0">
            <wp:extent cx="445770" cy="18034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45770" cy="180340"/>
                    </a:xfrm>
                    <a:prstGeom prst="rect">
                      <a:avLst/>
                    </a:prstGeom>
                    <a:noFill/>
                    <a:ln>
                      <a:noFill/>
                    </a:ln>
                  </pic:spPr>
                </pic:pic>
              </a:graphicData>
            </a:graphic>
          </wp:inline>
        </w:drawing>
      </w:r>
      <w:r>
        <w:rPr>
          <w:rFonts w:ascii="Arial" w:cs="Arial" w:eastAsia="Arial" w:hAnsi="Arial"/>
          <w:sz w:val="18"/>
          <w:szCs w:val="18"/>
          <w:color w:val="auto"/>
        </w:rPr>
        <w:t xml:space="preserve"> 2018 PROXY STATEMENT</w:t>
      </w:r>
    </w:p>
    <w:p>
      <w:pPr>
        <w:sectPr>
          <w:pgSz w:w="11900" w:h="16838" w:orient="portrait"/>
          <w:cols w:equalWidth="0" w:num="1">
            <w:col w:w="11400"/>
          </w:cols>
          <w:pgMar w:left="240" w:top="125" w:right="259" w:bottom="1440" w:gutter="0" w:footer="0" w:header="0"/>
        </w:sectPr>
      </w:pPr>
    </w:p>
    <w:bookmarkStart w:id="45" w:name="page46"/>
    <w:bookmarkEnd w:id="45"/>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960"/>
        <w:spacing w:after="0"/>
        <w:rPr>
          <w:sz w:val="20"/>
          <w:szCs w:val="20"/>
          <w:color w:val="auto"/>
        </w:rPr>
      </w:pPr>
      <w:r>
        <w:rPr>
          <w:rFonts w:ascii="Arial" w:cs="Arial" w:eastAsia="Arial" w:hAnsi="Arial"/>
          <w:sz w:val="14"/>
          <w:szCs w:val="14"/>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0"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Date, and contains restrictions on Mr. Fees’ ability to compete with the Company and its affiliates, or solicit our employees, for three years following the Resignation Date.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BENEFITS AND PERQUISITES</w:t>
      </w:r>
    </w:p>
    <w:p>
      <w:pPr>
        <w:spacing w:after="0" w:line="11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Subject to applicable eligibility rules, our Named Executives receive all of the benefits offered to other BWXT employees generally, including medical and other health and welfare benefits and participation in our qualified defined plans. We offer these benefits to our Named Executives and other employees to promote retention. Our Named Executives receive additional limited perquisites, which we provide to attract and retain key personnel.</w:t>
      </w:r>
    </w:p>
    <w:p>
      <w:pPr>
        <w:spacing w:after="0" w:line="6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provide the following perquisites to our Named Executives: relocation and temporary housing assistance, travel allowance, annual physicals, tax and financial planning services, reimbursement of limited expenses in connection with a spouse accompanying them on business travel and other miscellaneous items. We believe the personal benefits offered to our Named Executives are reasonable and appropriate. We also provide our Named Executives with limited tax assistance with respect to relocation and the reimbursement of limited spousal expenses discussed above. For relocation, the Company provides tax assistance to Named Executives on the same basis provided to other employees receiving relocation assistance.</w:t>
      </w:r>
    </w:p>
    <w:p>
      <w:pPr>
        <w:spacing w:after="0" w:line="74"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For a description of the values and valuation methodology associated with perquisites provided in 2017, see the notes and narratives to the Summary Compensation Table under “Compensation of Executive Officers” below.</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 xml:space="preserve">Overview. </w:t>
      </w:r>
      <w:r>
        <w:rPr>
          <w:rFonts w:ascii="Arial" w:cs="Arial" w:eastAsia="Arial" w:hAnsi="Arial"/>
          <w:sz w:val="18"/>
          <w:szCs w:val="18"/>
          <w:color w:val="auto"/>
        </w:rPr>
        <w:t>We provide retirement benefits through a combination of (1) qualified and non-qualified defined benefit pension plans (our “Pension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Plans”), (2) qualified and non-qualified defined contribution retirement plans (our “Thrift Plans”), and (3) a supplemental non-qualified defined contribution executive retirement plan. Due to the volatility, cost and complexity associated with defined benefit plans and evolving employee preferences, we have taken steps over the past several years to shift away from traditional defined benefit plans toward defined contribution plans by closing our pension plans to new and unvested salaried employees and freezing benefit accruals for existing salaried participants with less than five years of credited service. In 2012, we announced that all benefit accruals for salaried employees still accruing benefits under the Pension Plans would be frozen following a transition period. Those benefit accruals were frozen effective December 31, 2015. In lieu of future defined benefit plan accruals under those plans, we provide additional cash contributions to eligible employees’ Thrift Plan account, discussed below.</w:t>
      </w:r>
    </w:p>
    <w:p>
      <w:pPr>
        <w:spacing w:after="0" w:line="4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b w:val="1"/>
          <w:bCs w:val="1"/>
          <w:i w:val="1"/>
          <w:iCs w:val="1"/>
          <w:color w:val="auto"/>
        </w:rPr>
        <w:t xml:space="preserve">Pension Plans. </w:t>
      </w:r>
      <w:r>
        <w:rPr>
          <w:rFonts w:ascii="Arial" w:cs="Arial" w:eastAsia="Arial" w:hAnsi="Arial"/>
          <w:sz w:val="18"/>
          <w:szCs w:val="18"/>
          <w:color w:val="auto"/>
        </w:rPr>
        <w:t>As a result of the recent changes in eligibility requirements, none of our Named Executives other than Messrs. Black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Fees participate in our Pension Plans, which are comprised of qualified and non-qualified excess retirement plans. The excess plan covers a small group of highly compensated employees whose ultimate benefits under the qualified Pension Plans are reduced by Internal Revenue Code (“IRC”) limits on the amount of benefits that may be provided, and on the amount of compensation that may be taken into account in computing benefits. Benefits under the non-qualified excess plan in which our Named Executives participate are paid from the general assets of the Company. See the “Pension Benefits” table under “Compensation of Executive Officers” below for more information regarding the Pension Plans.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Thrift Plans. </w:t>
      </w:r>
      <w:r>
        <w:rPr>
          <w:rFonts w:ascii="Arial" w:cs="Arial" w:eastAsia="Arial" w:hAnsi="Arial"/>
          <w:sz w:val="18"/>
          <w:szCs w:val="18"/>
          <w:color w:val="auto"/>
        </w:rPr>
        <w:t>We maintain two primary defined contribution retirement plans: (1) a broad-based, qualified 401(k) plan (our “401(k) Plan”) and</w:t>
      </w:r>
    </w:p>
    <w:p>
      <w:pPr>
        <w:spacing w:after="0" w:line="31" w:lineRule="exact"/>
        <w:rPr>
          <w:sz w:val="20"/>
          <w:szCs w:val="20"/>
          <w:color w:val="auto"/>
        </w:rPr>
      </w:pPr>
    </w:p>
    <w:p>
      <w:pPr>
        <w:ind w:right="120" w:firstLine="8"/>
        <w:spacing w:after="0" w:line="252" w:lineRule="auto"/>
        <w:tabs>
          <w:tab w:leader="none" w:pos="27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non-qualified restoration plan (our “Restoration Plan”). All of our Named Executives participated in the 401(k) Plan in 2017. Our Compensation Committee established the Restoration Plan to (1) more closely align our executive retirement plans with general and industrial market practices as indicated by Hay Group benefit data, (2) ensure the competitiveness of retirement benefits for our executives who are not eligible to participate in our Pension Plans, and (3) mirror the dual qualified and non-qualified plan design of our Pension Plans. Our Restoration Plan seeks to restore benefits provided by our 401(k) Plan that are precluded by IRC limits on eligible compensation and total contributions. The Restoration Plan contains the same principal components as our 401(k) Plan.</w:t>
      </w:r>
    </w:p>
    <w:p>
      <w:pPr>
        <w:spacing w:after="0" w:line="74"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All of our Named Executives participated in our Restoration Plan in 2017. Our obligations under the Restoration Plan are unfunded and plan benefits are payable from the general assets of the Company.</w:t>
      </w:r>
    </w:p>
    <w:p>
      <w:pPr>
        <w:spacing w:after="0" w:line="39" w:lineRule="exact"/>
        <w:rPr>
          <w:sz w:val="20"/>
          <w:szCs w:val="20"/>
          <w:color w:val="auto"/>
        </w:rPr>
      </w:pPr>
    </w:p>
    <w:p>
      <w:pPr>
        <w:ind w:right="460"/>
        <w:spacing w:after="0" w:line="269" w:lineRule="auto"/>
        <w:rPr>
          <w:sz w:val="20"/>
          <w:szCs w:val="20"/>
          <w:color w:val="auto"/>
        </w:rPr>
      </w:pPr>
      <w:r>
        <w:rPr>
          <w:rFonts w:ascii="Arial" w:cs="Arial" w:eastAsia="Arial" w:hAnsi="Arial"/>
          <w:sz w:val="18"/>
          <w:szCs w:val="18"/>
          <w:b w:val="1"/>
          <w:bCs w:val="1"/>
          <w:i w:val="1"/>
          <w:iCs w:val="1"/>
          <w:color w:val="auto"/>
        </w:rPr>
        <w:t>Supplemental Plans</w:t>
      </w:r>
      <w:r>
        <w:rPr>
          <w:rFonts w:ascii="Arial" w:cs="Arial" w:eastAsia="Arial" w:hAnsi="Arial"/>
          <w:sz w:val="18"/>
          <w:szCs w:val="18"/>
          <w:color w:val="auto"/>
        </w:rPr>
        <w:t>. We also maintain a supplemental executive retirement plan (our “SERP”). The SERP provides participants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 opportunities to defer the payment of certain compensation earned from us. In 2016, we discontinued Company contributions to participants’ SERP accounts, but participants may still make individual contributions to their notional accounts.</w:t>
      </w:r>
    </w:p>
    <w:p>
      <w:pPr>
        <w:spacing w:after="0" w:line="5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See the “Nonqualified Deferred Compensation” table and accompanying narrative under “Compensation of Executive Officers” below for more information about the Restoration Plan and SERP.</w:t>
      </w:r>
    </w:p>
    <w:p>
      <w:pPr>
        <w:spacing w:after="0" w:line="224" w:lineRule="exact"/>
        <w:rPr>
          <w:sz w:val="20"/>
          <w:szCs w:val="20"/>
          <w:color w:val="auto"/>
        </w:rPr>
      </w:pPr>
    </w:p>
    <w:p>
      <w:pPr>
        <w:jc w:val="right"/>
        <w:spacing w:after="0"/>
        <w:rPr>
          <w:sz w:val="20"/>
          <w:szCs w:val="20"/>
          <w:color w:val="auto"/>
        </w:rPr>
      </w:pPr>
      <w:r>
        <w:rPr>
          <w:sz w:val="1"/>
          <w:szCs w:val="1"/>
          <w:color w:val="auto"/>
        </w:rPr>
        <w:drawing>
          <wp:inline distT="0" distB="0" distL="0" distR="0">
            <wp:extent cx="488950" cy="20574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88950" cy="205740"/>
                    </a:xfrm>
                    <a:prstGeom prst="rect">
                      <a:avLst/>
                    </a:prstGeom>
                    <a:noFill/>
                    <a:ln>
                      <a:noFill/>
                    </a:ln>
                  </pic:spPr>
                </pic:pic>
              </a:graphicData>
            </a:graphic>
          </wp:inline>
        </w:drawing>
      </w:r>
      <w:r>
        <w:rPr>
          <w:rFonts w:ascii="Arial" w:cs="Arial" w:eastAsia="Arial" w:hAnsi="Arial"/>
          <w:sz w:val="18"/>
          <w:szCs w:val="18"/>
          <w:color w:val="auto"/>
        </w:rPr>
        <w:t xml:space="preserve"> 2018 PROXY STATEMENT </w:t>
      </w:r>
      <w:r>
        <w:rPr>
          <w:rFonts w:ascii="Arial" w:cs="Arial" w:eastAsia="Arial" w:hAnsi="Arial"/>
          <w:sz w:val="18"/>
          <w:szCs w:val="18"/>
          <w:b w:val="1"/>
          <w:bCs w:val="1"/>
          <w:color w:val="2C2C2C"/>
        </w:rPr>
        <w:t>37</w:t>
      </w:r>
    </w:p>
    <w:p>
      <w:pPr>
        <w:sectPr>
          <w:pgSz w:w="11900" w:h="16838" w:orient="portrait"/>
          <w:cols w:equalWidth="0" w:num="1">
            <w:col w:w="11420"/>
          </w:cols>
          <w:pgMar w:left="240" w:top="125" w:right="239" w:bottom="1440" w:gutter="0" w:footer="0" w:header="0"/>
        </w:sectPr>
      </w:pPr>
    </w:p>
    <w:bookmarkStart w:id="46" w:name="page47"/>
    <w:bookmarkEnd w:id="46"/>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7320"/>
        <w:spacing w:after="0"/>
        <w:rPr>
          <w:sz w:val="20"/>
          <w:szCs w:val="20"/>
          <w:color w:val="auto"/>
        </w:rPr>
      </w:pPr>
      <w:r>
        <w:rPr>
          <w:rFonts w:ascii="Arial" w:cs="Arial" w:eastAsia="Arial" w:hAnsi="Arial"/>
          <w:sz w:val="14"/>
          <w:szCs w:val="14"/>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ARRANGEMENTS</w:t>
      </w:r>
    </w:p>
    <w:p>
      <w:pPr>
        <w:spacing w:after="0" w:line="90"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i w:val="1"/>
          <w:iCs w:val="1"/>
          <w:color w:val="auto"/>
        </w:rPr>
        <w:t>BWXT Severance Plan</w:t>
      </w:r>
      <w:r>
        <w:rPr>
          <w:rFonts w:ascii="Arial" w:cs="Arial" w:eastAsia="Arial" w:hAnsi="Arial"/>
          <w:sz w:val="18"/>
          <w:szCs w:val="18"/>
          <w:color w:val="auto"/>
        </w:rPr>
        <w:t>. Prior to 2012, we maintained a broad-based severance plan to provide a measure of financial assistance to eligible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who are involuntarily terminated in connection with a permanent reduction in force. In 2012, in consultation with Hay Group, the Compensation Committee approved the replacement of our broad-based plan with a new modified plan and approved a new executive severance plan. The BWX Technologies, Inc. Executive Severance Plan was amended and restated as of July 1, 2015.</w:t>
      </w:r>
    </w:p>
    <w:p>
      <w:pPr>
        <w:spacing w:after="0" w:line="42"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 xml:space="preserve">Change-in-Control Agreements. </w:t>
      </w:r>
      <w:r>
        <w:rPr>
          <w:rFonts w:ascii="Arial" w:cs="Arial" w:eastAsia="Arial" w:hAnsi="Arial"/>
          <w:sz w:val="18"/>
          <w:szCs w:val="18"/>
          <w:color w:val="auto"/>
        </w:rPr>
        <w:t>The Compensation Committee has offered change-in-control agreements to executives, including Named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Executives, since 2010. We believe change-in-control agreements protect stockholders’ interests by serving to:</w:t>
      </w:r>
    </w:p>
    <w:p>
      <w:pPr>
        <w:spacing w:after="0" w:line="67" w:lineRule="exact"/>
        <w:rPr>
          <w:sz w:val="20"/>
          <w:szCs w:val="20"/>
          <w:color w:val="auto"/>
        </w:rPr>
      </w:pPr>
    </w:p>
    <w:p>
      <w:pPr>
        <w:ind w:left="340" w:hanging="332"/>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attract and retain top-quality executive management;</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assure both present and future continuity of executive management in the event of a threatened or actual change in control;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ensure the objective focus of executive management in the evaluation of any change in control opportunities.</w:t>
      </w:r>
    </w:p>
    <w:p>
      <w:pPr>
        <w:spacing w:after="0" w:line="90" w:lineRule="exact"/>
        <w:rPr>
          <w:sz w:val="20"/>
          <w:szCs w:val="20"/>
          <w:color w:val="auto"/>
        </w:rPr>
      </w:pPr>
    </w:p>
    <w:p>
      <w:pPr>
        <w:ind w:right="240"/>
        <w:spacing w:after="0" w:line="251" w:lineRule="auto"/>
        <w:rPr>
          <w:sz w:val="20"/>
          <w:szCs w:val="20"/>
          <w:color w:val="auto"/>
        </w:rPr>
      </w:pPr>
      <w:r>
        <w:rPr>
          <w:rFonts w:ascii="Arial" w:cs="Arial" w:eastAsia="Arial" w:hAnsi="Arial"/>
          <w:sz w:val="18"/>
          <w:szCs w:val="18"/>
          <w:color w:val="auto"/>
        </w:rPr>
        <w:t>Our change-in-control agreements contain what is commonly referred to as a “double trigger,” that is, they provide benefits only upon a qualified termination of the executive within 30-months following a change in control. Stock awards, however, are subject to the terms of the award agreements and vest outstanding stock immediately on the occurrence of a change in control, regardless of whether there is a subsequent termination of employment. Additionally, the change-in-control agreements do not provide any tax gross-up on the benefits following a qualified termination. Instead, the change-in-control agreements contain a “modified cutback” provision, which acts to reduce the benefits payable to an executive to the extent necessary so that no excise tax would be imposed on the benefits paid, but only if doing so would result in the executive retaining a larger after-tax amount. The provision was included with the intent of benefiting the Company by seeking to preserve the tax deductibility of the benefits paid under the agreement, without compromising the objectives for which the agreement was approved.</w:t>
      </w:r>
    </w:p>
    <w:p>
      <w:pPr>
        <w:spacing w:after="0" w:line="7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See the “Potential Payments Upon Termination or Change in Control” tables under “Compensation of Executive Officers” below and the accompanying disclosures for more information regarding the change in control agreements with our Named Executives, events considered to be change in control events and other plans and arrangements that have different trigger mechanisms relating to a change in control.</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COMPENSATION POLICIES AND PRACTICES</w:t>
      </w:r>
    </w:p>
    <w:p>
      <w:pPr>
        <w:spacing w:after="0" w:line="8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auto"/>
        </w:rPr>
        <w:t>Stock Ownership Guidelines</w:t>
      </w:r>
      <w:r>
        <w:rPr>
          <w:rFonts w:ascii="Arial" w:cs="Arial" w:eastAsia="Arial" w:hAnsi="Arial"/>
          <w:sz w:val="18"/>
          <w:szCs w:val="18"/>
          <w:color w:val="auto"/>
        </w:rPr>
        <w:t>. We maintain stock ownership guidelines for our executives and non-management directors. These guidelines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 minimum stock ownership levels of two to five times annual base salary for our executives, and five times annual base retainer for non-management directors. Below are the minimum ownership levels for our non-management directors and executives, including our Named Executives:</w:t>
      </w:r>
    </w:p>
    <w:p>
      <w:pPr>
        <w:spacing w:after="0" w:line="91" w:lineRule="exact"/>
        <w:rPr>
          <w:sz w:val="20"/>
          <w:szCs w:val="20"/>
          <w:color w:val="auto"/>
        </w:rPr>
      </w:pPr>
    </w:p>
    <w:p>
      <w:pPr>
        <w:ind w:left="980" w:hanging="324"/>
        <w:spacing w:after="0"/>
        <w:tabs>
          <w:tab w:leader="none" w:pos="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Non-management Directors – Five times (5x) annual base retainer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Executive Chairman and Chief Executive Officer – Five times (5x) annual base salary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Other Named Executives – Three times (3x) annual base salary</w:t>
      </w:r>
    </w:p>
    <w:p>
      <w:pPr>
        <w:spacing w:after="0" w:line="9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Directors and executives have five years to achieve their respective minimum ownership levels. The Governance Committee annually reviews the compliance with these guidelines and has discretion to waive or modify the stock ownership guidelines for directors and executives. No executive or director is authorized to sell any shares of our common stock (other than to satisfy applicable withholding tax obligations resulting from a transaction involving such stock or to cover the exercise price of stock options) unless they have met their respective guideline. All of our directors and Named Executives are either in compliance with the stock ownership guidelines or are positioned to achieve compliance within the required time period.</w:t>
      </w:r>
    </w:p>
    <w:p>
      <w:pPr>
        <w:spacing w:after="0" w:line="5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i w:val="1"/>
          <w:iCs w:val="1"/>
          <w:color w:val="auto"/>
        </w:rPr>
        <w:t>Timing of Stock Awards</w:t>
      </w:r>
      <w:r>
        <w:rPr>
          <w:rFonts w:ascii="Arial" w:cs="Arial" w:eastAsia="Arial" w:hAnsi="Arial"/>
          <w:sz w:val="18"/>
          <w:szCs w:val="18"/>
          <w:color w:val="auto"/>
        </w:rPr>
        <w:t>. To avoid timing stock awards ahead of the release of material nonpublic information, the Compensation Committee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approves our annual stock-based awards effective as of the third day following the filing of our annual report on Form 10-K or quarterly report on Form 10-Q with the Securities and Exchange Commission. We have followed this practice for all long-term incentive compensation grants to Named Executives since 2005, subject to certain limited exceptions.</w:t>
      </w:r>
    </w:p>
    <w:p>
      <w:pPr>
        <w:spacing w:after="0" w:line="42" w:lineRule="exact"/>
        <w:rPr>
          <w:sz w:val="20"/>
          <w:szCs w:val="20"/>
          <w:color w:val="auto"/>
        </w:rPr>
      </w:pPr>
    </w:p>
    <w:p>
      <w:pPr>
        <w:spacing w:after="0" w:line="269" w:lineRule="auto"/>
        <w:rPr>
          <w:sz w:val="20"/>
          <w:szCs w:val="20"/>
          <w:color w:val="auto"/>
        </w:rPr>
      </w:pPr>
      <w:r>
        <w:rPr>
          <w:rFonts w:ascii="Arial" w:cs="Arial" w:eastAsia="Arial" w:hAnsi="Arial"/>
          <w:sz w:val="18"/>
          <w:szCs w:val="18"/>
          <w:b w:val="1"/>
          <w:bCs w:val="1"/>
          <w:i w:val="1"/>
          <w:iCs w:val="1"/>
          <w:color w:val="auto"/>
        </w:rPr>
        <w:t>Hedging, Pledging and Short Sale Policies</w:t>
      </w:r>
      <w:r>
        <w:rPr>
          <w:rFonts w:ascii="Arial" w:cs="Arial" w:eastAsia="Arial" w:hAnsi="Arial"/>
          <w:sz w:val="18"/>
          <w:szCs w:val="18"/>
          <w:color w:val="auto"/>
        </w:rPr>
        <w:t>. We also maintain a policy that prohibits all directors, officers and employees from trading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puts, calls or other options on BWXT’s common stock and otherwise engaging in hedging transactions that are designed to hedge or offset any decrease in the market value of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2C2C2C"/>
        </w:rPr>
        <w:t xml:space="preserve">38 </w:t>
      </w:r>
      <w:r>
        <w:rPr>
          <w:sz w:val="1"/>
          <w:szCs w:val="1"/>
          <w:color w:val="auto"/>
        </w:rPr>
        <w:drawing>
          <wp:inline distT="0" distB="0" distL="0" distR="0">
            <wp:extent cx="445770" cy="18034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45770" cy="180340"/>
                    </a:xfrm>
                    <a:prstGeom prst="rect">
                      <a:avLst/>
                    </a:prstGeom>
                    <a:noFill/>
                    <a:ln>
                      <a:noFill/>
                    </a:ln>
                  </pic:spPr>
                </pic:pic>
              </a:graphicData>
            </a:graphic>
          </wp:inline>
        </w:drawing>
      </w:r>
      <w:r>
        <w:rPr>
          <w:rFonts w:ascii="Arial" w:cs="Arial" w:eastAsia="Arial" w:hAnsi="Arial"/>
          <w:sz w:val="18"/>
          <w:szCs w:val="18"/>
          <w:color w:val="auto"/>
        </w:rPr>
        <w:t xml:space="preserve"> 2018 PROXY STATEMENT</w:t>
      </w:r>
    </w:p>
    <w:p>
      <w:pPr>
        <w:sectPr>
          <w:pgSz w:w="11900" w:h="16838" w:orient="portrait"/>
          <w:cols w:equalWidth="0" w:num="1">
            <w:col w:w="11360"/>
          </w:cols>
          <w:pgMar w:left="240" w:top="125" w:right="299" w:bottom="1440" w:gutter="0" w:footer="0" w:header="0"/>
        </w:sectPr>
      </w:pPr>
    </w:p>
    <w:bookmarkStart w:id="47" w:name="page48"/>
    <w:bookmarkEnd w:id="47"/>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960"/>
        <w:spacing w:after="0"/>
        <w:rPr>
          <w:sz w:val="20"/>
          <w:szCs w:val="20"/>
          <w:color w:val="auto"/>
        </w:rPr>
      </w:pPr>
      <w:r>
        <w:rPr>
          <w:rFonts w:ascii="Arial" w:cs="Arial" w:eastAsia="Arial" w:hAnsi="Arial"/>
          <w:sz w:val="14"/>
          <w:szCs w:val="14"/>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The directors, officers and employees are also prohibited from pledging company securities and engaging in short sales of company securities.</w:t>
      </w:r>
    </w:p>
    <w:p>
      <w:pPr>
        <w:spacing w:after="0" w:line="68"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Clawbacks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 compensation awards include provisions allowing us to recover excess amounts paid to individuals who knowingly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engaged in a fraud resulting in a restatement.</w:t>
      </w:r>
    </w:p>
    <w:p>
      <w:pPr>
        <w:spacing w:after="0" w:line="99"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i w:val="1"/>
          <w:iCs w:val="1"/>
          <w:color w:val="auto"/>
        </w:rPr>
        <w:t>Proxy Data Custom Peer Group for 2017 Compensation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Set forth below are the peer companies we have selected as our secondary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benchmark for 2017 compensation purposes.</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2940" w:type="dxa"/>
            <w:vAlign w:val="bottom"/>
          </w:tcPr>
          <w:p>
            <w:pPr>
              <w:ind w:left="220"/>
              <w:spacing w:after="0"/>
              <w:rPr>
                <w:sz w:val="20"/>
                <w:szCs w:val="20"/>
                <w:color w:val="auto"/>
              </w:rPr>
            </w:pPr>
            <w:r>
              <w:rPr>
                <w:rFonts w:ascii="Arial" w:cs="Arial" w:eastAsia="Arial" w:hAnsi="Arial"/>
                <w:sz w:val="16"/>
                <w:szCs w:val="16"/>
                <w:color w:val="auto"/>
              </w:rPr>
              <w:t>AAR Corp</w:t>
            </w:r>
          </w:p>
        </w:tc>
        <w:tc>
          <w:tcPr>
            <w:tcW w:w="380" w:type="dxa"/>
            <w:vAlign w:val="bottom"/>
          </w:tcPr>
          <w:p>
            <w:pPr>
              <w:ind w:left="280"/>
              <w:spacing w:after="0"/>
              <w:rPr>
                <w:sz w:val="20"/>
                <w:szCs w:val="20"/>
                <w:color w:val="auto"/>
              </w:rPr>
            </w:pPr>
            <w:r>
              <w:rPr>
                <w:rFonts w:ascii="Arial" w:cs="Arial" w:eastAsia="Arial" w:hAnsi="Arial"/>
                <w:sz w:val="16"/>
                <w:szCs w:val="16"/>
                <w:color w:val="auto"/>
              </w:rPr>
              <w:t>•</w:t>
            </w:r>
          </w:p>
        </w:tc>
        <w:tc>
          <w:tcPr>
            <w:tcW w:w="3080" w:type="dxa"/>
            <w:vAlign w:val="bottom"/>
          </w:tcPr>
          <w:p>
            <w:pPr>
              <w:ind w:left="60"/>
              <w:spacing w:after="0"/>
              <w:rPr>
                <w:sz w:val="20"/>
                <w:szCs w:val="20"/>
                <w:color w:val="auto"/>
              </w:rPr>
            </w:pPr>
            <w:r>
              <w:rPr>
                <w:rFonts w:ascii="Arial" w:cs="Arial" w:eastAsia="Arial" w:hAnsi="Arial"/>
                <w:sz w:val="16"/>
                <w:szCs w:val="16"/>
                <w:color w:val="auto"/>
              </w:rPr>
              <w:t>Ducommun Inc.</w:t>
            </w:r>
          </w:p>
        </w:tc>
        <w:tc>
          <w:tcPr>
            <w:tcW w:w="460" w:type="dxa"/>
            <w:vAlign w:val="bottom"/>
          </w:tcPr>
          <w:p>
            <w:pPr>
              <w:ind w:left="340"/>
              <w:spacing w:after="0"/>
              <w:rPr>
                <w:sz w:val="20"/>
                <w:szCs w:val="20"/>
                <w:color w:val="auto"/>
              </w:rPr>
            </w:pPr>
            <w:r>
              <w:rPr>
                <w:rFonts w:ascii="Arial" w:cs="Arial" w:eastAsia="Arial" w:hAnsi="Arial"/>
                <w:sz w:val="16"/>
                <w:szCs w:val="16"/>
                <w:color w:val="auto"/>
              </w:rPr>
              <w:t>•</w:t>
            </w:r>
          </w:p>
        </w:tc>
        <w:tc>
          <w:tcPr>
            <w:tcW w:w="2800" w:type="dxa"/>
            <w:vAlign w:val="bottom"/>
          </w:tcPr>
          <w:p>
            <w:pPr>
              <w:ind w:left="200"/>
              <w:spacing w:after="0"/>
              <w:rPr>
                <w:sz w:val="20"/>
                <w:szCs w:val="20"/>
                <w:color w:val="auto"/>
              </w:rPr>
            </w:pPr>
            <w:r>
              <w:rPr>
                <w:rFonts w:ascii="Arial" w:cs="Arial" w:eastAsia="Arial" w:hAnsi="Arial"/>
                <w:sz w:val="16"/>
                <w:szCs w:val="16"/>
                <w:color w:val="auto"/>
              </w:rPr>
              <w:t>Huntington Ingalls Industries, Inc.</w:t>
            </w:r>
          </w:p>
        </w:tc>
      </w:tr>
      <w:tr>
        <w:trPr>
          <w:trHeight w:val="243"/>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2940" w:type="dxa"/>
            <w:vAlign w:val="bottom"/>
          </w:tcPr>
          <w:p>
            <w:pPr>
              <w:ind w:left="220"/>
              <w:spacing w:after="0"/>
              <w:rPr>
                <w:sz w:val="20"/>
                <w:szCs w:val="20"/>
                <w:color w:val="auto"/>
              </w:rPr>
            </w:pPr>
            <w:r>
              <w:rPr>
                <w:rFonts w:ascii="Arial" w:cs="Arial" w:eastAsia="Arial" w:hAnsi="Arial"/>
                <w:sz w:val="16"/>
                <w:szCs w:val="16"/>
                <w:color w:val="auto"/>
              </w:rPr>
              <w:t>Aerojet Rocketdyne Holdings, Inc.</w:t>
            </w:r>
          </w:p>
        </w:tc>
        <w:tc>
          <w:tcPr>
            <w:tcW w:w="380" w:type="dxa"/>
            <w:vAlign w:val="bottom"/>
          </w:tcPr>
          <w:p>
            <w:pPr>
              <w:ind w:left="280"/>
              <w:spacing w:after="0"/>
              <w:rPr>
                <w:sz w:val="20"/>
                <w:szCs w:val="20"/>
                <w:color w:val="auto"/>
              </w:rPr>
            </w:pPr>
            <w:r>
              <w:rPr>
                <w:rFonts w:ascii="Arial" w:cs="Arial" w:eastAsia="Arial" w:hAnsi="Arial"/>
                <w:sz w:val="16"/>
                <w:szCs w:val="16"/>
                <w:color w:val="auto"/>
              </w:rPr>
              <w:t>•</w:t>
            </w:r>
          </w:p>
        </w:tc>
        <w:tc>
          <w:tcPr>
            <w:tcW w:w="3080" w:type="dxa"/>
            <w:vAlign w:val="bottom"/>
          </w:tcPr>
          <w:p>
            <w:pPr>
              <w:ind w:left="220"/>
              <w:spacing w:after="0"/>
              <w:rPr>
                <w:sz w:val="20"/>
                <w:szCs w:val="20"/>
                <w:color w:val="auto"/>
              </w:rPr>
            </w:pPr>
            <w:r>
              <w:rPr>
                <w:rFonts w:ascii="Arial" w:cs="Arial" w:eastAsia="Arial" w:hAnsi="Arial"/>
                <w:sz w:val="16"/>
                <w:szCs w:val="16"/>
                <w:color w:val="auto"/>
              </w:rPr>
              <w:t>Engility Holdings Inc.</w:t>
            </w:r>
          </w:p>
        </w:tc>
        <w:tc>
          <w:tcPr>
            <w:tcW w:w="3260" w:type="dxa"/>
            <w:vAlign w:val="bottom"/>
            <w:gridSpan w:val="2"/>
          </w:tcPr>
          <w:p>
            <w:pPr>
              <w:ind w:left="340"/>
              <w:spacing w:after="0"/>
              <w:rPr>
                <w:sz w:val="20"/>
                <w:szCs w:val="20"/>
                <w:color w:val="auto"/>
              </w:rPr>
            </w:pPr>
            <w:r>
              <w:rPr>
                <w:rFonts w:ascii="Arial" w:cs="Arial" w:eastAsia="Arial" w:hAnsi="Arial"/>
                <w:sz w:val="16"/>
                <w:szCs w:val="16"/>
                <w:color w:val="auto"/>
              </w:rPr>
              <w:t>• Kratos Defense &amp; Security</w:t>
            </w:r>
          </w:p>
        </w:tc>
      </w:tr>
      <w:tr>
        <w:trPr>
          <w:trHeight w:val="243"/>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2940" w:type="dxa"/>
            <w:vAlign w:val="bottom"/>
          </w:tcPr>
          <w:p>
            <w:pPr>
              <w:ind w:left="220"/>
              <w:spacing w:after="0"/>
              <w:rPr>
                <w:sz w:val="20"/>
                <w:szCs w:val="20"/>
                <w:color w:val="auto"/>
              </w:rPr>
            </w:pPr>
            <w:r>
              <w:rPr>
                <w:rFonts w:ascii="Arial" w:cs="Arial" w:eastAsia="Arial" w:hAnsi="Arial"/>
                <w:sz w:val="16"/>
                <w:szCs w:val="16"/>
                <w:color w:val="auto"/>
              </w:rPr>
              <w:t>Astronics Corporation</w:t>
            </w:r>
          </w:p>
        </w:tc>
        <w:tc>
          <w:tcPr>
            <w:tcW w:w="380" w:type="dxa"/>
            <w:vAlign w:val="bottom"/>
          </w:tcPr>
          <w:p>
            <w:pPr>
              <w:ind w:left="280"/>
              <w:spacing w:after="0"/>
              <w:rPr>
                <w:sz w:val="20"/>
                <w:szCs w:val="20"/>
                <w:color w:val="auto"/>
              </w:rPr>
            </w:pPr>
            <w:r>
              <w:rPr>
                <w:rFonts w:ascii="Arial" w:cs="Arial" w:eastAsia="Arial" w:hAnsi="Arial"/>
                <w:sz w:val="16"/>
                <w:szCs w:val="16"/>
                <w:color w:val="auto"/>
              </w:rPr>
              <w:t>•</w:t>
            </w:r>
          </w:p>
        </w:tc>
        <w:tc>
          <w:tcPr>
            <w:tcW w:w="3080" w:type="dxa"/>
            <w:vAlign w:val="bottom"/>
          </w:tcPr>
          <w:p>
            <w:pPr>
              <w:ind w:left="220"/>
              <w:spacing w:after="0"/>
              <w:rPr>
                <w:sz w:val="20"/>
                <w:szCs w:val="20"/>
                <w:color w:val="auto"/>
              </w:rPr>
            </w:pPr>
            <w:r>
              <w:rPr>
                <w:rFonts w:ascii="Arial" w:cs="Arial" w:eastAsia="Arial" w:hAnsi="Arial"/>
                <w:sz w:val="16"/>
                <w:szCs w:val="16"/>
                <w:color w:val="auto"/>
              </w:rPr>
              <w:t>Esterline Technologies Corporation</w:t>
            </w:r>
          </w:p>
        </w:tc>
        <w:tc>
          <w:tcPr>
            <w:tcW w:w="460" w:type="dxa"/>
            <w:vAlign w:val="bottom"/>
          </w:tcPr>
          <w:p>
            <w:pPr>
              <w:ind w:left="340"/>
              <w:spacing w:after="0"/>
              <w:rPr>
                <w:sz w:val="20"/>
                <w:szCs w:val="20"/>
                <w:color w:val="auto"/>
              </w:rPr>
            </w:pPr>
            <w:r>
              <w:rPr>
                <w:rFonts w:ascii="Arial" w:cs="Arial" w:eastAsia="Arial" w:hAnsi="Arial"/>
                <w:sz w:val="16"/>
                <w:szCs w:val="16"/>
                <w:color w:val="auto"/>
              </w:rPr>
              <w:t>•</w:t>
            </w:r>
          </w:p>
        </w:tc>
        <w:tc>
          <w:tcPr>
            <w:tcW w:w="2800" w:type="dxa"/>
            <w:vAlign w:val="bottom"/>
          </w:tcPr>
          <w:p>
            <w:pPr>
              <w:ind w:left="200"/>
              <w:spacing w:after="0"/>
              <w:rPr>
                <w:sz w:val="20"/>
                <w:szCs w:val="20"/>
                <w:color w:val="auto"/>
              </w:rPr>
            </w:pPr>
            <w:r>
              <w:rPr>
                <w:rFonts w:ascii="Arial" w:cs="Arial" w:eastAsia="Arial" w:hAnsi="Arial"/>
                <w:sz w:val="16"/>
                <w:szCs w:val="16"/>
                <w:color w:val="auto"/>
              </w:rPr>
              <w:t>Moog Inc.</w:t>
            </w:r>
          </w:p>
        </w:tc>
      </w:tr>
      <w:tr>
        <w:trPr>
          <w:trHeight w:val="243"/>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2940" w:type="dxa"/>
            <w:vAlign w:val="bottom"/>
          </w:tcPr>
          <w:p>
            <w:pPr>
              <w:ind w:left="60"/>
              <w:spacing w:after="0"/>
              <w:rPr>
                <w:sz w:val="20"/>
                <w:szCs w:val="20"/>
                <w:color w:val="auto"/>
              </w:rPr>
            </w:pPr>
            <w:r>
              <w:rPr>
                <w:rFonts w:ascii="Arial" w:cs="Arial" w:eastAsia="Arial" w:hAnsi="Arial"/>
                <w:sz w:val="16"/>
                <w:szCs w:val="16"/>
                <w:color w:val="auto"/>
              </w:rPr>
              <w:t>B/E Aerospace Inc.</w:t>
            </w:r>
          </w:p>
        </w:tc>
        <w:tc>
          <w:tcPr>
            <w:tcW w:w="380" w:type="dxa"/>
            <w:vAlign w:val="bottom"/>
          </w:tcPr>
          <w:p>
            <w:pPr>
              <w:ind w:left="280"/>
              <w:spacing w:after="0"/>
              <w:rPr>
                <w:sz w:val="20"/>
                <w:szCs w:val="20"/>
                <w:color w:val="auto"/>
              </w:rPr>
            </w:pPr>
            <w:r>
              <w:rPr>
                <w:rFonts w:ascii="Arial" w:cs="Arial" w:eastAsia="Arial" w:hAnsi="Arial"/>
                <w:sz w:val="16"/>
                <w:szCs w:val="16"/>
                <w:color w:val="auto"/>
              </w:rPr>
              <w:t>•</w:t>
            </w:r>
          </w:p>
        </w:tc>
        <w:tc>
          <w:tcPr>
            <w:tcW w:w="3080" w:type="dxa"/>
            <w:vAlign w:val="bottom"/>
          </w:tcPr>
          <w:p>
            <w:pPr>
              <w:ind w:left="220"/>
              <w:spacing w:after="0"/>
              <w:rPr>
                <w:sz w:val="20"/>
                <w:szCs w:val="20"/>
                <w:color w:val="auto"/>
              </w:rPr>
            </w:pPr>
            <w:r>
              <w:rPr>
                <w:rFonts w:ascii="Arial" w:cs="Arial" w:eastAsia="Arial" w:hAnsi="Arial"/>
                <w:sz w:val="16"/>
                <w:szCs w:val="16"/>
                <w:color w:val="auto"/>
              </w:rPr>
              <w:t>Harris Corporation</w:t>
            </w:r>
          </w:p>
        </w:tc>
        <w:tc>
          <w:tcPr>
            <w:tcW w:w="460" w:type="dxa"/>
            <w:vAlign w:val="bottom"/>
          </w:tcPr>
          <w:p>
            <w:pPr>
              <w:ind w:left="340"/>
              <w:spacing w:after="0"/>
              <w:rPr>
                <w:sz w:val="20"/>
                <w:szCs w:val="20"/>
                <w:color w:val="auto"/>
              </w:rPr>
            </w:pPr>
            <w:r>
              <w:rPr>
                <w:rFonts w:ascii="Arial" w:cs="Arial" w:eastAsia="Arial" w:hAnsi="Arial"/>
                <w:sz w:val="16"/>
                <w:szCs w:val="16"/>
                <w:color w:val="auto"/>
              </w:rPr>
              <w:t>•</w:t>
            </w:r>
          </w:p>
        </w:tc>
        <w:tc>
          <w:tcPr>
            <w:tcW w:w="2800" w:type="dxa"/>
            <w:vAlign w:val="bottom"/>
          </w:tcPr>
          <w:p>
            <w:pPr>
              <w:ind w:left="40"/>
              <w:spacing w:after="0"/>
              <w:rPr>
                <w:sz w:val="20"/>
                <w:szCs w:val="20"/>
                <w:color w:val="auto"/>
              </w:rPr>
            </w:pPr>
            <w:r>
              <w:rPr>
                <w:rFonts w:ascii="Arial" w:cs="Arial" w:eastAsia="Arial" w:hAnsi="Arial"/>
                <w:sz w:val="16"/>
                <w:szCs w:val="16"/>
                <w:color w:val="auto"/>
              </w:rPr>
              <w:t>Orbital ATK, Inc.</w:t>
            </w:r>
          </w:p>
        </w:tc>
      </w:tr>
      <w:tr>
        <w:trPr>
          <w:trHeight w:val="243"/>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2940" w:type="dxa"/>
            <w:vAlign w:val="bottom"/>
          </w:tcPr>
          <w:p>
            <w:pPr>
              <w:ind w:left="220"/>
              <w:spacing w:after="0"/>
              <w:rPr>
                <w:sz w:val="20"/>
                <w:szCs w:val="20"/>
                <w:color w:val="auto"/>
              </w:rPr>
            </w:pPr>
            <w:r>
              <w:rPr>
                <w:rFonts w:ascii="Arial" w:cs="Arial" w:eastAsia="Arial" w:hAnsi="Arial"/>
                <w:sz w:val="16"/>
                <w:szCs w:val="16"/>
                <w:color w:val="auto"/>
              </w:rPr>
              <w:t>Cubic Corporation</w:t>
            </w:r>
          </w:p>
        </w:tc>
        <w:tc>
          <w:tcPr>
            <w:tcW w:w="380" w:type="dxa"/>
            <w:vAlign w:val="bottom"/>
          </w:tcPr>
          <w:p>
            <w:pPr>
              <w:ind w:left="280"/>
              <w:spacing w:after="0"/>
              <w:rPr>
                <w:sz w:val="20"/>
                <w:szCs w:val="20"/>
                <w:color w:val="auto"/>
              </w:rPr>
            </w:pPr>
            <w:r>
              <w:rPr>
                <w:rFonts w:ascii="Arial" w:cs="Arial" w:eastAsia="Arial" w:hAnsi="Arial"/>
                <w:sz w:val="16"/>
                <w:szCs w:val="16"/>
                <w:color w:val="auto"/>
              </w:rPr>
              <w:t>•</w:t>
            </w:r>
          </w:p>
        </w:tc>
        <w:tc>
          <w:tcPr>
            <w:tcW w:w="3080" w:type="dxa"/>
            <w:vAlign w:val="bottom"/>
          </w:tcPr>
          <w:p>
            <w:pPr>
              <w:ind w:left="220"/>
              <w:spacing w:after="0"/>
              <w:rPr>
                <w:sz w:val="20"/>
                <w:szCs w:val="20"/>
                <w:color w:val="auto"/>
              </w:rPr>
            </w:pPr>
            <w:r>
              <w:rPr>
                <w:rFonts w:ascii="Arial" w:cs="Arial" w:eastAsia="Arial" w:hAnsi="Arial"/>
                <w:sz w:val="16"/>
                <w:szCs w:val="16"/>
                <w:color w:val="auto"/>
              </w:rPr>
              <w:t>HEICO Corp.</w:t>
            </w:r>
          </w:p>
        </w:tc>
        <w:tc>
          <w:tcPr>
            <w:tcW w:w="460" w:type="dxa"/>
            <w:vAlign w:val="bottom"/>
          </w:tcPr>
          <w:p>
            <w:pPr>
              <w:ind w:left="340"/>
              <w:spacing w:after="0"/>
              <w:rPr>
                <w:sz w:val="20"/>
                <w:szCs w:val="20"/>
                <w:color w:val="auto"/>
              </w:rPr>
            </w:pPr>
            <w:r>
              <w:rPr>
                <w:rFonts w:ascii="Arial" w:cs="Arial" w:eastAsia="Arial" w:hAnsi="Arial"/>
                <w:sz w:val="16"/>
                <w:szCs w:val="16"/>
                <w:color w:val="auto"/>
              </w:rPr>
              <w:t>•</w:t>
            </w:r>
          </w:p>
        </w:tc>
        <w:tc>
          <w:tcPr>
            <w:tcW w:w="2800" w:type="dxa"/>
            <w:vAlign w:val="bottom"/>
          </w:tcPr>
          <w:p>
            <w:pPr>
              <w:ind w:left="200"/>
              <w:spacing w:after="0"/>
              <w:rPr>
                <w:sz w:val="20"/>
                <w:szCs w:val="20"/>
                <w:color w:val="auto"/>
              </w:rPr>
            </w:pPr>
            <w:r>
              <w:rPr>
                <w:rFonts w:ascii="Arial" w:cs="Arial" w:eastAsia="Arial" w:hAnsi="Arial"/>
                <w:sz w:val="16"/>
                <w:szCs w:val="16"/>
                <w:color w:val="auto"/>
                <w:w w:val="99"/>
              </w:rPr>
              <w:t>Teledyne Technologies Incorporated</w:t>
            </w:r>
          </w:p>
        </w:tc>
      </w:tr>
      <w:tr>
        <w:trPr>
          <w:trHeight w:val="243"/>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2940" w:type="dxa"/>
            <w:vAlign w:val="bottom"/>
          </w:tcPr>
          <w:p>
            <w:pPr>
              <w:ind w:left="220"/>
              <w:spacing w:after="0"/>
              <w:rPr>
                <w:sz w:val="20"/>
                <w:szCs w:val="20"/>
                <w:color w:val="auto"/>
              </w:rPr>
            </w:pPr>
            <w:r>
              <w:rPr>
                <w:rFonts w:ascii="Arial" w:cs="Arial" w:eastAsia="Arial" w:hAnsi="Arial"/>
                <w:sz w:val="16"/>
                <w:szCs w:val="16"/>
                <w:color w:val="auto"/>
              </w:rPr>
              <w:t>Curtiss-Wright Corporation</w:t>
            </w:r>
          </w:p>
        </w:tc>
        <w:tc>
          <w:tcPr>
            <w:tcW w:w="380" w:type="dxa"/>
            <w:vAlign w:val="bottom"/>
          </w:tcPr>
          <w:p>
            <w:pPr>
              <w:ind w:left="280"/>
              <w:spacing w:after="0"/>
              <w:rPr>
                <w:sz w:val="20"/>
                <w:szCs w:val="20"/>
                <w:color w:val="auto"/>
              </w:rPr>
            </w:pPr>
            <w:r>
              <w:rPr>
                <w:rFonts w:ascii="Arial" w:cs="Arial" w:eastAsia="Arial" w:hAnsi="Arial"/>
                <w:sz w:val="16"/>
                <w:szCs w:val="16"/>
                <w:color w:val="auto"/>
              </w:rPr>
              <w:t>•</w:t>
            </w:r>
          </w:p>
        </w:tc>
        <w:tc>
          <w:tcPr>
            <w:tcW w:w="3080" w:type="dxa"/>
            <w:vAlign w:val="bottom"/>
          </w:tcPr>
          <w:p>
            <w:pPr>
              <w:ind w:left="220"/>
              <w:spacing w:after="0"/>
              <w:rPr>
                <w:sz w:val="20"/>
                <w:szCs w:val="20"/>
                <w:color w:val="auto"/>
              </w:rPr>
            </w:pPr>
            <w:r>
              <w:rPr>
                <w:rFonts w:ascii="Arial" w:cs="Arial" w:eastAsia="Arial" w:hAnsi="Arial"/>
                <w:sz w:val="16"/>
                <w:szCs w:val="16"/>
                <w:color w:val="auto"/>
              </w:rPr>
              <w:t>Hexcel Corporation</w:t>
            </w:r>
          </w:p>
        </w:tc>
        <w:tc>
          <w:tcPr>
            <w:tcW w:w="460" w:type="dxa"/>
            <w:vAlign w:val="bottom"/>
          </w:tcPr>
          <w:p>
            <w:pPr>
              <w:ind w:left="340"/>
              <w:spacing w:after="0"/>
              <w:rPr>
                <w:sz w:val="20"/>
                <w:szCs w:val="20"/>
                <w:color w:val="auto"/>
              </w:rPr>
            </w:pPr>
            <w:r>
              <w:rPr>
                <w:rFonts w:ascii="Arial" w:cs="Arial" w:eastAsia="Arial" w:hAnsi="Arial"/>
                <w:sz w:val="16"/>
                <w:szCs w:val="16"/>
                <w:color w:val="auto"/>
              </w:rPr>
              <w:t>•</w:t>
            </w:r>
          </w:p>
        </w:tc>
        <w:tc>
          <w:tcPr>
            <w:tcW w:w="2800" w:type="dxa"/>
            <w:vAlign w:val="bottom"/>
          </w:tcPr>
          <w:p>
            <w:pPr>
              <w:ind w:left="200"/>
              <w:spacing w:after="0"/>
              <w:rPr>
                <w:sz w:val="20"/>
                <w:szCs w:val="20"/>
                <w:color w:val="auto"/>
              </w:rPr>
            </w:pPr>
            <w:r>
              <w:rPr>
                <w:rFonts w:ascii="Arial" w:cs="Arial" w:eastAsia="Arial" w:hAnsi="Arial"/>
                <w:sz w:val="16"/>
                <w:szCs w:val="16"/>
                <w:color w:val="auto"/>
              </w:rPr>
              <w:t>TransDigm Group Incorporated</w:t>
            </w:r>
          </w:p>
        </w:tc>
      </w:tr>
    </w:tbl>
    <w:p>
      <w:pPr>
        <w:spacing w:after="0" w:line="159"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Deductibility of Executive Compensation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accordance with Section 162(m) of the Code and the recent passage of H.R. 1, the Tax Cuts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Jobs Act, on December 22, 2017, the deductibility for federal corporate income tax purposes of compensation paid to certain of our individual executive officers in excess of $1 million in any year is now generally restricted. The Compensation Committee considers the impact of Section 162(m) in establishing the structure, performance targets and timing of annual incentive plan and performance restricted stock unit awards as well as the proportion of cash compensation attributable to base salary and performance based compensation. Although the Compensation Committee evaluates the impact of Section 162(m), it believes that the tax deduction is only one of several relevant considerations in setting compensation. Accordingly, where it is deemed necessary and in the best interests of the Company to attract and retain the best possible executive talent to compete successfully and to motivate such executives to achieve the goals inherent in our business strategy, the Compensation Committee may approve compensation to executive officers which exceeds the deductibility limits or otherwise may not qualify for deductibility. In this regard, certain portions of compensation paid to the Named Executives may not be deductible for federal income tax purposes under Section 162(m)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720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COMMITTEE REPORT</w:t>
      </w:r>
    </w:p>
    <w:p>
      <w:pPr>
        <w:spacing w:after="0" w:line="183"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i w:val="1"/>
          <w:iCs w:val="1"/>
          <w:color w:val="auto"/>
        </w:rPr>
        <w:t>The following report of the Compensation Committee shall not be deemed to be “soliciting material” or to otherwise be considered “filed” with the SEC or be subject to Regulation 14A or 14C (other than as provided in Item 407 of Regulation S-K) or to the liabilities of Section 18 of the Securities Exchange Act of 1934, as amended (the “Exchange Act”), nor shall such information be incorporated by reference into any future filing under the Securities Act of 1933, as amended, or the Exchange Act, except to the extent that BWXT specifically incorporates it by reference into such filing.</w:t>
      </w:r>
    </w:p>
    <w:p>
      <w:pPr>
        <w:spacing w:after="0" w:line="67"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We have reviewed and discussed the Compensation Discussion and Analysis with BWXT’s management and, based on our review and discussions, we recommended to the Board that the Compensation Discussion and Analysis be included in this proxy statement.</w:t>
      </w:r>
    </w:p>
    <w:p>
      <w:pPr>
        <w:spacing w:after="0" w:line="201"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THE COMPENSATION COMMITTEE</w:t>
      </w:r>
    </w:p>
    <w:p>
      <w:pPr>
        <w:spacing w:after="0" w:line="166"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Charles W. Pryor, Jr., Chairman</w:t>
      </w:r>
    </w:p>
    <w:p>
      <w:pPr>
        <w:spacing w:after="0" w:line="6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Robb A. LeMasters</w:t>
      </w:r>
    </w:p>
    <w:p>
      <w:pPr>
        <w:spacing w:after="0" w:line="6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Robert L. Nardelli</w:t>
      </w:r>
    </w:p>
    <w:p>
      <w:pPr>
        <w:spacing w:after="0" w:line="6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Barbara A. Niland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2720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sz w:val="1"/>
          <w:szCs w:val="1"/>
          <w:color w:val="auto"/>
        </w:rPr>
        <w:drawing>
          <wp:inline distT="0" distB="0" distL="0" distR="0">
            <wp:extent cx="488950" cy="20574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88950" cy="205740"/>
                    </a:xfrm>
                    <a:prstGeom prst="rect">
                      <a:avLst/>
                    </a:prstGeom>
                    <a:noFill/>
                    <a:ln>
                      <a:noFill/>
                    </a:ln>
                  </pic:spPr>
                </pic:pic>
              </a:graphicData>
            </a:graphic>
          </wp:inline>
        </w:drawing>
      </w:r>
      <w:r>
        <w:rPr>
          <w:rFonts w:ascii="Arial" w:cs="Arial" w:eastAsia="Arial" w:hAnsi="Arial"/>
          <w:sz w:val="18"/>
          <w:szCs w:val="18"/>
          <w:color w:val="auto"/>
        </w:rPr>
        <w:t xml:space="preserve"> 2018 PROXY STATEMENT </w:t>
      </w:r>
      <w:r>
        <w:rPr>
          <w:rFonts w:ascii="Arial" w:cs="Arial" w:eastAsia="Arial" w:hAnsi="Arial"/>
          <w:sz w:val="18"/>
          <w:szCs w:val="18"/>
          <w:b w:val="1"/>
          <w:bCs w:val="1"/>
          <w:color w:val="2C2C2C"/>
        </w:rPr>
        <w:t>39</w:t>
      </w:r>
    </w:p>
    <w:p>
      <w:pPr>
        <w:sectPr>
          <w:pgSz w:w="11900" w:h="16838" w:orient="portrait"/>
          <w:cols w:equalWidth="0" w:num="1">
            <w:col w:w="11420"/>
          </w:cols>
          <w:pgMar w:left="240" w:top="125" w:right="239" w:bottom="1440" w:gutter="0" w:footer="0" w:header="0"/>
        </w:sectPr>
      </w:pPr>
    </w:p>
    <w:bookmarkStart w:id="48" w:name="page49"/>
    <w:bookmarkEnd w:id="48"/>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7240"/>
        <w:spacing w:after="0"/>
        <w:rPr>
          <w:sz w:val="20"/>
          <w:szCs w:val="20"/>
          <w:color w:val="auto"/>
        </w:rPr>
      </w:pPr>
      <w:r>
        <w:rPr>
          <w:rFonts w:ascii="Arial" w:cs="Arial" w:eastAsia="Arial" w:hAnsi="Arial"/>
          <w:sz w:val="14"/>
          <w:szCs w:val="14"/>
          <w:color w:val="auto"/>
        </w:rPr>
        <w:t>COMPENSATION OF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OF EXECUTIVE OFFICERS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prior compensation of our Named Executives for the time periods in which each was a Named Executive.</w:t>
      </w:r>
    </w:p>
    <w:p>
      <w:pPr>
        <w:spacing w:after="0" w:line="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COMPENSATION TABLE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shd w:val="clear" w:color="auto" w:fill="525252"/>
          </w:tcPr>
          <w:p>
            <w:pPr>
              <w:spacing w:after="0"/>
              <w:rPr>
                <w:sz w:val="14"/>
                <w:szCs w:val="14"/>
                <w:color w:val="auto"/>
              </w:rPr>
            </w:pPr>
          </w:p>
        </w:tc>
        <w:tc>
          <w:tcPr>
            <w:tcW w:w="580" w:type="dxa"/>
            <w:vAlign w:val="bottom"/>
            <w:shd w:val="clear" w:color="auto" w:fill="525252"/>
          </w:tcPr>
          <w:p>
            <w:pPr>
              <w:spacing w:after="0"/>
              <w:rPr>
                <w:sz w:val="14"/>
                <w:szCs w:val="14"/>
                <w:color w:val="auto"/>
              </w:rPr>
            </w:pPr>
          </w:p>
        </w:tc>
        <w:tc>
          <w:tcPr>
            <w:tcW w:w="160" w:type="dxa"/>
            <w:vAlign w:val="bottom"/>
            <w:shd w:val="clear" w:color="auto" w:fill="525252"/>
          </w:tcPr>
          <w:p>
            <w:pPr>
              <w:spacing w:after="0"/>
              <w:rPr>
                <w:sz w:val="14"/>
                <w:szCs w:val="14"/>
                <w:color w:val="auto"/>
              </w:rPr>
            </w:pPr>
          </w:p>
        </w:tc>
        <w:tc>
          <w:tcPr>
            <w:tcW w:w="660" w:type="dxa"/>
            <w:vAlign w:val="bottom"/>
            <w:shd w:val="clear" w:color="auto" w:fill="525252"/>
          </w:tcPr>
          <w:p>
            <w:pPr>
              <w:spacing w:after="0"/>
              <w:rPr>
                <w:sz w:val="14"/>
                <w:szCs w:val="14"/>
                <w:color w:val="auto"/>
              </w:rPr>
            </w:pPr>
          </w:p>
        </w:tc>
        <w:tc>
          <w:tcPr>
            <w:tcW w:w="80" w:type="dxa"/>
            <w:vAlign w:val="bottom"/>
            <w:shd w:val="clear" w:color="auto" w:fill="525252"/>
          </w:tcPr>
          <w:p>
            <w:pPr>
              <w:spacing w:after="0"/>
              <w:rPr>
                <w:sz w:val="14"/>
                <w:szCs w:val="14"/>
                <w:color w:val="auto"/>
              </w:rPr>
            </w:pPr>
          </w:p>
        </w:tc>
        <w:tc>
          <w:tcPr>
            <w:tcW w:w="920" w:type="dxa"/>
            <w:vAlign w:val="bottom"/>
            <w:shd w:val="clear" w:color="auto" w:fill="525252"/>
          </w:tcPr>
          <w:p>
            <w:pPr>
              <w:spacing w:after="0"/>
              <w:rPr>
                <w:sz w:val="14"/>
                <w:szCs w:val="14"/>
                <w:color w:val="auto"/>
              </w:rPr>
            </w:pPr>
          </w:p>
        </w:tc>
        <w:tc>
          <w:tcPr>
            <w:tcW w:w="280" w:type="dxa"/>
            <w:vAlign w:val="bottom"/>
            <w:shd w:val="clear" w:color="auto" w:fill="525252"/>
          </w:tcPr>
          <w:p>
            <w:pPr>
              <w:spacing w:after="0"/>
              <w:rPr>
                <w:sz w:val="14"/>
                <w:szCs w:val="14"/>
                <w:color w:val="auto"/>
              </w:rPr>
            </w:pPr>
          </w:p>
        </w:tc>
        <w:tc>
          <w:tcPr>
            <w:tcW w:w="1000" w:type="dxa"/>
            <w:vAlign w:val="bottom"/>
            <w:shd w:val="clear" w:color="auto" w:fill="525252"/>
          </w:tcPr>
          <w:p>
            <w:pPr>
              <w:spacing w:after="0"/>
              <w:rPr>
                <w:sz w:val="14"/>
                <w:szCs w:val="14"/>
                <w:color w:val="auto"/>
              </w:rPr>
            </w:pPr>
          </w:p>
        </w:tc>
        <w:tc>
          <w:tcPr>
            <w:tcW w:w="180" w:type="dxa"/>
            <w:vAlign w:val="bottom"/>
            <w:shd w:val="clear" w:color="auto" w:fill="525252"/>
          </w:tcPr>
          <w:p>
            <w:pPr>
              <w:spacing w:after="0"/>
              <w:rPr>
                <w:sz w:val="14"/>
                <w:szCs w:val="14"/>
                <w:color w:val="auto"/>
              </w:rPr>
            </w:pPr>
          </w:p>
        </w:tc>
        <w:tc>
          <w:tcPr>
            <w:tcW w:w="720" w:type="dxa"/>
            <w:vAlign w:val="bottom"/>
            <w:shd w:val="clear" w:color="auto" w:fill="525252"/>
          </w:tcPr>
          <w:p>
            <w:pPr>
              <w:spacing w:after="0"/>
              <w:rPr>
                <w:sz w:val="14"/>
                <w:szCs w:val="14"/>
                <w:color w:val="auto"/>
              </w:rPr>
            </w:pPr>
          </w:p>
        </w:tc>
        <w:tc>
          <w:tcPr>
            <w:tcW w:w="180" w:type="dxa"/>
            <w:vAlign w:val="bottom"/>
            <w:shd w:val="clear" w:color="auto" w:fill="525252"/>
          </w:tcPr>
          <w:p>
            <w:pPr>
              <w:spacing w:after="0"/>
              <w:rPr>
                <w:sz w:val="14"/>
                <w:szCs w:val="14"/>
                <w:color w:val="auto"/>
              </w:rPr>
            </w:pPr>
          </w:p>
        </w:tc>
        <w:tc>
          <w:tcPr>
            <w:tcW w:w="1060" w:type="dxa"/>
            <w:vAlign w:val="bottom"/>
            <w:shd w:val="clear" w:color="auto" w:fill="525252"/>
          </w:tcPr>
          <w:p>
            <w:pPr>
              <w:spacing w:after="0"/>
              <w:rPr>
                <w:sz w:val="14"/>
                <w:szCs w:val="14"/>
                <w:color w:val="auto"/>
              </w:rPr>
            </w:pPr>
          </w:p>
        </w:tc>
        <w:tc>
          <w:tcPr>
            <w:tcW w:w="160" w:type="dxa"/>
            <w:vAlign w:val="bottom"/>
            <w:shd w:val="clear" w:color="auto" w:fill="525252"/>
          </w:tcPr>
          <w:p>
            <w:pPr>
              <w:spacing w:after="0"/>
              <w:rPr>
                <w:sz w:val="14"/>
                <w:szCs w:val="14"/>
                <w:color w:val="auto"/>
              </w:rPr>
            </w:pPr>
          </w:p>
        </w:tc>
        <w:tc>
          <w:tcPr>
            <w:tcW w:w="1160" w:type="dxa"/>
            <w:vAlign w:val="bottom"/>
            <w:shd w:val="clear" w:color="auto" w:fill="525252"/>
          </w:tcPr>
          <w:p>
            <w:pPr>
              <w:jc w:val="center"/>
              <w:ind w:right="188"/>
              <w:spacing w:after="0"/>
              <w:rPr>
                <w:sz w:val="20"/>
                <w:szCs w:val="20"/>
                <w:color w:val="auto"/>
              </w:rPr>
            </w:pPr>
            <w:r>
              <w:rPr>
                <w:rFonts w:ascii="Arial" w:cs="Arial" w:eastAsia="Arial" w:hAnsi="Arial"/>
                <w:sz w:val="14"/>
                <w:szCs w:val="14"/>
                <w:b w:val="1"/>
                <w:bCs w:val="1"/>
                <w:color w:val="FFFFFF"/>
                <w:w w:val="91"/>
              </w:rPr>
              <w:t>Change in</w:t>
            </w:r>
          </w:p>
        </w:tc>
        <w:tc>
          <w:tcPr>
            <w:tcW w:w="1160" w:type="dxa"/>
            <w:vAlign w:val="bottom"/>
            <w:shd w:val="clear" w:color="auto" w:fill="525252"/>
          </w:tcPr>
          <w:p>
            <w:pPr>
              <w:spacing w:after="0"/>
              <w:rPr>
                <w:sz w:val="14"/>
                <w:szCs w:val="14"/>
                <w:color w:val="auto"/>
              </w:rPr>
            </w:pPr>
          </w:p>
        </w:tc>
        <w:tc>
          <w:tcPr>
            <w:tcW w:w="320" w:type="dxa"/>
            <w:vAlign w:val="bottom"/>
            <w:shd w:val="clear" w:color="auto" w:fill="525252"/>
          </w:tcPr>
          <w:p>
            <w:pPr>
              <w:spacing w:after="0"/>
              <w:rPr>
                <w:sz w:val="14"/>
                <w:szCs w:val="14"/>
                <w:color w:val="auto"/>
              </w:rPr>
            </w:pPr>
          </w:p>
        </w:tc>
        <w:tc>
          <w:tcPr>
            <w:tcW w:w="960" w:type="dxa"/>
            <w:vAlign w:val="bottom"/>
            <w:shd w:val="clear" w:color="auto" w:fill="525252"/>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40" w:type="dxa"/>
            <w:vAlign w:val="bottom"/>
            <w:shd w:val="clear" w:color="auto" w:fill="525252"/>
          </w:tcPr>
          <w:p>
            <w:pPr>
              <w:spacing w:after="0"/>
              <w:rPr>
                <w:sz w:val="12"/>
                <w:szCs w:val="12"/>
                <w:color w:val="auto"/>
              </w:rPr>
            </w:pPr>
          </w:p>
        </w:tc>
        <w:tc>
          <w:tcPr>
            <w:tcW w:w="580" w:type="dxa"/>
            <w:vAlign w:val="bottom"/>
            <w:shd w:val="clear" w:color="auto" w:fill="525252"/>
          </w:tcPr>
          <w:p>
            <w:pPr>
              <w:spacing w:after="0"/>
              <w:rPr>
                <w:sz w:val="12"/>
                <w:szCs w:val="12"/>
                <w:color w:val="auto"/>
              </w:rPr>
            </w:pPr>
          </w:p>
        </w:tc>
        <w:tc>
          <w:tcPr>
            <w:tcW w:w="160" w:type="dxa"/>
            <w:vAlign w:val="bottom"/>
            <w:shd w:val="clear" w:color="auto" w:fill="525252"/>
          </w:tcPr>
          <w:p>
            <w:pPr>
              <w:spacing w:after="0"/>
              <w:rPr>
                <w:sz w:val="12"/>
                <w:szCs w:val="12"/>
                <w:color w:val="auto"/>
              </w:rPr>
            </w:pPr>
          </w:p>
        </w:tc>
        <w:tc>
          <w:tcPr>
            <w:tcW w:w="660" w:type="dxa"/>
            <w:vAlign w:val="bottom"/>
            <w:shd w:val="clear" w:color="auto" w:fill="525252"/>
          </w:tcPr>
          <w:p>
            <w:pPr>
              <w:spacing w:after="0"/>
              <w:rPr>
                <w:sz w:val="12"/>
                <w:szCs w:val="12"/>
                <w:color w:val="auto"/>
              </w:rPr>
            </w:pPr>
          </w:p>
        </w:tc>
        <w:tc>
          <w:tcPr>
            <w:tcW w:w="80" w:type="dxa"/>
            <w:vAlign w:val="bottom"/>
            <w:shd w:val="clear" w:color="auto" w:fill="525252"/>
          </w:tcPr>
          <w:p>
            <w:pPr>
              <w:spacing w:after="0"/>
              <w:rPr>
                <w:sz w:val="12"/>
                <w:szCs w:val="12"/>
                <w:color w:val="auto"/>
              </w:rPr>
            </w:pPr>
          </w:p>
        </w:tc>
        <w:tc>
          <w:tcPr>
            <w:tcW w:w="920" w:type="dxa"/>
            <w:vAlign w:val="bottom"/>
            <w:shd w:val="clear" w:color="auto" w:fill="525252"/>
          </w:tcPr>
          <w:p>
            <w:pPr>
              <w:spacing w:after="0"/>
              <w:rPr>
                <w:sz w:val="12"/>
                <w:szCs w:val="12"/>
                <w:color w:val="auto"/>
              </w:rPr>
            </w:pPr>
          </w:p>
        </w:tc>
        <w:tc>
          <w:tcPr>
            <w:tcW w:w="280" w:type="dxa"/>
            <w:vAlign w:val="bottom"/>
            <w:shd w:val="clear" w:color="auto" w:fill="525252"/>
          </w:tcPr>
          <w:p>
            <w:pPr>
              <w:spacing w:after="0"/>
              <w:rPr>
                <w:sz w:val="12"/>
                <w:szCs w:val="12"/>
                <w:color w:val="auto"/>
              </w:rPr>
            </w:pPr>
          </w:p>
        </w:tc>
        <w:tc>
          <w:tcPr>
            <w:tcW w:w="1000" w:type="dxa"/>
            <w:vAlign w:val="bottom"/>
            <w:shd w:val="clear" w:color="auto" w:fill="525252"/>
          </w:tcPr>
          <w:p>
            <w:pPr>
              <w:spacing w:after="0"/>
              <w:rPr>
                <w:sz w:val="12"/>
                <w:szCs w:val="12"/>
                <w:color w:val="auto"/>
              </w:rPr>
            </w:pPr>
          </w:p>
        </w:tc>
        <w:tc>
          <w:tcPr>
            <w:tcW w:w="180" w:type="dxa"/>
            <w:vAlign w:val="bottom"/>
            <w:shd w:val="clear" w:color="auto" w:fill="525252"/>
          </w:tcPr>
          <w:p>
            <w:pPr>
              <w:spacing w:after="0"/>
              <w:rPr>
                <w:sz w:val="12"/>
                <w:szCs w:val="12"/>
                <w:color w:val="auto"/>
              </w:rPr>
            </w:pPr>
          </w:p>
        </w:tc>
        <w:tc>
          <w:tcPr>
            <w:tcW w:w="720" w:type="dxa"/>
            <w:vAlign w:val="bottom"/>
            <w:shd w:val="clear" w:color="auto" w:fill="525252"/>
          </w:tcPr>
          <w:p>
            <w:pPr>
              <w:spacing w:after="0"/>
              <w:rPr>
                <w:sz w:val="12"/>
                <w:szCs w:val="12"/>
                <w:color w:val="auto"/>
              </w:rPr>
            </w:pPr>
          </w:p>
        </w:tc>
        <w:tc>
          <w:tcPr>
            <w:tcW w:w="180" w:type="dxa"/>
            <w:vAlign w:val="bottom"/>
            <w:shd w:val="clear" w:color="auto" w:fill="525252"/>
          </w:tcPr>
          <w:p>
            <w:pPr>
              <w:spacing w:after="0"/>
              <w:rPr>
                <w:sz w:val="12"/>
                <w:szCs w:val="12"/>
                <w:color w:val="auto"/>
              </w:rPr>
            </w:pPr>
          </w:p>
        </w:tc>
        <w:tc>
          <w:tcPr>
            <w:tcW w:w="1060" w:type="dxa"/>
            <w:vAlign w:val="bottom"/>
            <w:shd w:val="clear" w:color="auto" w:fill="525252"/>
          </w:tcPr>
          <w:p>
            <w:pPr>
              <w:spacing w:after="0"/>
              <w:rPr>
                <w:sz w:val="12"/>
                <w:szCs w:val="12"/>
                <w:color w:val="auto"/>
              </w:rPr>
            </w:pPr>
          </w:p>
        </w:tc>
        <w:tc>
          <w:tcPr>
            <w:tcW w:w="160" w:type="dxa"/>
            <w:vAlign w:val="bottom"/>
            <w:shd w:val="clear" w:color="auto" w:fill="525252"/>
          </w:tcPr>
          <w:p>
            <w:pPr>
              <w:spacing w:after="0"/>
              <w:rPr>
                <w:sz w:val="12"/>
                <w:szCs w:val="12"/>
                <w:color w:val="auto"/>
              </w:rPr>
            </w:pPr>
          </w:p>
        </w:tc>
        <w:tc>
          <w:tcPr>
            <w:tcW w:w="1160" w:type="dxa"/>
            <w:vAlign w:val="bottom"/>
            <w:shd w:val="clear" w:color="auto" w:fill="525252"/>
          </w:tcPr>
          <w:p>
            <w:pPr>
              <w:jc w:val="center"/>
              <w:ind w:right="208"/>
              <w:spacing w:after="0" w:line="149" w:lineRule="exact"/>
              <w:rPr>
                <w:sz w:val="20"/>
                <w:szCs w:val="20"/>
                <w:color w:val="auto"/>
              </w:rPr>
            </w:pPr>
            <w:r>
              <w:rPr>
                <w:rFonts w:ascii="Arial" w:cs="Arial" w:eastAsia="Arial" w:hAnsi="Arial"/>
                <w:sz w:val="14"/>
                <w:szCs w:val="14"/>
                <w:b w:val="1"/>
                <w:bCs w:val="1"/>
                <w:color w:val="FFFFFF"/>
                <w:w w:val="88"/>
              </w:rPr>
              <w:t>Pension</w:t>
            </w:r>
          </w:p>
        </w:tc>
        <w:tc>
          <w:tcPr>
            <w:tcW w:w="1160" w:type="dxa"/>
            <w:vAlign w:val="bottom"/>
            <w:shd w:val="clear" w:color="auto" w:fill="525252"/>
          </w:tcPr>
          <w:p>
            <w:pPr>
              <w:spacing w:after="0"/>
              <w:rPr>
                <w:sz w:val="12"/>
                <w:szCs w:val="12"/>
                <w:color w:val="auto"/>
              </w:rPr>
            </w:pPr>
          </w:p>
        </w:tc>
        <w:tc>
          <w:tcPr>
            <w:tcW w:w="320" w:type="dxa"/>
            <w:vAlign w:val="bottom"/>
            <w:shd w:val="clear" w:color="auto" w:fill="525252"/>
          </w:tcPr>
          <w:p>
            <w:pPr>
              <w:spacing w:after="0"/>
              <w:rPr>
                <w:sz w:val="12"/>
                <w:szCs w:val="12"/>
                <w:color w:val="auto"/>
              </w:rPr>
            </w:pPr>
          </w:p>
        </w:tc>
        <w:tc>
          <w:tcPr>
            <w:tcW w:w="960" w:type="dxa"/>
            <w:vAlign w:val="bottom"/>
            <w:shd w:val="clear" w:color="auto" w:fill="525252"/>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shd w:val="clear" w:color="auto" w:fill="525252"/>
          </w:tcPr>
          <w:p>
            <w:pPr>
              <w:spacing w:after="0"/>
              <w:rPr>
                <w:sz w:val="12"/>
                <w:szCs w:val="12"/>
                <w:color w:val="auto"/>
              </w:rPr>
            </w:pPr>
          </w:p>
        </w:tc>
        <w:tc>
          <w:tcPr>
            <w:tcW w:w="580" w:type="dxa"/>
            <w:vAlign w:val="bottom"/>
            <w:shd w:val="clear" w:color="auto" w:fill="525252"/>
          </w:tcPr>
          <w:p>
            <w:pPr>
              <w:spacing w:after="0"/>
              <w:rPr>
                <w:sz w:val="12"/>
                <w:szCs w:val="12"/>
                <w:color w:val="auto"/>
              </w:rPr>
            </w:pPr>
          </w:p>
        </w:tc>
        <w:tc>
          <w:tcPr>
            <w:tcW w:w="160" w:type="dxa"/>
            <w:vAlign w:val="bottom"/>
            <w:shd w:val="clear" w:color="auto" w:fill="525252"/>
          </w:tcPr>
          <w:p>
            <w:pPr>
              <w:spacing w:after="0"/>
              <w:rPr>
                <w:sz w:val="12"/>
                <w:szCs w:val="12"/>
                <w:color w:val="auto"/>
              </w:rPr>
            </w:pPr>
          </w:p>
        </w:tc>
        <w:tc>
          <w:tcPr>
            <w:tcW w:w="660" w:type="dxa"/>
            <w:vAlign w:val="bottom"/>
            <w:shd w:val="clear" w:color="auto" w:fill="525252"/>
          </w:tcPr>
          <w:p>
            <w:pPr>
              <w:spacing w:after="0"/>
              <w:rPr>
                <w:sz w:val="12"/>
                <w:szCs w:val="12"/>
                <w:color w:val="auto"/>
              </w:rPr>
            </w:pPr>
          </w:p>
        </w:tc>
        <w:tc>
          <w:tcPr>
            <w:tcW w:w="80" w:type="dxa"/>
            <w:vAlign w:val="bottom"/>
            <w:shd w:val="clear" w:color="auto" w:fill="525252"/>
          </w:tcPr>
          <w:p>
            <w:pPr>
              <w:spacing w:after="0"/>
              <w:rPr>
                <w:sz w:val="12"/>
                <w:szCs w:val="12"/>
                <w:color w:val="auto"/>
              </w:rPr>
            </w:pPr>
          </w:p>
        </w:tc>
        <w:tc>
          <w:tcPr>
            <w:tcW w:w="920" w:type="dxa"/>
            <w:vAlign w:val="bottom"/>
            <w:shd w:val="clear" w:color="auto" w:fill="525252"/>
          </w:tcPr>
          <w:p>
            <w:pPr>
              <w:spacing w:after="0"/>
              <w:rPr>
                <w:sz w:val="12"/>
                <w:szCs w:val="12"/>
                <w:color w:val="auto"/>
              </w:rPr>
            </w:pPr>
          </w:p>
        </w:tc>
        <w:tc>
          <w:tcPr>
            <w:tcW w:w="280" w:type="dxa"/>
            <w:vAlign w:val="bottom"/>
            <w:shd w:val="clear" w:color="auto" w:fill="525252"/>
          </w:tcPr>
          <w:p>
            <w:pPr>
              <w:spacing w:after="0"/>
              <w:rPr>
                <w:sz w:val="12"/>
                <w:szCs w:val="12"/>
                <w:color w:val="auto"/>
              </w:rPr>
            </w:pPr>
          </w:p>
        </w:tc>
        <w:tc>
          <w:tcPr>
            <w:tcW w:w="1000" w:type="dxa"/>
            <w:vAlign w:val="bottom"/>
            <w:shd w:val="clear" w:color="auto" w:fill="525252"/>
          </w:tcPr>
          <w:p>
            <w:pPr>
              <w:spacing w:after="0"/>
              <w:rPr>
                <w:sz w:val="12"/>
                <w:szCs w:val="12"/>
                <w:color w:val="auto"/>
              </w:rPr>
            </w:pPr>
          </w:p>
        </w:tc>
        <w:tc>
          <w:tcPr>
            <w:tcW w:w="180" w:type="dxa"/>
            <w:vAlign w:val="bottom"/>
            <w:shd w:val="clear" w:color="auto" w:fill="525252"/>
          </w:tcPr>
          <w:p>
            <w:pPr>
              <w:spacing w:after="0"/>
              <w:rPr>
                <w:sz w:val="12"/>
                <w:szCs w:val="12"/>
                <w:color w:val="auto"/>
              </w:rPr>
            </w:pPr>
          </w:p>
        </w:tc>
        <w:tc>
          <w:tcPr>
            <w:tcW w:w="720" w:type="dxa"/>
            <w:vAlign w:val="bottom"/>
            <w:shd w:val="clear" w:color="auto" w:fill="525252"/>
          </w:tcPr>
          <w:p>
            <w:pPr>
              <w:spacing w:after="0"/>
              <w:rPr>
                <w:sz w:val="12"/>
                <w:szCs w:val="12"/>
                <w:color w:val="auto"/>
              </w:rPr>
            </w:pPr>
          </w:p>
        </w:tc>
        <w:tc>
          <w:tcPr>
            <w:tcW w:w="180" w:type="dxa"/>
            <w:vAlign w:val="bottom"/>
            <w:shd w:val="clear" w:color="auto" w:fill="525252"/>
          </w:tcPr>
          <w:p>
            <w:pPr>
              <w:spacing w:after="0"/>
              <w:rPr>
                <w:sz w:val="12"/>
                <w:szCs w:val="12"/>
                <w:color w:val="auto"/>
              </w:rPr>
            </w:pPr>
          </w:p>
        </w:tc>
        <w:tc>
          <w:tcPr>
            <w:tcW w:w="1060" w:type="dxa"/>
            <w:vAlign w:val="bottom"/>
            <w:shd w:val="clear" w:color="auto" w:fill="525252"/>
          </w:tcPr>
          <w:p>
            <w:pPr>
              <w:spacing w:after="0"/>
              <w:rPr>
                <w:sz w:val="12"/>
                <w:szCs w:val="12"/>
                <w:color w:val="auto"/>
              </w:rPr>
            </w:pPr>
          </w:p>
        </w:tc>
        <w:tc>
          <w:tcPr>
            <w:tcW w:w="160" w:type="dxa"/>
            <w:vAlign w:val="bottom"/>
            <w:shd w:val="clear" w:color="auto" w:fill="525252"/>
          </w:tcPr>
          <w:p>
            <w:pPr>
              <w:spacing w:after="0"/>
              <w:rPr>
                <w:sz w:val="12"/>
                <w:szCs w:val="12"/>
                <w:color w:val="auto"/>
              </w:rPr>
            </w:pPr>
          </w:p>
        </w:tc>
        <w:tc>
          <w:tcPr>
            <w:tcW w:w="1160" w:type="dxa"/>
            <w:vAlign w:val="bottom"/>
            <w:shd w:val="clear" w:color="auto" w:fill="525252"/>
          </w:tcPr>
          <w:p>
            <w:pPr>
              <w:jc w:val="center"/>
              <w:ind w:right="188"/>
              <w:spacing w:after="0" w:line="149" w:lineRule="exact"/>
              <w:rPr>
                <w:sz w:val="20"/>
                <w:szCs w:val="20"/>
                <w:color w:val="auto"/>
              </w:rPr>
            </w:pPr>
            <w:r>
              <w:rPr>
                <w:rFonts w:ascii="Arial" w:cs="Arial" w:eastAsia="Arial" w:hAnsi="Arial"/>
                <w:sz w:val="14"/>
                <w:szCs w:val="14"/>
                <w:b w:val="1"/>
                <w:bCs w:val="1"/>
                <w:color w:val="FFFFFF"/>
                <w:w w:val="93"/>
              </w:rPr>
              <w:t>Value and</w:t>
            </w:r>
          </w:p>
        </w:tc>
        <w:tc>
          <w:tcPr>
            <w:tcW w:w="1160" w:type="dxa"/>
            <w:vAlign w:val="bottom"/>
            <w:shd w:val="clear" w:color="auto" w:fill="525252"/>
          </w:tcPr>
          <w:p>
            <w:pPr>
              <w:spacing w:after="0"/>
              <w:rPr>
                <w:sz w:val="12"/>
                <w:szCs w:val="12"/>
                <w:color w:val="auto"/>
              </w:rPr>
            </w:pPr>
          </w:p>
        </w:tc>
        <w:tc>
          <w:tcPr>
            <w:tcW w:w="320" w:type="dxa"/>
            <w:vAlign w:val="bottom"/>
            <w:shd w:val="clear" w:color="auto" w:fill="525252"/>
          </w:tcPr>
          <w:p>
            <w:pPr>
              <w:spacing w:after="0"/>
              <w:rPr>
                <w:sz w:val="12"/>
                <w:szCs w:val="12"/>
                <w:color w:val="auto"/>
              </w:rPr>
            </w:pPr>
          </w:p>
        </w:tc>
        <w:tc>
          <w:tcPr>
            <w:tcW w:w="960" w:type="dxa"/>
            <w:vAlign w:val="bottom"/>
            <w:shd w:val="clear" w:color="auto" w:fill="525252"/>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shd w:val="clear" w:color="auto" w:fill="525252"/>
          </w:tcPr>
          <w:p>
            <w:pPr>
              <w:spacing w:after="0"/>
              <w:rPr>
                <w:sz w:val="12"/>
                <w:szCs w:val="12"/>
                <w:color w:val="auto"/>
              </w:rPr>
            </w:pPr>
          </w:p>
        </w:tc>
        <w:tc>
          <w:tcPr>
            <w:tcW w:w="580" w:type="dxa"/>
            <w:vAlign w:val="bottom"/>
            <w:shd w:val="clear" w:color="auto" w:fill="525252"/>
          </w:tcPr>
          <w:p>
            <w:pPr>
              <w:spacing w:after="0"/>
              <w:rPr>
                <w:sz w:val="12"/>
                <w:szCs w:val="12"/>
                <w:color w:val="auto"/>
              </w:rPr>
            </w:pPr>
          </w:p>
        </w:tc>
        <w:tc>
          <w:tcPr>
            <w:tcW w:w="160" w:type="dxa"/>
            <w:vAlign w:val="bottom"/>
            <w:shd w:val="clear" w:color="auto" w:fill="525252"/>
          </w:tcPr>
          <w:p>
            <w:pPr>
              <w:spacing w:after="0"/>
              <w:rPr>
                <w:sz w:val="12"/>
                <w:szCs w:val="12"/>
                <w:color w:val="auto"/>
              </w:rPr>
            </w:pPr>
          </w:p>
        </w:tc>
        <w:tc>
          <w:tcPr>
            <w:tcW w:w="660" w:type="dxa"/>
            <w:vAlign w:val="bottom"/>
            <w:shd w:val="clear" w:color="auto" w:fill="525252"/>
          </w:tcPr>
          <w:p>
            <w:pPr>
              <w:spacing w:after="0"/>
              <w:rPr>
                <w:sz w:val="12"/>
                <w:szCs w:val="12"/>
                <w:color w:val="auto"/>
              </w:rPr>
            </w:pPr>
          </w:p>
        </w:tc>
        <w:tc>
          <w:tcPr>
            <w:tcW w:w="80" w:type="dxa"/>
            <w:vAlign w:val="bottom"/>
            <w:shd w:val="clear" w:color="auto" w:fill="525252"/>
          </w:tcPr>
          <w:p>
            <w:pPr>
              <w:spacing w:after="0"/>
              <w:rPr>
                <w:sz w:val="12"/>
                <w:szCs w:val="12"/>
                <w:color w:val="auto"/>
              </w:rPr>
            </w:pPr>
          </w:p>
        </w:tc>
        <w:tc>
          <w:tcPr>
            <w:tcW w:w="920" w:type="dxa"/>
            <w:vAlign w:val="bottom"/>
            <w:shd w:val="clear" w:color="auto" w:fill="525252"/>
          </w:tcPr>
          <w:p>
            <w:pPr>
              <w:spacing w:after="0"/>
              <w:rPr>
                <w:sz w:val="12"/>
                <w:szCs w:val="12"/>
                <w:color w:val="auto"/>
              </w:rPr>
            </w:pPr>
          </w:p>
        </w:tc>
        <w:tc>
          <w:tcPr>
            <w:tcW w:w="280" w:type="dxa"/>
            <w:vAlign w:val="bottom"/>
            <w:shd w:val="clear" w:color="auto" w:fill="525252"/>
          </w:tcPr>
          <w:p>
            <w:pPr>
              <w:spacing w:after="0"/>
              <w:rPr>
                <w:sz w:val="12"/>
                <w:szCs w:val="12"/>
                <w:color w:val="auto"/>
              </w:rPr>
            </w:pPr>
          </w:p>
        </w:tc>
        <w:tc>
          <w:tcPr>
            <w:tcW w:w="1000" w:type="dxa"/>
            <w:vAlign w:val="bottom"/>
            <w:shd w:val="clear" w:color="auto" w:fill="525252"/>
          </w:tcPr>
          <w:p>
            <w:pPr>
              <w:spacing w:after="0"/>
              <w:rPr>
                <w:sz w:val="12"/>
                <w:szCs w:val="12"/>
                <w:color w:val="auto"/>
              </w:rPr>
            </w:pPr>
          </w:p>
        </w:tc>
        <w:tc>
          <w:tcPr>
            <w:tcW w:w="180" w:type="dxa"/>
            <w:vAlign w:val="bottom"/>
            <w:shd w:val="clear" w:color="auto" w:fill="525252"/>
          </w:tcPr>
          <w:p>
            <w:pPr>
              <w:spacing w:after="0"/>
              <w:rPr>
                <w:sz w:val="12"/>
                <w:szCs w:val="12"/>
                <w:color w:val="auto"/>
              </w:rPr>
            </w:pPr>
          </w:p>
        </w:tc>
        <w:tc>
          <w:tcPr>
            <w:tcW w:w="720" w:type="dxa"/>
            <w:vAlign w:val="bottom"/>
            <w:shd w:val="clear" w:color="auto" w:fill="525252"/>
          </w:tcPr>
          <w:p>
            <w:pPr>
              <w:spacing w:after="0"/>
              <w:rPr>
                <w:sz w:val="12"/>
                <w:szCs w:val="12"/>
                <w:color w:val="auto"/>
              </w:rPr>
            </w:pPr>
          </w:p>
        </w:tc>
        <w:tc>
          <w:tcPr>
            <w:tcW w:w="180" w:type="dxa"/>
            <w:vAlign w:val="bottom"/>
            <w:shd w:val="clear" w:color="auto" w:fill="525252"/>
          </w:tcPr>
          <w:p>
            <w:pPr>
              <w:spacing w:after="0"/>
              <w:rPr>
                <w:sz w:val="12"/>
                <w:szCs w:val="12"/>
                <w:color w:val="auto"/>
              </w:rPr>
            </w:pPr>
          </w:p>
        </w:tc>
        <w:tc>
          <w:tcPr>
            <w:tcW w:w="1060" w:type="dxa"/>
            <w:vAlign w:val="bottom"/>
            <w:vMerge w:val="restart"/>
            <w:shd w:val="clear" w:color="auto" w:fill="525252"/>
          </w:tcPr>
          <w:p>
            <w:pPr>
              <w:jc w:val="right"/>
              <w:ind w:right="148"/>
              <w:spacing w:after="0"/>
              <w:rPr>
                <w:sz w:val="20"/>
                <w:szCs w:val="20"/>
                <w:color w:val="auto"/>
              </w:rPr>
            </w:pPr>
            <w:r>
              <w:rPr>
                <w:rFonts w:ascii="Arial" w:cs="Arial" w:eastAsia="Arial" w:hAnsi="Arial"/>
                <w:sz w:val="14"/>
                <w:szCs w:val="14"/>
                <w:b w:val="1"/>
                <w:bCs w:val="1"/>
                <w:color w:val="FFFFFF"/>
              </w:rPr>
              <w:t>Non-Equity</w:t>
            </w:r>
          </w:p>
        </w:tc>
        <w:tc>
          <w:tcPr>
            <w:tcW w:w="160" w:type="dxa"/>
            <w:vAlign w:val="bottom"/>
            <w:shd w:val="clear" w:color="auto" w:fill="525252"/>
          </w:tcPr>
          <w:p>
            <w:pPr>
              <w:spacing w:after="0"/>
              <w:rPr>
                <w:sz w:val="12"/>
                <w:szCs w:val="12"/>
                <w:color w:val="auto"/>
              </w:rPr>
            </w:pPr>
          </w:p>
        </w:tc>
        <w:tc>
          <w:tcPr>
            <w:tcW w:w="1160" w:type="dxa"/>
            <w:vAlign w:val="bottom"/>
            <w:shd w:val="clear" w:color="auto" w:fill="525252"/>
          </w:tcPr>
          <w:p>
            <w:pPr>
              <w:jc w:val="center"/>
              <w:ind w:right="188"/>
              <w:spacing w:after="0" w:line="149" w:lineRule="exact"/>
              <w:rPr>
                <w:sz w:val="20"/>
                <w:szCs w:val="20"/>
                <w:color w:val="auto"/>
              </w:rPr>
            </w:pPr>
            <w:r>
              <w:rPr>
                <w:rFonts w:ascii="Arial" w:cs="Arial" w:eastAsia="Arial" w:hAnsi="Arial"/>
                <w:sz w:val="14"/>
                <w:szCs w:val="14"/>
                <w:b w:val="1"/>
                <w:bCs w:val="1"/>
                <w:color w:val="FFFFFF"/>
                <w:w w:val="96"/>
              </w:rPr>
              <w:t>Nonqual-ified</w:t>
            </w:r>
          </w:p>
        </w:tc>
        <w:tc>
          <w:tcPr>
            <w:tcW w:w="1160" w:type="dxa"/>
            <w:vAlign w:val="bottom"/>
            <w:shd w:val="clear" w:color="auto" w:fill="525252"/>
          </w:tcPr>
          <w:p>
            <w:pPr>
              <w:spacing w:after="0"/>
              <w:rPr>
                <w:sz w:val="12"/>
                <w:szCs w:val="12"/>
                <w:color w:val="auto"/>
              </w:rPr>
            </w:pPr>
          </w:p>
        </w:tc>
        <w:tc>
          <w:tcPr>
            <w:tcW w:w="320" w:type="dxa"/>
            <w:vAlign w:val="bottom"/>
            <w:shd w:val="clear" w:color="auto" w:fill="525252"/>
          </w:tcPr>
          <w:p>
            <w:pPr>
              <w:spacing w:after="0"/>
              <w:rPr>
                <w:sz w:val="12"/>
                <w:szCs w:val="12"/>
                <w:color w:val="auto"/>
              </w:rPr>
            </w:pPr>
          </w:p>
        </w:tc>
        <w:tc>
          <w:tcPr>
            <w:tcW w:w="960" w:type="dxa"/>
            <w:vAlign w:val="bottom"/>
            <w:shd w:val="clear" w:color="auto" w:fill="525252"/>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shd w:val="clear" w:color="auto" w:fill="525252"/>
          </w:tcPr>
          <w:p>
            <w:pPr>
              <w:spacing w:after="0"/>
              <w:rPr>
                <w:sz w:val="12"/>
                <w:szCs w:val="12"/>
                <w:color w:val="auto"/>
              </w:rPr>
            </w:pPr>
          </w:p>
        </w:tc>
        <w:tc>
          <w:tcPr>
            <w:tcW w:w="580" w:type="dxa"/>
            <w:vAlign w:val="bottom"/>
            <w:shd w:val="clear" w:color="auto" w:fill="525252"/>
          </w:tcPr>
          <w:p>
            <w:pPr>
              <w:spacing w:after="0"/>
              <w:rPr>
                <w:sz w:val="12"/>
                <w:szCs w:val="12"/>
                <w:color w:val="auto"/>
              </w:rPr>
            </w:pPr>
          </w:p>
        </w:tc>
        <w:tc>
          <w:tcPr>
            <w:tcW w:w="160" w:type="dxa"/>
            <w:vAlign w:val="bottom"/>
            <w:shd w:val="clear" w:color="auto" w:fill="525252"/>
          </w:tcPr>
          <w:p>
            <w:pPr>
              <w:spacing w:after="0"/>
              <w:rPr>
                <w:sz w:val="12"/>
                <w:szCs w:val="12"/>
                <w:color w:val="auto"/>
              </w:rPr>
            </w:pPr>
          </w:p>
        </w:tc>
        <w:tc>
          <w:tcPr>
            <w:tcW w:w="660" w:type="dxa"/>
            <w:vAlign w:val="bottom"/>
            <w:shd w:val="clear" w:color="auto" w:fill="525252"/>
          </w:tcPr>
          <w:p>
            <w:pPr>
              <w:spacing w:after="0"/>
              <w:rPr>
                <w:sz w:val="12"/>
                <w:szCs w:val="12"/>
                <w:color w:val="auto"/>
              </w:rPr>
            </w:pPr>
          </w:p>
        </w:tc>
        <w:tc>
          <w:tcPr>
            <w:tcW w:w="80" w:type="dxa"/>
            <w:vAlign w:val="bottom"/>
            <w:shd w:val="clear" w:color="auto" w:fill="525252"/>
          </w:tcPr>
          <w:p>
            <w:pPr>
              <w:spacing w:after="0"/>
              <w:rPr>
                <w:sz w:val="12"/>
                <w:szCs w:val="12"/>
                <w:color w:val="auto"/>
              </w:rPr>
            </w:pPr>
          </w:p>
        </w:tc>
        <w:tc>
          <w:tcPr>
            <w:tcW w:w="920" w:type="dxa"/>
            <w:vAlign w:val="bottom"/>
            <w:shd w:val="clear" w:color="auto" w:fill="525252"/>
          </w:tcPr>
          <w:p>
            <w:pPr>
              <w:spacing w:after="0"/>
              <w:rPr>
                <w:sz w:val="12"/>
                <w:szCs w:val="12"/>
                <w:color w:val="auto"/>
              </w:rPr>
            </w:pPr>
          </w:p>
        </w:tc>
        <w:tc>
          <w:tcPr>
            <w:tcW w:w="280" w:type="dxa"/>
            <w:vAlign w:val="bottom"/>
            <w:shd w:val="clear" w:color="auto" w:fill="525252"/>
          </w:tcPr>
          <w:p>
            <w:pPr>
              <w:spacing w:after="0"/>
              <w:rPr>
                <w:sz w:val="12"/>
                <w:szCs w:val="12"/>
                <w:color w:val="auto"/>
              </w:rPr>
            </w:pPr>
          </w:p>
        </w:tc>
        <w:tc>
          <w:tcPr>
            <w:tcW w:w="1000" w:type="dxa"/>
            <w:vAlign w:val="bottom"/>
            <w:vMerge w:val="restart"/>
            <w:shd w:val="clear" w:color="auto" w:fill="525252"/>
          </w:tcPr>
          <w:p>
            <w:pPr>
              <w:jc w:val="right"/>
              <w:ind w:right="348"/>
              <w:spacing w:after="0"/>
              <w:rPr>
                <w:sz w:val="20"/>
                <w:szCs w:val="20"/>
                <w:color w:val="auto"/>
              </w:rPr>
            </w:pPr>
            <w:r>
              <w:rPr>
                <w:rFonts w:ascii="Arial" w:cs="Arial" w:eastAsia="Arial" w:hAnsi="Arial"/>
                <w:sz w:val="14"/>
                <w:szCs w:val="14"/>
                <w:b w:val="1"/>
                <w:bCs w:val="1"/>
                <w:color w:val="FFFFFF"/>
              </w:rPr>
              <w:t>Stock</w:t>
            </w:r>
          </w:p>
        </w:tc>
        <w:tc>
          <w:tcPr>
            <w:tcW w:w="180" w:type="dxa"/>
            <w:vAlign w:val="bottom"/>
            <w:shd w:val="clear" w:color="auto" w:fill="525252"/>
          </w:tcPr>
          <w:p>
            <w:pPr>
              <w:spacing w:after="0"/>
              <w:rPr>
                <w:sz w:val="12"/>
                <w:szCs w:val="12"/>
                <w:color w:val="auto"/>
              </w:rPr>
            </w:pPr>
          </w:p>
        </w:tc>
        <w:tc>
          <w:tcPr>
            <w:tcW w:w="720" w:type="dxa"/>
            <w:vAlign w:val="bottom"/>
            <w:vMerge w:val="restart"/>
            <w:shd w:val="clear" w:color="auto" w:fill="525252"/>
          </w:tcPr>
          <w:p>
            <w:pPr>
              <w:jc w:val="right"/>
              <w:ind w:right="108"/>
              <w:spacing w:after="0"/>
              <w:rPr>
                <w:sz w:val="20"/>
                <w:szCs w:val="20"/>
                <w:color w:val="auto"/>
              </w:rPr>
            </w:pPr>
            <w:r>
              <w:rPr>
                <w:rFonts w:ascii="Arial" w:cs="Arial" w:eastAsia="Arial" w:hAnsi="Arial"/>
                <w:sz w:val="14"/>
                <w:szCs w:val="14"/>
                <w:b w:val="1"/>
                <w:bCs w:val="1"/>
                <w:color w:val="FFFFFF"/>
              </w:rPr>
              <w:t>Option</w:t>
            </w:r>
          </w:p>
        </w:tc>
        <w:tc>
          <w:tcPr>
            <w:tcW w:w="180" w:type="dxa"/>
            <w:vAlign w:val="bottom"/>
            <w:shd w:val="clear" w:color="auto" w:fill="525252"/>
          </w:tcPr>
          <w:p>
            <w:pPr>
              <w:spacing w:after="0"/>
              <w:rPr>
                <w:sz w:val="12"/>
                <w:szCs w:val="12"/>
                <w:color w:val="auto"/>
              </w:rPr>
            </w:pPr>
          </w:p>
        </w:tc>
        <w:tc>
          <w:tcPr>
            <w:tcW w:w="1060" w:type="dxa"/>
            <w:vAlign w:val="bottom"/>
            <w:vMerge w:val="continue"/>
            <w:shd w:val="clear" w:color="auto" w:fill="525252"/>
          </w:tcPr>
          <w:p>
            <w:pPr>
              <w:spacing w:after="0"/>
              <w:rPr>
                <w:sz w:val="12"/>
                <w:szCs w:val="12"/>
                <w:color w:val="auto"/>
              </w:rPr>
            </w:pPr>
          </w:p>
        </w:tc>
        <w:tc>
          <w:tcPr>
            <w:tcW w:w="160" w:type="dxa"/>
            <w:vAlign w:val="bottom"/>
            <w:shd w:val="clear" w:color="auto" w:fill="525252"/>
          </w:tcPr>
          <w:p>
            <w:pPr>
              <w:spacing w:after="0"/>
              <w:rPr>
                <w:sz w:val="12"/>
                <w:szCs w:val="12"/>
                <w:color w:val="auto"/>
              </w:rPr>
            </w:pPr>
          </w:p>
        </w:tc>
        <w:tc>
          <w:tcPr>
            <w:tcW w:w="1160" w:type="dxa"/>
            <w:vAlign w:val="bottom"/>
            <w:shd w:val="clear" w:color="auto" w:fill="525252"/>
          </w:tcPr>
          <w:p>
            <w:pPr>
              <w:jc w:val="center"/>
              <w:ind w:right="188"/>
              <w:spacing w:after="0" w:line="149" w:lineRule="exact"/>
              <w:rPr>
                <w:sz w:val="20"/>
                <w:szCs w:val="20"/>
                <w:color w:val="auto"/>
              </w:rPr>
            </w:pPr>
            <w:r>
              <w:rPr>
                <w:rFonts w:ascii="Arial" w:cs="Arial" w:eastAsia="Arial" w:hAnsi="Arial"/>
                <w:sz w:val="14"/>
                <w:szCs w:val="14"/>
                <w:b w:val="1"/>
                <w:bCs w:val="1"/>
                <w:color w:val="FFFFFF"/>
                <w:w w:val="93"/>
              </w:rPr>
              <w:t>Deferred</w:t>
            </w:r>
          </w:p>
        </w:tc>
        <w:tc>
          <w:tcPr>
            <w:tcW w:w="1160" w:type="dxa"/>
            <w:vAlign w:val="bottom"/>
            <w:vMerge w:val="restart"/>
            <w:shd w:val="clear" w:color="auto" w:fill="525252"/>
          </w:tcPr>
          <w:p>
            <w:pPr>
              <w:jc w:val="right"/>
              <w:ind w:right="268"/>
              <w:spacing w:after="0"/>
              <w:rPr>
                <w:sz w:val="20"/>
                <w:szCs w:val="20"/>
                <w:color w:val="auto"/>
              </w:rPr>
            </w:pPr>
            <w:r>
              <w:rPr>
                <w:rFonts w:ascii="Arial" w:cs="Arial" w:eastAsia="Arial" w:hAnsi="Arial"/>
                <w:sz w:val="14"/>
                <w:szCs w:val="14"/>
                <w:b w:val="1"/>
                <w:bCs w:val="1"/>
                <w:color w:val="FFFFFF"/>
              </w:rPr>
              <w:t>All Other</w:t>
            </w:r>
          </w:p>
        </w:tc>
        <w:tc>
          <w:tcPr>
            <w:tcW w:w="320" w:type="dxa"/>
            <w:vAlign w:val="bottom"/>
            <w:shd w:val="clear" w:color="auto" w:fill="525252"/>
          </w:tcPr>
          <w:p>
            <w:pPr>
              <w:spacing w:after="0"/>
              <w:rPr>
                <w:sz w:val="12"/>
                <w:szCs w:val="12"/>
                <w:color w:val="auto"/>
              </w:rPr>
            </w:pPr>
          </w:p>
        </w:tc>
        <w:tc>
          <w:tcPr>
            <w:tcW w:w="960" w:type="dxa"/>
            <w:vAlign w:val="bottom"/>
            <w:shd w:val="clear" w:color="auto" w:fill="525252"/>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vMerge w:val="restart"/>
            <w:shd w:val="clear" w:color="auto" w:fill="525252"/>
          </w:tcPr>
          <w:p>
            <w:pPr>
              <w:ind w:left="40"/>
              <w:spacing w:after="0"/>
              <w:rPr>
                <w:sz w:val="20"/>
                <w:szCs w:val="20"/>
                <w:color w:val="auto"/>
              </w:rPr>
            </w:pPr>
            <w:r>
              <w:rPr>
                <w:rFonts w:ascii="Arial" w:cs="Arial" w:eastAsia="Arial" w:hAnsi="Arial"/>
                <w:sz w:val="14"/>
                <w:szCs w:val="14"/>
                <w:b w:val="1"/>
                <w:bCs w:val="1"/>
                <w:color w:val="FFFFFF"/>
                <w:w w:val="94"/>
              </w:rPr>
              <w:t>Name and Principal Position</w:t>
            </w:r>
          </w:p>
        </w:tc>
        <w:tc>
          <w:tcPr>
            <w:tcW w:w="580" w:type="dxa"/>
            <w:vAlign w:val="bottom"/>
            <w:vMerge w:val="restart"/>
            <w:shd w:val="clear" w:color="auto" w:fill="525252"/>
          </w:tcPr>
          <w:p>
            <w:pPr>
              <w:jc w:val="right"/>
              <w:ind w:right="68"/>
              <w:spacing w:after="0"/>
              <w:rPr>
                <w:sz w:val="20"/>
                <w:szCs w:val="20"/>
                <w:color w:val="auto"/>
              </w:rPr>
            </w:pPr>
            <w:r>
              <w:rPr>
                <w:rFonts w:ascii="Arial" w:cs="Arial" w:eastAsia="Arial" w:hAnsi="Arial"/>
                <w:sz w:val="14"/>
                <w:szCs w:val="14"/>
                <w:b w:val="1"/>
                <w:bCs w:val="1"/>
                <w:color w:val="FFFFFF"/>
              </w:rPr>
              <w:t>Year</w:t>
            </w:r>
          </w:p>
        </w:tc>
        <w:tc>
          <w:tcPr>
            <w:tcW w:w="160" w:type="dxa"/>
            <w:vAlign w:val="bottom"/>
            <w:shd w:val="clear" w:color="auto" w:fill="525252"/>
          </w:tcPr>
          <w:p>
            <w:pPr>
              <w:spacing w:after="0"/>
              <w:rPr>
                <w:sz w:val="12"/>
                <w:szCs w:val="12"/>
                <w:color w:val="auto"/>
              </w:rPr>
            </w:pPr>
          </w:p>
        </w:tc>
        <w:tc>
          <w:tcPr>
            <w:tcW w:w="740" w:type="dxa"/>
            <w:vAlign w:val="bottom"/>
            <w:gridSpan w:val="2"/>
            <w:vMerge w:val="restart"/>
            <w:shd w:val="clear" w:color="auto" w:fill="525252"/>
          </w:tcPr>
          <w:p>
            <w:pPr>
              <w:ind w:left="60"/>
              <w:spacing w:after="0"/>
              <w:rPr>
                <w:sz w:val="20"/>
                <w:szCs w:val="20"/>
                <w:color w:val="auto"/>
              </w:rPr>
            </w:pPr>
            <w:r>
              <w:rPr>
                <w:rFonts w:ascii="Arial" w:cs="Arial" w:eastAsia="Arial" w:hAnsi="Arial"/>
                <w:sz w:val="14"/>
                <w:szCs w:val="14"/>
                <w:b w:val="1"/>
                <w:bCs w:val="1"/>
                <w:color w:val="FFFFFF"/>
              </w:rPr>
              <w:t>Salary</w:t>
            </w:r>
            <w:r>
              <w:rPr>
                <w:rFonts w:ascii="Arial" w:cs="Arial" w:eastAsia="Arial" w:hAnsi="Arial"/>
                <w:sz w:val="8"/>
                <w:szCs w:val="8"/>
                <w:b w:val="1"/>
                <w:bCs w:val="1"/>
                <w:color w:val="FFFFFF"/>
              </w:rPr>
              <w:t>(1)</w:t>
            </w:r>
          </w:p>
        </w:tc>
        <w:tc>
          <w:tcPr>
            <w:tcW w:w="920" w:type="dxa"/>
            <w:vAlign w:val="bottom"/>
            <w:vMerge w:val="restart"/>
            <w:shd w:val="clear" w:color="auto" w:fill="525252"/>
          </w:tcPr>
          <w:p>
            <w:pPr>
              <w:jc w:val="right"/>
              <w:ind w:right="108"/>
              <w:spacing w:after="0"/>
              <w:rPr>
                <w:sz w:val="20"/>
                <w:szCs w:val="20"/>
                <w:color w:val="auto"/>
              </w:rPr>
            </w:pPr>
            <w:r>
              <w:rPr>
                <w:rFonts w:ascii="Arial" w:cs="Arial" w:eastAsia="Arial" w:hAnsi="Arial"/>
                <w:sz w:val="14"/>
                <w:szCs w:val="14"/>
                <w:b w:val="1"/>
                <w:bCs w:val="1"/>
                <w:color w:val="FFFFFF"/>
              </w:rPr>
              <w:t>Bonus</w:t>
            </w:r>
            <w:r>
              <w:rPr>
                <w:rFonts w:ascii="Arial" w:cs="Arial" w:eastAsia="Arial" w:hAnsi="Arial"/>
                <w:sz w:val="8"/>
                <w:szCs w:val="8"/>
                <w:b w:val="1"/>
                <w:bCs w:val="1"/>
                <w:color w:val="FFFFFF"/>
              </w:rPr>
              <w:t>(2)</w:t>
            </w:r>
          </w:p>
        </w:tc>
        <w:tc>
          <w:tcPr>
            <w:tcW w:w="280" w:type="dxa"/>
            <w:vAlign w:val="bottom"/>
            <w:shd w:val="clear" w:color="auto" w:fill="525252"/>
          </w:tcPr>
          <w:p>
            <w:pPr>
              <w:spacing w:after="0"/>
              <w:rPr>
                <w:sz w:val="12"/>
                <w:szCs w:val="12"/>
                <w:color w:val="auto"/>
              </w:rPr>
            </w:pPr>
          </w:p>
        </w:tc>
        <w:tc>
          <w:tcPr>
            <w:tcW w:w="1000" w:type="dxa"/>
            <w:vAlign w:val="bottom"/>
            <w:vMerge w:val="continue"/>
            <w:shd w:val="clear" w:color="auto" w:fill="525252"/>
          </w:tcPr>
          <w:p>
            <w:pPr>
              <w:spacing w:after="0"/>
              <w:rPr>
                <w:sz w:val="12"/>
                <w:szCs w:val="12"/>
                <w:color w:val="auto"/>
              </w:rPr>
            </w:pPr>
          </w:p>
        </w:tc>
        <w:tc>
          <w:tcPr>
            <w:tcW w:w="180" w:type="dxa"/>
            <w:vAlign w:val="bottom"/>
            <w:shd w:val="clear" w:color="auto" w:fill="525252"/>
          </w:tcPr>
          <w:p>
            <w:pPr>
              <w:spacing w:after="0"/>
              <w:rPr>
                <w:sz w:val="12"/>
                <w:szCs w:val="12"/>
                <w:color w:val="auto"/>
              </w:rPr>
            </w:pPr>
          </w:p>
        </w:tc>
        <w:tc>
          <w:tcPr>
            <w:tcW w:w="720" w:type="dxa"/>
            <w:vAlign w:val="bottom"/>
            <w:vMerge w:val="continue"/>
            <w:shd w:val="clear" w:color="auto" w:fill="525252"/>
          </w:tcPr>
          <w:p>
            <w:pPr>
              <w:spacing w:after="0"/>
              <w:rPr>
                <w:sz w:val="12"/>
                <w:szCs w:val="12"/>
                <w:color w:val="auto"/>
              </w:rPr>
            </w:pPr>
          </w:p>
        </w:tc>
        <w:tc>
          <w:tcPr>
            <w:tcW w:w="180" w:type="dxa"/>
            <w:vAlign w:val="bottom"/>
            <w:shd w:val="clear" w:color="auto" w:fill="525252"/>
          </w:tcPr>
          <w:p>
            <w:pPr>
              <w:spacing w:after="0"/>
              <w:rPr>
                <w:sz w:val="12"/>
                <w:szCs w:val="12"/>
                <w:color w:val="auto"/>
              </w:rPr>
            </w:pPr>
          </w:p>
        </w:tc>
        <w:tc>
          <w:tcPr>
            <w:tcW w:w="1060" w:type="dxa"/>
            <w:vAlign w:val="bottom"/>
            <w:shd w:val="clear" w:color="auto" w:fill="525252"/>
          </w:tcPr>
          <w:p>
            <w:pPr>
              <w:jc w:val="right"/>
              <w:ind w:right="68"/>
              <w:spacing w:after="0" w:line="149" w:lineRule="exact"/>
              <w:rPr>
                <w:sz w:val="20"/>
                <w:szCs w:val="20"/>
                <w:color w:val="auto"/>
              </w:rPr>
            </w:pPr>
            <w:r>
              <w:rPr>
                <w:rFonts w:ascii="Arial" w:cs="Arial" w:eastAsia="Arial" w:hAnsi="Arial"/>
                <w:sz w:val="14"/>
                <w:szCs w:val="14"/>
                <w:b w:val="1"/>
                <w:bCs w:val="1"/>
                <w:color w:val="FFFFFF"/>
                <w:w w:val="95"/>
              </w:rPr>
              <w:t>Incentive Plan</w:t>
            </w:r>
          </w:p>
        </w:tc>
        <w:tc>
          <w:tcPr>
            <w:tcW w:w="1320" w:type="dxa"/>
            <w:vAlign w:val="bottom"/>
            <w:gridSpan w:val="2"/>
            <w:shd w:val="clear" w:color="auto" w:fill="525252"/>
          </w:tcPr>
          <w:p>
            <w:pPr>
              <w:jc w:val="center"/>
              <w:ind w:right="28"/>
              <w:spacing w:after="0" w:line="149" w:lineRule="exact"/>
              <w:rPr>
                <w:sz w:val="20"/>
                <w:szCs w:val="20"/>
                <w:color w:val="auto"/>
              </w:rPr>
            </w:pPr>
            <w:r>
              <w:rPr>
                <w:rFonts w:ascii="Arial" w:cs="Arial" w:eastAsia="Arial" w:hAnsi="Arial"/>
                <w:sz w:val="14"/>
                <w:szCs w:val="14"/>
                <w:b w:val="1"/>
                <w:bCs w:val="1"/>
                <w:color w:val="FFFFFF"/>
                <w:w w:val="92"/>
              </w:rPr>
              <w:t>Compen-sation</w:t>
            </w:r>
          </w:p>
        </w:tc>
        <w:tc>
          <w:tcPr>
            <w:tcW w:w="1160" w:type="dxa"/>
            <w:vAlign w:val="bottom"/>
            <w:vMerge w:val="continue"/>
            <w:shd w:val="clear" w:color="auto" w:fill="525252"/>
          </w:tcPr>
          <w:p>
            <w:pPr>
              <w:spacing w:after="0"/>
              <w:rPr>
                <w:sz w:val="12"/>
                <w:szCs w:val="12"/>
                <w:color w:val="auto"/>
              </w:rPr>
            </w:pPr>
          </w:p>
        </w:tc>
        <w:tc>
          <w:tcPr>
            <w:tcW w:w="320" w:type="dxa"/>
            <w:vAlign w:val="bottom"/>
            <w:shd w:val="clear" w:color="auto" w:fill="525252"/>
          </w:tcPr>
          <w:p>
            <w:pPr>
              <w:spacing w:after="0"/>
              <w:rPr>
                <w:sz w:val="12"/>
                <w:szCs w:val="12"/>
                <w:color w:val="auto"/>
              </w:rPr>
            </w:pPr>
          </w:p>
        </w:tc>
        <w:tc>
          <w:tcPr>
            <w:tcW w:w="960" w:type="dxa"/>
            <w:vAlign w:val="bottom"/>
            <w:vMerge w:val="restart"/>
            <w:shd w:val="clear" w:color="auto" w:fill="525252"/>
          </w:tcPr>
          <w:p>
            <w:pPr>
              <w:jc w:val="right"/>
              <w:ind w:right="388"/>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98"/>
        </w:trPr>
        <w:tc>
          <w:tcPr>
            <w:tcW w:w="1840" w:type="dxa"/>
            <w:vAlign w:val="bottom"/>
            <w:vMerge w:val="continue"/>
            <w:shd w:val="clear" w:color="auto" w:fill="525252"/>
          </w:tcPr>
          <w:p>
            <w:pPr>
              <w:spacing w:after="0"/>
              <w:rPr>
                <w:sz w:val="17"/>
                <w:szCs w:val="17"/>
                <w:color w:val="auto"/>
              </w:rPr>
            </w:pPr>
          </w:p>
        </w:tc>
        <w:tc>
          <w:tcPr>
            <w:tcW w:w="580" w:type="dxa"/>
            <w:vAlign w:val="bottom"/>
            <w:vMerge w:val="continue"/>
            <w:shd w:val="clear" w:color="auto" w:fill="525252"/>
          </w:tcPr>
          <w:p>
            <w:pPr>
              <w:spacing w:after="0"/>
              <w:rPr>
                <w:sz w:val="17"/>
                <w:szCs w:val="17"/>
                <w:color w:val="auto"/>
              </w:rPr>
            </w:pPr>
          </w:p>
        </w:tc>
        <w:tc>
          <w:tcPr>
            <w:tcW w:w="160" w:type="dxa"/>
            <w:vAlign w:val="bottom"/>
            <w:shd w:val="clear" w:color="auto" w:fill="525252"/>
          </w:tcPr>
          <w:p>
            <w:pPr>
              <w:spacing w:after="0"/>
              <w:rPr>
                <w:sz w:val="17"/>
                <w:szCs w:val="17"/>
                <w:color w:val="auto"/>
              </w:rPr>
            </w:pPr>
          </w:p>
        </w:tc>
        <w:tc>
          <w:tcPr>
            <w:tcW w:w="740" w:type="dxa"/>
            <w:vAlign w:val="bottom"/>
            <w:gridSpan w:val="2"/>
            <w:vMerge w:val="continue"/>
            <w:shd w:val="clear" w:color="auto" w:fill="525252"/>
          </w:tcPr>
          <w:p>
            <w:pPr>
              <w:spacing w:after="0"/>
              <w:rPr>
                <w:sz w:val="17"/>
                <w:szCs w:val="17"/>
                <w:color w:val="auto"/>
              </w:rPr>
            </w:pPr>
          </w:p>
        </w:tc>
        <w:tc>
          <w:tcPr>
            <w:tcW w:w="920" w:type="dxa"/>
            <w:vAlign w:val="bottom"/>
            <w:vMerge w:val="continue"/>
            <w:shd w:val="clear" w:color="auto" w:fill="525252"/>
          </w:tcPr>
          <w:p>
            <w:pPr>
              <w:spacing w:after="0"/>
              <w:rPr>
                <w:sz w:val="17"/>
                <w:szCs w:val="17"/>
                <w:color w:val="auto"/>
              </w:rPr>
            </w:pPr>
          </w:p>
        </w:tc>
        <w:tc>
          <w:tcPr>
            <w:tcW w:w="280" w:type="dxa"/>
            <w:vAlign w:val="bottom"/>
            <w:shd w:val="clear" w:color="auto" w:fill="525252"/>
          </w:tcPr>
          <w:p>
            <w:pPr>
              <w:spacing w:after="0"/>
              <w:rPr>
                <w:sz w:val="17"/>
                <w:szCs w:val="17"/>
                <w:color w:val="auto"/>
              </w:rPr>
            </w:pPr>
          </w:p>
        </w:tc>
        <w:tc>
          <w:tcPr>
            <w:tcW w:w="1000" w:type="dxa"/>
            <w:vAlign w:val="bottom"/>
            <w:shd w:val="clear" w:color="auto" w:fill="525252"/>
          </w:tcPr>
          <w:p>
            <w:pPr>
              <w:jc w:val="right"/>
              <w:ind w:right="228"/>
              <w:spacing w:after="0"/>
              <w:rPr>
                <w:sz w:val="20"/>
                <w:szCs w:val="20"/>
                <w:color w:val="auto"/>
              </w:rPr>
            </w:pPr>
            <w:r>
              <w:rPr>
                <w:rFonts w:ascii="Arial" w:cs="Arial" w:eastAsia="Arial" w:hAnsi="Arial"/>
                <w:sz w:val="14"/>
                <w:szCs w:val="14"/>
                <w:b w:val="1"/>
                <w:bCs w:val="1"/>
                <w:color w:val="FFFFFF"/>
              </w:rPr>
              <w:t>Awards</w:t>
            </w:r>
            <w:r>
              <w:rPr>
                <w:rFonts w:ascii="Arial" w:cs="Arial" w:eastAsia="Arial" w:hAnsi="Arial"/>
                <w:sz w:val="8"/>
                <w:szCs w:val="8"/>
                <w:b w:val="1"/>
                <w:bCs w:val="1"/>
                <w:color w:val="FFFFFF"/>
              </w:rPr>
              <w:t>(3)</w:t>
            </w:r>
          </w:p>
        </w:tc>
        <w:tc>
          <w:tcPr>
            <w:tcW w:w="180" w:type="dxa"/>
            <w:vAlign w:val="bottom"/>
            <w:shd w:val="clear" w:color="auto" w:fill="525252"/>
          </w:tcPr>
          <w:p>
            <w:pPr>
              <w:spacing w:after="0"/>
              <w:rPr>
                <w:sz w:val="17"/>
                <w:szCs w:val="17"/>
                <w:color w:val="auto"/>
              </w:rPr>
            </w:pPr>
          </w:p>
        </w:tc>
        <w:tc>
          <w:tcPr>
            <w:tcW w:w="720" w:type="dxa"/>
            <w:vAlign w:val="bottom"/>
            <w:shd w:val="clear" w:color="auto" w:fill="525252"/>
          </w:tcPr>
          <w:p>
            <w:pPr>
              <w:jc w:val="right"/>
              <w:ind w:right="48"/>
              <w:spacing w:after="0"/>
              <w:rPr>
                <w:sz w:val="20"/>
                <w:szCs w:val="20"/>
                <w:color w:val="auto"/>
              </w:rPr>
            </w:pPr>
            <w:r>
              <w:rPr>
                <w:rFonts w:ascii="Arial" w:cs="Arial" w:eastAsia="Arial" w:hAnsi="Arial"/>
                <w:sz w:val="14"/>
                <w:szCs w:val="14"/>
                <w:b w:val="1"/>
                <w:bCs w:val="1"/>
                <w:color w:val="FFFFFF"/>
                <w:w w:val="96"/>
              </w:rPr>
              <w:t>Awards</w:t>
            </w:r>
            <w:r>
              <w:rPr>
                <w:rFonts w:ascii="Arial" w:cs="Arial" w:eastAsia="Arial" w:hAnsi="Arial"/>
                <w:sz w:val="8"/>
                <w:szCs w:val="8"/>
                <w:b w:val="1"/>
                <w:bCs w:val="1"/>
                <w:color w:val="FFFFFF"/>
                <w:w w:val="96"/>
              </w:rPr>
              <w:t>(3)</w:t>
            </w:r>
          </w:p>
        </w:tc>
        <w:tc>
          <w:tcPr>
            <w:tcW w:w="1240" w:type="dxa"/>
            <w:vAlign w:val="bottom"/>
            <w:gridSpan w:val="2"/>
            <w:shd w:val="clear" w:color="auto" w:fill="525252"/>
          </w:tcPr>
          <w:p>
            <w:pPr>
              <w:jc w:val="right"/>
              <w:spacing w:after="0"/>
              <w:rPr>
                <w:sz w:val="20"/>
                <w:szCs w:val="20"/>
                <w:color w:val="auto"/>
              </w:rPr>
            </w:pPr>
            <w:r>
              <w:rPr>
                <w:rFonts w:ascii="Arial" w:cs="Arial" w:eastAsia="Arial" w:hAnsi="Arial"/>
                <w:sz w:val="14"/>
                <w:szCs w:val="14"/>
                <w:b w:val="1"/>
                <w:bCs w:val="1"/>
                <w:color w:val="FFFFFF"/>
              </w:rPr>
              <w:t>Compensa-tion</w:t>
            </w:r>
            <w:r>
              <w:rPr>
                <w:rFonts w:ascii="Arial" w:cs="Arial" w:eastAsia="Arial" w:hAnsi="Arial"/>
                <w:sz w:val="8"/>
                <w:szCs w:val="8"/>
                <w:b w:val="1"/>
                <w:bCs w:val="1"/>
                <w:color w:val="FFFFFF"/>
              </w:rPr>
              <w:t>(4)</w:t>
            </w:r>
          </w:p>
        </w:tc>
        <w:tc>
          <w:tcPr>
            <w:tcW w:w="160" w:type="dxa"/>
            <w:vAlign w:val="bottom"/>
            <w:shd w:val="clear" w:color="auto" w:fill="525252"/>
          </w:tcPr>
          <w:p>
            <w:pPr>
              <w:spacing w:after="0"/>
              <w:rPr>
                <w:sz w:val="17"/>
                <w:szCs w:val="17"/>
                <w:color w:val="auto"/>
              </w:rPr>
            </w:pPr>
          </w:p>
        </w:tc>
        <w:tc>
          <w:tcPr>
            <w:tcW w:w="1160" w:type="dxa"/>
            <w:vAlign w:val="bottom"/>
            <w:shd w:val="clear" w:color="auto" w:fill="525252"/>
          </w:tcPr>
          <w:p>
            <w:pPr>
              <w:jc w:val="center"/>
              <w:ind w:right="188"/>
              <w:spacing w:after="0"/>
              <w:rPr>
                <w:sz w:val="20"/>
                <w:szCs w:val="20"/>
                <w:color w:val="auto"/>
              </w:rPr>
            </w:pPr>
            <w:r>
              <w:rPr>
                <w:rFonts w:ascii="Arial" w:cs="Arial" w:eastAsia="Arial" w:hAnsi="Arial"/>
                <w:sz w:val="14"/>
                <w:szCs w:val="14"/>
                <w:b w:val="1"/>
                <w:bCs w:val="1"/>
                <w:color w:val="FFFFFF"/>
                <w:w w:val="94"/>
              </w:rPr>
              <w:t>Earnings</w:t>
            </w:r>
            <w:r>
              <w:rPr>
                <w:rFonts w:ascii="Arial" w:cs="Arial" w:eastAsia="Arial" w:hAnsi="Arial"/>
                <w:sz w:val="8"/>
                <w:szCs w:val="8"/>
                <w:b w:val="1"/>
                <w:bCs w:val="1"/>
                <w:color w:val="FFFFFF"/>
                <w:w w:val="94"/>
              </w:rPr>
              <w:t>(5)</w:t>
            </w:r>
          </w:p>
        </w:tc>
        <w:tc>
          <w:tcPr>
            <w:tcW w:w="1160" w:type="dxa"/>
            <w:vAlign w:val="bottom"/>
            <w:shd w:val="clear" w:color="auto" w:fill="525252"/>
          </w:tcPr>
          <w:p>
            <w:pPr>
              <w:jc w:val="right"/>
              <w:ind w:right="68"/>
              <w:spacing w:after="0"/>
              <w:rPr>
                <w:sz w:val="20"/>
                <w:szCs w:val="20"/>
                <w:color w:val="auto"/>
              </w:rPr>
            </w:pPr>
            <w:r>
              <w:rPr>
                <w:rFonts w:ascii="Arial" w:cs="Arial" w:eastAsia="Arial" w:hAnsi="Arial"/>
                <w:sz w:val="14"/>
                <w:szCs w:val="14"/>
                <w:b w:val="1"/>
                <w:bCs w:val="1"/>
                <w:color w:val="FFFFFF"/>
                <w:w w:val="93"/>
              </w:rPr>
              <w:t>Compensation</w:t>
            </w:r>
            <w:r>
              <w:rPr>
                <w:rFonts w:ascii="Arial" w:cs="Arial" w:eastAsia="Arial" w:hAnsi="Arial"/>
                <w:sz w:val="8"/>
                <w:szCs w:val="8"/>
                <w:b w:val="1"/>
                <w:bCs w:val="1"/>
                <w:color w:val="FFFFFF"/>
                <w:w w:val="93"/>
              </w:rPr>
              <w:t>(6)</w:t>
            </w:r>
          </w:p>
        </w:tc>
        <w:tc>
          <w:tcPr>
            <w:tcW w:w="320" w:type="dxa"/>
            <w:vAlign w:val="bottom"/>
            <w:shd w:val="clear" w:color="auto" w:fill="525252"/>
          </w:tcPr>
          <w:p>
            <w:pPr>
              <w:spacing w:after="0"/>
              <w:rPr>
                <w:sz w:val="17"/>
                <w:szCs w:val="17"/>
                <w:color w:val="auto"/>
              </w:rPr>
            </w:pPr>
          </w:p>
        </w:tc>
        <w:tc>
          <w:tcPr>
            <w:tcW w:w="960" w:type="dxa"/>
            <w:vAlign w:val="bottom"/>
            <w:vMerge w:val="continue"/>
            <w:shd w:val="clear" w:color="auto" w:fill="525252"/>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840" w:type="dxa"/>
            <w:vAlign w:val="bottom"/>
          </w:tcPr>
          <w:p>
            <w:pPr>
              <w:ind w:left="40"/>
              <w:spacing w:after="0"/>
              <w:rPr>
                <w:sz w:val="20"/>
                <w:szCs w:val="20"/>
                <w:color w:val="auto"/>
              </w:rPr>
            </w:pPr>
            <w:r>
              <w:rPr>
                <w:rFonts w:ascii="Arial" w:cs="Arial" w:eastAsia="Arial" w:hAnsi="Arial"/>
                <w:sz w:val="14"/>
                <w:szCs w:val="14"/>
                <w:b w:val="1"/>
                <w:bCs w:val="1"/>
                <w:color w:val="auto"/>
              </w:rPr>
              <w:t>Rex D. Geveden</w:t>
            </w:r>
          </w:p>
        </w:tc>
        <w:tc>
          <w:tcPr>
            <w:tcW w:w="580" w:type="dxa"/>
            <w:vAlign w:val="bottom"/>
          </w:tcPr>
          <w:p>
            <w:pPr>
              <w:jc w:val="right"/>
              <w:spacing w:after="0"/>
              <w:rPr>
                <w:sz w:val="20"/>
                <w:szCs w:val="20"/>
                <w:color w:val="auto"/>
              </w:rPr>
            </w:pPr>
            <w:r>
              <w:rPr>
                <w:rFonts w:ascii="Arial" w:cs="Arial" w:eastAsia="Arial" w:hAnsi="Arial"/>
                <w:sz w:val="14"/>
                <w:szCs w:val="14"/>
                <w:color w:val="auto"/>
              </w:rPr>
              <w:t>2017</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693,750</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   212,500</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2,442,569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939,284</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  $</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117,549</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4,405,652</w:t>
            </w:r>
          </w:p>
        </w:tc>
        <w:tc>
          <w:tcPr>
            <w:tcW w:w="0" w:type="dxa"/>
            <w:vAlign w:val="bottom"/>
          </w:tcPr>
          <w:p>
            <w:pPr>
              <w:spacing w:after="0"/>
              <w:rPr>
                <w:sz w:val="1"/>
                <w:szCs w:val="1"/>
                <w:color w:val="auto"/>
              </w:rPr>
            </w:pPr>
          </w:p>
        </w:tc>
      </w:tr>
      <w:tr>
        <w:trPr>
          <w:trHeight w:val="162"/>
        </w:trPr>
        <w:tc>
          <w:tcPr>
            <w:tcW w:w="1840" w:type="dxa"/>
            <w:vAlign w:val="bottom"/>
          </w:tcPr>
          <w:p>
            <w:pPr>
              <w:ind w:left="40"/>
              <w:spacing w:after="0"/>
              <w:rPr>
                <w:sz w:val="20"/>
                <w:szCs w:val="20"/>
                <w:color w:val="auto"/>
              </w:rPr>
            </w:pPr>
            <w:r>
              <w:rPr>
                <w:rFonts w:ascii="Arial" w:cs="Arial" w:eastAsia="Arial" w:hAnsi="Arial"/>
                <w:sz w:val="14"/>
                <w:szCs w:val="14"/>
                <w:color w:val="auto"/>
              </w:rPr>
              <w:t>President and Chief</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2016</w:t>
            </w:r>
          </w:p>
        </w:tc>
        <w:tc>
          <w:tcPr>
            <w:tcW w:w="160" w:type="dxa"/>
            <w:vAlign w:val="bottom"/>
          </w:tcPr>
          <w:p>
            <w:pPr>
              <w:spacing w:after="0"/>
              <w:rPr>
                <w:sz w:val="14"/>
                <w:szCs w:val="14"/>
                <w:color w:val="auto"/>
              </w:rPr>
            </w:pP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525,000</w:t>
            </w: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212,500</w:t>
            </w:r>
          </w:p>
        </w:tc>
        <w:tc>
          <w:tcPr>
            <w:tcW w:w="2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1,277,467</w:t>
            </w:r>
          </w:p>
        </w:tc>
        <w:tc>
          <w:tcPr>
            <w:tcW w:w="1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611,394</w:t>
            </w:r>
          </w:p>
        </w:tc>
        <w:tc>
          <w:tcPr>
            <w:tcW w:w="160" w:type="dxa"/>
            <w:vAlign w:val="bottom"/>
          </w:tcPr>
          <w:p>
            <w:pPr>
              <w:spacing w:after="0"/>
              <w:rPr>
                <w:sz w:val="14"/>
                <w:szCs w:val="14"/>
                <w:color w:val="auto"/>
              </w:rPr>
            </w:pPr>
          </w:p>
        </w:tc>
        <w:tc>
          <w:tcPr>
            <w:tcW w:w="11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153,301</w:t>
            </w:r>
          </w:p>
        </w:tc>
        <w:tc>
          <w:tcPr>
            <w:tcW w:w="320" w:type="dxa"/>
            <w:vAlign w:val="bottom"/>
          </w:tcPr>
          <w:p>
            <w:pPr>
              <w:spacing w:after="0"/>
              <w:rPr>
                <w:sz w:val="14"/>
                <w:szCs w:val="14"/>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2,779,662</w:t>
            </w:r>
          </w:p>
        </w:tc>
        <w:tc>
          <w:tcPr>
            <w:tcW w:w="0" w:type="dxa"/>
            <w:vAlign w:val="bottom"/>
          </w:tcPr>
          <w:p>
            <w:pPr>
              <w:spacing w:after="0"/>
              <w:rPr>
                <w:sz w:val="1"/>
                <w:szCs w:val="1"/>
                <w:color w:val="auto"/>
              </w:rPr>
            </w:pPr>
          </w:p>
        </w:tc>
      </w:tr>
      <w:tr>
        <w:trPr>
          <w:trHeight w:val="64"/>
        </w:trPr>
        <w:tc>
          <w:tcPr>
            <w:tcW w:w="1840" w:type="dxa"/>
            <w:vAlign w:val="bottom"/>
            <w:vMerge w:val="restart"/>
          </w:tcPr>
          <w:p>
            <w:pPr>
              <w:ind w:left="40"/>
              <w:spacing w:after="0"/>
              <w:rPr>
                <w:sz w:val="20"/>
                <w:szCs w:val="20"/>
                <w:color w:val="auto"/>
              </w:rPr>
            </w:pPr>
            <w:r>
              <w:rPr>
                <w:rFonts w:ascii="Arial" w:cs="Arial" w:eastAsia="Arial" w:hAnsi="Arial"/>
                <w:sz w:val="14"/>
                <w:szCs w:val="14"/>
                <w:color w:val="auto"/>
              </w:rPr>
              <w:t>Executive Officer</w:t>
            </w: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84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1840" w:type="dxa"/>
            <w:vAlign w:val="bottom"/>
            <w:shd w:val="clear" w:color="auto" w:fill="E5E5E5"/>
          </w:tcPr>
          <w:p>
            <w:pPr>
              <w:ind w:left="40"/>
              <w:spacing w:after="0"/>
              <w:rPr>
                <w:sz w:val="20"/>
                <w:szCs w:val="20"/>
                <w:color w:val="auto"/>
              </w:rPr>
            </w:pPr>
            <w:r>
              <w:rPr>
                <w:rFonts w:ascii="Arial" w:cs="Arial" w:eastAsia="Arial" w:hAnsi="Arial"/>
                <w:sz w:val="14"/>
                <w:szCs w:val="14"/>
                <w:b w:val="1"/>
                <w:bCs w:val="1"/>
                <w:color w:val="auto"/>
              </w:rPr>
              <w:t>David S. Black</w:t>
            </w:r>
          </w:p>
        </w:tc>
        <w:tc>
          <w:tcPr>
            <w:tcW w:w="5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2017</w:t>
            </w:r>
          </w:p>
        </w:tc>
        <w:tc>
          <w:tcPr>
            <w:tcW w:w="160" w:type="dxa"/>
            <w:vAlign w:val="bottom"/>
            <w:shd w:val="clear" w:color="auto" w:fill="E5E5E5"/>
          </w:tcPr>
          <w:p>
            <w:pPr>
              <w:spacing w:after="0"/>
              <w:rPr>
                <w:sz w:val="16"/>
                <w:szCs w:val="16"/>
                <w:color w:val="auto"/>
              </w:rPr>
            </w:pPr>
          </w:p>
        </w:tc>
        <w:tc>
          <w:tcPr>
            <w:tcW w:w="740" w:type="dxa"/>
            <w:vAlign w:val="bottom"/>
            <w:gridSpan w:val="2"/>
            <w:shd w:val="clear" w:color="auto" w:fill="E5E5E5"/>
          </w:tcPr>
          <w:p>
            <w:pPr>
              <w:jc w:val="right"/>
              <w:ind w:right="80"/>
              <w:spacing w:after="0"/>
              <w:rPr>
                <w:sz w:val="20"/>
                <w:szCs w:val="20"/>
                <w:color w:val="auto"/>
              </w:rPr>
            </w:pPr>
            <w:r>
              <w:rPr>
                <w:rFonts w:ascii="Arial" w:cs="Arial" w:eastAsia="Arial" w:hAnsi="Arial"/>
                <w:sz w:val="14"/>
                <w:szCs w:val="14"/>
                <w:color w:val="auto"/>
              </w:rPr>
              <w:t>435,000</w:t>
            </w:r>
          </w:p>
        </w:tc>
        <w:tc>
          <w:tcPr>
            <w:tcW w:w="92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637,103</w:t>
            </w:r>
          </w:p>
        </w:tc>
        <w:tc>
          <w:tcPr>
            <w:tcW w:w="180" w:type="dxa"/>
            <w:vAlign w:val="bottom"/>
            <w:shd w:val="clear" w:color="auto" w:fill="E5E5E5"/>
          </w:tcPr>
          <w:p>
            <w:pPr>
              <w:spacing w:after="0"/>
              <w:rPr>
                <w:sz w:val="16"/>
                <w:szCs w:val="16"/>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rPr>
                <w:sz w:val="16"/>
                <w:szCs w:val="16"/>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392,648</w:t>
            </w:r>
          </w:p>
        </w:tc>
        <w:tc>
          <w:tcPr>
            <w:tcW w:w="160" w:type="dxa"/>
            <w:vAlign w:val="bottom"/>
            <w:shd w:val="clear" w:color="auto" w:fill="E5E5E5"/>
          </w:tcPr>
          <w:p>
            <w:pPr>
              <w:spacing w:after="0"/>
              <w:rPr>
                <w:sz w:val="16"/>
                <w:szCs w:val="16"/>
                <w:color w:val="auto"/>
              </w:rPr>
            </w:pPr>
          </w:p>
        </w:tc>
        <w:tc>
          <w:tcPr>
            <w:tcW w:w="116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73,478</w:t>
            </w:r>
          </w:p>
        </w:tc>
        <w:tc>
          <w:tcPr>
            <w:tcW w:w="11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115,839</w:t>
            </w:r>
          </w:p>
        </w:tc>
        <w:tc>
          <w:tcPr>
            <w:tcW w:w="320" w:type="dxa"/>
            <w:vAlign w:val="bottom"/>
            <w:shd w:val="clear" w:color="auto" w:fill="E5E5E5"/>
          </w:tcPr>
          <w:p>
            <w:pPr>
              <w:spacing w:after="0"/>
              <w:rPr>
                <w:sz w:val="16"/>
                <w:szCs w:val="16"/>
                <w:color w:val="auto"/>
              </w:rPr>
            </w:pPr>
          </w:p>
        </w:tc>
        <w:tc>
          <w:tcPr>
            <w:tcW w:w="9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1,654,068</w:t>
            </w:r>
          </w:p>
        </w:tc>
        <w:tc>
          <w:tcPr>
            <w:tcW w:w="0" w:type="dxa"/>
            <w:vAlign w:val="bottom"/>
          </w:tcPr>
          <w:p>
            <w:pPr>
              <w:spacing w:after="0"/>
              <w:rPr>
                <w:sz w:val="1"/>
                <w:szCs w:val="1"/>
                <w:color w:val="auto"/>
              </w:rPr>
            </w:pPr>
          </w:p>
        </w:tc>
      </w:tr>
      <w:tr>
        <w:trPr>
          <w:trHeight w:val="162"/>
        </w:trPr>
        <w:tc>
          <w:tcPr>
            <w:tcW w:w="1840" w:type="dxa"/>
            <w:vAlign w:val="bottom"/>
            <w:shd w:val="clear" w:color="auto" w:fill="E5E5E5"/>
          </w:tcPr>
          <w:p>
            <w:pPr>
              <w:ind w:left="40"/>
              <w:spacing w:after="0"/>
              <w:rPr>
                <w:sz w:val="20"/>
                <w:szCs w:val="20"/>
                <w:color w:val="auto"/>
              </w:rPr>
            </w:pPr>
            <w:r>
              <w:rPr>
                <w:rFonts w:ascii="Arial" w:cs="Arial" w:eastAsia="Arial" w:hAnsi="Arial"/>
                <w:sz w:val="14"/>
                <w:szCs w:val="14"/>
                <w:color w:val="auto"/>
              </w:rPr>
              <w:t>Senior Vice President and</w:t>
            </w:r>
          </w:p>
        </w:tc>
        <w:tc>
          <w:tcPr>
            <w:tcW w:w="58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2016</w:t>
            </w:r>
          </w:p>
        </w:tc>
        <w:tc>
          <w:tcPr>
            <w:tcW w:w="160" w:type="dxa"/>
            <w:vAlign w:val="bottom"/>
            <w:shd w:val="clear" w:color="auto" w:fill="E5E5E5"/>
          </w:tcPr>
          <w:p>
            <w:pPr>
              <w:spacing w:after="0"/>
              <w:rPr>
                <w:sz w:val="14"/>
                <w:szCs w:val="14"/>
                <w:color w:val="auto"/>
              </w:rPr>
            </w:pPr>
          </w:p>
        </w:tc>
        <w:tc>
          <w:tcPr>
            <w:tcW w:w="66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386,250</w:t>
            </w:r>
          </w:p>
        </w:tc>
        <w:tc>
          <w:tcPr>
            <w:tcW w:w="80" w:type="dxa"/>
            <w:vAlign w:val="bottom"/>
            <w:shd w:val="clear" w:color="auto" w:fill="E5E5E5"/>
          </w:tcPr>
          <w:p>
            <w:pPr>
              <w:spacing w:after="0"/>
              <w:rPr>
                <w:sz w:val="14"/>
                <w:szCs w:val="14"/>
                <w:color w:val="auto"/>
              </w:rPr>
            </w:pPr>
          </w:p>
        </w:tc>
        <w:tc>
          <w:tcPr>
            <w:tcW w:w="920" w:type="dxa"/>
            <w:vAlign w:val="bottom"/>
            <w:vMerge w:val="restart"/>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4"/>
                <w:szCs w:val="14"/>
                <w:color w:val="auto"/>
              </w:rPr>
            </w:pPr>
          </w:p>
        </w:tc>
        <w:tc>
          <w:tcPr>
            <w:tcW w:w="100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573,371</w:t>
            </w:r>
          </w:p>
        </w:tc>
        <w:tc>
          <w:tcPr>
            <w:tcW w:w="180" w:type="dxa"/>
            <w:vAlign w:val="bottom"/>
            <w:shd w:val="clear" w:color="auto" w:fill="E5E5E5"/>
          </w:tcPr>
          <w:p>
            <w:pPr>
              <w:spacing w:after="0"/>
              <w:rPr>
                <w:sz w:val="14"/>
                <w:szCs w:val="14"/>
                <w:color w:val="auto"/>
              </w:rPr>
            </w:pPr>
          </w:p>
        </w:tc>
        <w:tc>
          <w:tcPr>
            <w:tcW w:w="72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rPr>
                <w:sz w:val="14"/>
                <w:szCs w:val="14"/>
                <w:color w:val="auto"/>
              </w:rPr>
            </w:pPr>
          </w:p>
        </w:tc>
        <w:tc>
          <w:tcPr>
            <w:tcW w:w="106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337,358</w:t>
            </w:r>
          </w:p>
        </w:tc>
        <w:tc>
          <w:tcPr>
            <w:tcW w:w="160" w:type="dxa"/>
            <w:vAlign w:val="bottom"/>
            <w:shd w:val="clear" w:color="auto" w:fill="E5E5E5"/>
          </w:tcPr>
          <w:p>
            <w:pPr>
              <w:spacing w:after="0"/>
              <w:rPr>
                <w:sz w:val="14"/>
                <w:szCs w:val="14"/>
                <w:color w:val="auto"/>
              </w:rPr>
            </w:pPr>
          </w:p>
        </w:tc>
        <w:tc>
          <w:tcPr>
            <w:tcW w:w="1160" w:type="dxa"/>
            <w:vAlign w:val="bottom"/>
            <w:vMerge w:val="restart"/>
            <w:shd w:val="clear" w:color="auto" w:fill="E5E5E5"/>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E5E5E5"/>
          </w:tcPr>
          <w:p>
            <w:pPr>
              <w:jc w:val="right"/>
              <w:ind w:right="8"/>
              <w:spacing w:after="0"/>
              <w:rPr>
                <w:sz w:val="20"/>
                <w:szCs w:val="20"/>
                <w:color w:val="auto"/>
              </w:rPr>
            </w:pPr>
            <w:r>
              <w:rPr>
                <w:rFonts w:ascii="Arial" w:cs="Arial" w:eastAsia="Arial" w:hAnsi="Arial"/>
                <w:sz w:val="14"/>
                <w:szCs w:val="14"/>
                <w:color w:val="auto"/>
              </w:rPr>
              <w:t>99,584</w:t>
            </w:r>
          </w:p>
        </w:tc>
        <w:tc>
          <w:tcPr>
            <w:tcW w:w="320" w:type="dxa"/>
            <w:vAlign w:val="bottom"/>
            <w:shd w:val="clear" w:color="auto" w:fill="E5E5E5"/>
          </w:tcPr>
          <w:p>
            <w:pPr>
              <w:spacing w:after="0"/>
              <w:rPr>
                <w:sz w:val="14"/>
                <w:szCs w:val="14"/>
                <w:color w:val="auto"/>
              </w:rPr>
            </w:pPr>
          </w:p>
        </w:tc>
        <w:tc>
          <w:tcPr>
            <w:tcW w:w="960" w:type="dxa"/>
            <w:vAlign w:val="bottom"/>
            <w:vMerge w:val="restart"/>
            <w:shd w:val="clear" w:color="auto" w:fill="E5E5E5"/>
          </w:tcPr>
          <w:p>
            <w:pPr>
              <w:jc w:val="right"/>
              <w:ind w:right="28"/>
              <w:spacing w:after="0"/>
              <w:rPr>
                <w:sz w:val="20"/>
                <w:szCs w:val="20"/>
                <w:color w:val="auto"/>
              </w:rPr>
            </w:pPr>
            <w:r>
              <w:rPr>
                <w:rFonts w:ascii="Arial" w:cs="Arial" w:eastAsia="Arial" w:hAnsi="Arial"/>
                <w:sz w:val="14"/>
                <w:szCs w:val="14"/>
                <w:color w:val="auto"/>
              </w:rPr>
              <w:t>1,396,563</w:t>
            </w:r>
          </w:p>
        </w:tc>
        <w:tc>
          <w:tcPr>
            <w:tcW w:w="0" w:type="dxa"/>
            <w:vAlign w:val="bottom"/>
          </w:tcPr>
          <w:p>
            <w:pPr>
              <w:spacing w:after="0"/>
              <w:rPr>
                <w:sz w:val="1"/>
                <w:szCs w:val="1"/>
                <w:color w:val="auto"/>
              </w:rPr>
            </w:pPr>
          </w:p>
        </w:tc>
      </w:tr>
      <w:tr>
        <w:trPr>
          <w:trHeight w:val="64"/>
        </w:trPr>
        <w:tc>
          <w:tcPr>
            <w:tcW w:w="1840" w:type="dxa"/>
            <w:vAlign w:val="bottom"/>
            <w:vMerge w:val="restart"/>
            <w:shd w:val="clear" w:color="auto" w:fill="E5E5E5"/>
          </w:tcPr>
          <w:p>
            <w:pPr>
              <w:ind w:left="40"/>
              <w:spacing w:after="0"/>
              <w:rPr>
                <w:sz w:val="20"/>
                <w:szCs w:val="20"/>
                <w:color w:val="auto"/>
              </w:rPr>
            </w:pPr>
            <w:r>
              <w:rPr>
                <w:rFonts w:ascii="Arial" w:cs="Arial" w:eastAsia="Arial" w:hAnsi="Arial"/>
                <w:sz w:val="14"/>
                <w:szCs w:val="14"/>
                <w:color w:val="auto"/>
              </w:rPr>
              <w:t>Chief Financial Officer</w:t>
            </w:r>
          </w:p>
        </w:tc>
        <w:tc>
          <w:tcPr>
            <w:tcW w:w="580" w:type="dxa"/>
            <w:vAlign w:val="bottom"/>
            <w:vMerge w:val="continue"/>
            <w:shd w:val="clear" w:color="auto" w:fill="E5E5E5"/>
          </w:tcPr>
          <w:p>
            <w:pPr>
              <w:spacing w:after="0"/>
              <w:rPr>
                <w:sz w:val="5"/>
                <w:szCs w:val="5"/>
                <w:color w:val="auto"/>
              </w:rPr>
            </w:pPr>
          </w:p>
        </w:tc>
        <w:tc>
          <w:tcPr>
            <w:tcW w:w="160" w:type="dxa"/>
            <w:vAlign w:val="bottom"/>
            <w:shd w:val="clear" w:color="auto" w:fill="E5E5E5"/>
          </w:tcPr>
          <w:p>
            <w:pPr>
              <w:spacing w:after="0"/>
              <w:rPr>
                <w:sz w:val="5"/>
                <w:szCs w:val="5"/>
                <w:color w:val="auto"/>
              </w:rPr>
            </w:pPr>
          </w:p>
        </w:tc>
        <w:tc>
          <w:tcPr>
            <w:tcW w:w="660" w:type="dxa"/>
            <w:vAlign w:val="bottom"/>
            <w:vMerge w:val="continue"/>
            <w:shd w:val="clear" w:color="auto" w:fill="E5E5E5"/>
          </w:tcPr>
          <w:p>
            <w:pPr>
              <w:spacing w:after="0"/>
              <w:rPr>
                <w:sz w:val="5"/>
                <w:szCs w:val="5"/>
                <w:color w:val="auto"/>
              </w:rPr>
            </w:pPr>
          </w:p>
        </w:tc>
        <w:tc>
          <w:tcPr>
            <w:tcW w:w="80" w:type="dxa"/>
            <w:vAlign w:val="bottom"/>
            <w:shd w:val="clear" w:color="auto" w:fill="E5E5E5"/>
          </w:tcPr>
          <w:p>
            <w:pPr>
              <w:spacing w:after="0"/>
              <w:rPr>
                <w:sz w:val="5"/>
                <w:szCs w:val="5"/>
                <w:color w:val="auto"/>
              </w:rPr>
            </w:pPr>
          </w:p>
        </w:tc>
        <w:tc>
          <w:tcPr>
            <w:tcW w:w="920" w:type="dxa"/>
            <w:vAlign w:val="bottom"/>
            <w:vMerge w:val="continue"/>
            <w:shd w:val="clear" w:color="auto" w:fill="E5E5E5"/>
          </w:tcPr>
          <w:p>
            <w:pPr>
              <w:spacing w:after="0"/>
              <w:rPr>
                <w:sz w:val="5"/>
                <w:szCs w:val="5"/>
                <w:color w:val="auto"/>
              </w:rPr>
            </w:pPr>
          </w:p>
        </w:tc>
        <w:tc>
          <w:tcPr>
            <w:tcW w:w="280" w:type="dxa"/>
            <w:vAlign w:val="bottom"/>
            <w:shd w:val="clear" w:color="auto" w:fill="E5E5E5"/>
          </w:tcPr>
          <w:p>
            <w:pPr>
              <w:spacing w:after="0"/>
              <w:rPr>
                <w:sz w:val="5"/>
                <w:szCs w:val="5"/>
                <w:color w:val="auto"/>
              </w:rPr>
            </w:pPr>
          </w:p>
        </w:tc>
        <w:tc>
          <w:tcPr>
            <w:tcW w:w="1000" w:type="dxa"/>
            <w:vAlign w:val="bottom"/>
            <w:vMerge w:val="continue"/>
            <w:shd w:val="clear" w:color="auto" w:fill="E5E5E5"/>
          </w:tcPr>
          <w:p>
            <w:pPr>
              <w:spacing w:after="0"/>
              <w:rPr>
                <w:sz w:val="5"/>
                <w:szCs w:val="5"/>
                <w:color w:val="auto"/>
              </w:rPr>
            </w:pPr>
          </w:p>
        </w:tc>
        <w:tc>
          <w:tcPr>
            <w:tcW w:w="180" w:type="dxa"/>
            <w:vAlign w:val="bottom"/>
            <w:shd w:val="clear" w:color="auto" w:fill="E5E5E5"/>
          </w:tcPr>
          <w:p>
            <w:pPr>
              <w:spacing w:after="0"/>
              <w:rPr>
                <w:sz w:val="5"/>
                <w:szCs w:val="5"/>
                <w:color w:val="auto"/>
              </w:rPr>
            </w:pPr>
          </w:p>
        </w:tc>
        <w:tc>
          <w:tcPr>
            <w:tcW w:w="720" w:type="dxa"/>
            <w:vAlign w:val="bottom"/>
            <w:vMerge w:val="continue"/>
            <w:shd w:val="clear" w:color="auto" w:fill="E5E5E5"/>
          </w:tcPr>
          <w:p>
            <w:pPr>
              <w:spacing w:after="0"/>
              <w:rPr>
                <w:sz w:val="5"/>
                <w:szCs w:val="5"/>
                <w:color w:val="auto"/>
              </w:rPr>
            </w:pPr>
          </w:p>
        </w:tc>
        <w:tc>
          <w:tcPr>
            <w:tcW w:w="180" w:type="dxa"/>
            <w:vAlign w:val="bottom"/>
            <w:shd w:val="clear" w:color="auto" w:fill="E5E5E5"/>
          </w:tcPr>
          <w:p>
            <w:pPr>
              <w:spacing w:after="0"/>
              <w:rPr>
                <w:sz w:val="5"/>
                <w:szCs w:val="5"/>
                <w:color w:val="auto"/>
              </w:rPr>
            </w:pPr>
          </w:p>
        </w:tc>
        <w:tc>
          <w:tcPr>
            <w:tcW w:w="1060" w:type="dxa"/>
            <w:vAlign w:val="bottom"/>
            <w:vMerge w:val="continue"/>
            <w:shd w:val="clear" w:color="auto" w:fill="E5E5E5"/>
          </w:tcPr>
          <w:p>
            <w:pPr>
              <w:spacing w:after="0"/>
              <w:rPr>
                <w:sz w:val="5"/>
                <w:szCs w:val="5"/>
                <w:color w:val="auto"/>
              </w:rPr>
            </w:pPr>
          </w:p>
        </w:tc>
        <w:tc>
          <w:tcPr>
            <w:tcW w:w="160" w:type="dxa"/>
            <w:vAlign w:val="bottom"/>
            <w:shd w:val="clear" w:color="auto" w:fill="E5E5E5"/>
          </w:tcPr>
          <w:p>
            <w:pPr>
              <w:spacing w:after="0"/>
              <w:rPr>
                <w:sz w:val="5"/>
                <w:szCs w:val="5"/>
                <w:color w:val="auto"/>
              </w:rPr>
            </w:pPr>
          </w:p>
        </w:tc>
        <w:tc>
          <w:tcPr>
            <w:tcW w:w="1160" w:type="dxa"/>
            <w:vAlign w:val="bottom"/>
            <w:vMerge w:val="continue"/>
            <w:shd w:val="clear" w:color="auto" w:fill="E5E5E5"/>
          </w:tcPr>
          <w:p>
            <w:pPr>
              <w:spacing w:after="0"/>
              <w:rPr>
                <w:sz w:val="5"/>
                <w:szCs w:val="5"/>
                <w:color w:val="auto"/>
              </w:rPr>
            </w:pPr>
          </w:p>
        </w:tc>
        <w:tc>
          <w:tcPr>
            <w:tcW w:w="1160" w:type="dxa"/>
            <w:vAlign w:val="bottom"/>
            <w:vMerge w:val="continue"/>
            <w:shd w:val="clear" w:color="auto" w:fill="E5E5E5"/>
          </w:tcPr>
          <w:p>
            <w:pPr>
              <w:spacing w:after="0"/>
              <w:rPr>
                <w:sz w:val="5"/>
                <w:szCs w:val="5"/>
                <w:color w:val="auto"/>
              </w:rPr>
            </w:pPr>
          </w:p>
        </w:tc>
        <w:tc>
          <w:tcPr>
            <w:tcW w:w="320" w:type="dxa"/>
            <w:vAlign w:val="bottom"/>
            <w:shd w:val="clear" w:color="auto" w:fill="E5E5E5"/>
          </w:tcPr>
          <w:p>
            <w:pPr>
              <w:spacing w:after="0"/>
              <w:rPr>
                <w:sz w:val="5"/>
                <w:szCs w:val="5"/>
                <w:color w:val="auto"/>
              </w:rPr>
            </w:pPr>
          </w:p>
        </w:tc>
        <w:tc>
          <w:tcPr>
            <w:tcW w:w="960" w:type="dxa"/>
            <w:vAlign w:val="bottom"/>
            <w:vMerge w:val="continue"/>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840" w:type="dxa"/>
            <w:vAlign w:val="bottom"/>
            <w:vMerge w:val="continue"/>
            <w:shd w:val="clear" w:color="auto" w:fill="E5E5E5"/>
          </w:tcPr>
          <w:p>
            <w:pPr>
              <w:spacing w:after="0"/>
              <w:rPr>
                <w:sz w:val="9"/>
                <w:szCs w:val="9"/>
                <w:color w:val="auto"/>
              </w:rPr>
            </w:pPr>
          </w:p>
        </w:tc>
        <w:tc>
          <w:tcPr>
            <w:tcW w:w="58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2015</w:t>
            </w:r>
          </w:p>
        </w:tc>
        <w:tc>
          <w:tcPr>
            <w:tcW w:w="160" w:type="dxa"/>
            <w:vAlign w:val="bottom"/>
            <w:shd w:val="clear" w:color="auto" w:fill="E5E5E5"/>
          </w:tcPr>
          <w:p>
            <w:pPr>
              <w:spacing w:after="0"/>
              <w:rPr>
                <w:sz w:val="9"/>
                <w:szCs w:val="9"/>
                <w:color w:val="auto"/>
              </w:rPr>
            </w:pPr>
          </w:p>
        </w:tc>
        <w:tc>
          <w:tcPr>
            <w:tcW w:w="66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350,000</w:t>
            </w:r>
          </w:p>
        </w:tc>
        <w:tc>
          <w:tcPr>
            <w:tcW w:w="80" w:type="dxa"/>
            <w:vAlign w:val="bottom"/>
            <w:shd w:val="clear" w:color="auto" w:fill="E5E5E5"/>
          </w:tcPr>
          <w:p>
            <w:pPr>
              <w:spacing w:after="0"/>
              <w:rPr>
                <w:sz w:val="9"/>
                <w:szCs w:val="9"/>
                <w:color w:val="auto"/>
              </w:rPr>
            </w:pPr>
          </w:p>
        </w:tc>
        <w:tc>
          <w:tcPr>
            <w:tcW w:w="920" w:type="dxa"/>
            <w:vAlign w:val="bottom"/>
            <w:vMerge w:val="restart"/>
            <w:shd w:val="clear" w:color="auto" w:fill="E5E5E5"/>
          </w:tcPr>
          <w:p>
            <w:pPr>
              <w:jc w:val="right"/>
              <w:ind w:right="8"/>
              <w:spacing w:after="0"/>
              <w:rPr>
                <w:sz w:val="20"/>
                <w:szCs w:val="20"/>
                <w:color w:val="auto"/>
              </w:rPr>
            </w:pPr>
            <w:r>
              <w:rPr>
                <w:rFonts w:ascii="Arial" w:cs="Arial" w:eastAsia="Arial" w:hAnsi="Arial"/>
                <w:sz w:val="14"/>
                <w:szCs w:val="14"/>
                <w:color w:val="auto"/>
              </w:rPr>
              <w:t>15,000</w:t>
            </w:r>
          </w:p>
        </w:tc>
        <w:tc>
          <w:tcPr>
            <w:tcW w:w="280" w:type="dxa"/>
            <w:vAlign w:val="bottom"/>
            <w:shd w:val="clear" w:color="auto" w:fill="E5E5E5"/>
          </w:tcPr>
          <w:p>
            <w:pPr>
              <w:spacing w:after="0"/>
              <w:rPr>
                <w:sz w:val="9"/>
                <w:szCs w:val="9"/>
                <w:color w:val="auto"/>
              </w:rPr>
            </w:pPr>
          </w:p>
        </w:tc>
        <w:tc>
          <w:tcPr>
            <w:tcW w:w="100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921,198</w:t>
            </w:r>
          </w:p>
        </w:tc>
        <w:tc>
          <w:tcPr>
            <w:tcW w:w="180" w:type="dxa"/>
            <w:vAlign w:val="bottom"/>
            <w:shd w:val="clear" w:color="auto" w:fill="E5E5E5"/>
          </w:tcPr>
          <w:p>
            <w:pPr>
              <w:spacing w:after="0"/>
              <w:rPr>
                <w:sz w:val="9"/>
                <w:szCs w:val="9"/>
                <w:color w:val="auto"/>
              </w:rPr>
            </w:pPr>
          </w:p>
        </w:tc>
        <w:tc>
          <w:tcPr>
            <w:tcW w:w="72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192,443</w:t>
            </w:r>
          </w:p>
        </w:tc>
        <w:tc>
          <w:tcPr>
            <w:tcW w:w="180" w:type="dxa"/>
            <w:vAlign w:val="bottom"/>
            <w:shd w:val="clear" w:color="auto" w:fill="E5E5E5"/>
          </w:tcPr>
          <w:p>
            <w:pPr>
              <w:spacing w:after="0"/>
              <w:rPr>
                <w:sz w:val="9"/>
                <w:szCs w:val="9"/>
                <w:color w:val="auto"/>
              </w:rPr>
            </w:pPr>
          </w:p>
        </w:tc>
        <w:tc>
          <w:tcPr>
            <w:tcW w:w="106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223,313</w:t>
            </w:r>
          </w:p>
        </w:tc>
        <w:tc>
          <w:tcPr>
            <w:tcW w:w="160" w:type="dxa"/>
            <w:vAlign w:val="bottom"/>
            <w:shd w:val="clear" w:color="auto" w:fill="E5E5E5"/>
          </w:tcPr>
          <w:p>
            <w:pPr>
              <w:spacing w:after="0"/>
              <w:rPr>
                <w:sz w:val="9"/>
                <w:szCs w:val="9"/>
                <w:color w:val="auto"/>
              </w:rPr>
            </w:pPr>
          </w:p>
        </w:tc>
        <w:tc>
          <w:tcPr>
            <w:tcW w:w="1160" w:type="dxa"/>
            <w:vAlign w:val="bottom"/>
            <w:vMerge w:val="restart"/>
            <w:shd w:val="clear" w:color="auto" w:fill="E5E5E5"/>
          </w:tcPr>
          <w:p>
            <w:pPr>
              <w:jc w:val="right"/>
              <w:ind w:right="188"/>
              <w:spacing w:after="0"/>
              <w:rPr>
                <w:sz w:val="20"/>
                <w:szCs w:val="20"/>
                <w:color w:val="auto"/>
              </w:rPr>
            </w:pPr>
            <w:r>
              <w:rPr>
                <w:rFonts w:ascii="Arial" w:cs="Arial" w:eastAsia="Arial" w:hAnsi="Arial"/>
                <w:sz w:val="14"/>
                <w:szCs w:val="14"/>
                <w:color w:val="auto"/>
              </w:rPr>
              <w:t>66,166</w:t>
            </w:r>
          </w:p>
        </w:tc>
        <w:tc>
          <w:tcPr>
            <w:tcW w:w="1160" w:type="dxa"/>
            <w:vAlign w:val="bottom"/>
            <w:vMerge w:val="restart"/>
            <w:shd w:val="clear" w:color="auto" w:fill="E5E5E5"/>
          </w:tcPr>
          <w:p>
            <w:pPr>
              <w:jc w:val="right"/>
              <w:ind w:right="8"/>
              <w:spacing w:after="0"/>
              <w:rPr>
                <w:sz w:val="20"/>
                <w:szCs w:val="20"/>
                <w:color w:val="auto"/>
              </w:rPr>
            </w:pPr>
            <w:r>
              <w:rPr>
                <w:rFonts w:ascii="Arial" w:cs="Arial" w:eastAsia="Arial" w:hAnsi="Arial"/>
                <w:sz w:val="14"/>
                <w:szCs w:val="14"/>
                <w:color w:val="auto"/>
              </w:rPr>
              <w:t>86,342</w:t>
            </w:r>
          </w:p>
        </w:tc>
        <w:tc>
          <w:tcPr>
            <w:tcW w:w="320" w:type="dxa"/>
            <w:vAlign w:val="bottom"/>
            <w:shd w:val="clear" w:color="auto" w:fill="E5E5E5"/>
          </w:tcPr>
          <w:p>
            <w:pPr>
              <w:spacing w:after="0"/>
              <w:rPr>
                <w:sz w:val="9"/>
                <w:szCs w:val="9"/>
                <w:color w:val="auto"/>
              </w:rPr>
            </w:pPr>
          </w:p>
        </w:tc>
        <w:tc>
          <w:tcPr>
            <w:tcW w:w="960" w:type="dxa"/>
            <w:vAlign w:val="bottom"/>
            <w:vMerge w:val="restart"/>
            <w:shd w:val="clear" w:color="auto" w:fill="E5E5E5"/>
          </w:tcPr>
          <w:p>
            <w:pPr>
              <w:jc w:val="right"/>
              <w:ind w:right="28"/>
              <w:spacing w:after="0"/>
              <w:rPr>
                <w:sz w:val="20"/>
                <w:szCs w:val="20"/>
                <w:color w:val="auto"/>
              </w:rPr>
            </w:pPr>
            <w:r>
              <w:rPr>
                <w:rFonts w:ascii="Arial" w:cs="Arial" w:eastAsia="Arial" w:hAnsi="Arial"/>
                <w:sz w:val="14"/>
                <w:szCs w:val="14"/>
                <w:color w:val="auto"/>
              </w:rPr>
              <w:t>1,854,461</w:t>
            </w:r>
          </w:p>
        </w:tc>
        <w:tc>
          <w:tcPr>
            <w:tcW w:w="0" w:type="dxa"/>
            <w:vAlign w:val="bottom"/>
          </w:tcPr>
          <w:p>
            <w:pPr>
              <w:spacing w:after="0"/>
              <w:rPr>
                <w:sz w:val="1"/>
                <w:szCs w:val="1"/>
                <w:color w:val="auto"/>
              </w:rPr>
            </w:pPr>
          </w:p>
        </w:tc>
      </w:tr>
      <w:tr>
        <w:trPr>
          <w:trHeight w:val="108"/>
        </w:trPr>
        <w:tc>
          <w:tcPr>
            <w:tcW w:w="1840" w:type="dxa"/>
            <w:vAlign w:val="bottom"/>
            <w:shd w:val="clear" w:color="auto" w:fill="E5E5E5"/>
          </w:tcPr>
          <w:p>
            <w:pPr>
              <w:spacing w:after="0"/>
              <w:rPr>
                <w:sz w:val="9"/>
                <w:szCs w:val="9"/>
                <w:color w:val="auto"/>
              </w:rPr>
            </w:pPr>
          </w:p>
        </w:tc>
        <w:tc>
          <w:tcPr>
            <w:tcW w:w="580" w:type="dxa"/>
            <w:vAlign w:val="bottom"/>
            <w:vMerge w:val="continue"/>
            <w:shd w:val="clear" w:color="auto" w:fill="E5E5E5"/>
          </w:tcPr>
          <w:p>
            <w:pPr>
              <w:spacing w:after="0"/>
              <w:rPr>
                <w:sz w:val="9"/>
                <w:szCs w:val="9"/>
                <w:color w:val="auto"/>
              </w:rPr>
            </w:pPr>
          </w:p>
        </w:tc>
        <w:tc>
          <w:tcPr>
            <w:tcW w:w="160" w:type="dxa"/>
            <w:vAlign w:val="bottom"/>
            <w:shd w:val="clear" w:color="auto" w:fill="E5E5E5"/>
          </w:tcPr>
          <w:p>
            <w:pPr>
              <w:spacing w:after="0"/>
              <w:rPr>
                <w:sz w:val="9"/>
                <w:szCs w:val="9"/>
                <w:color w:val="auto"/>
              </w:rPr>
            </w:pPr>
          </w:p>
        </w:tc>
        <w:tc>
          <w:tcPr>
            <w:tcW w:w="660" w:type="dxa"/>
            <w:vAlign w:val="bottom"/>
            <w:vMerge w:val="continue"/>
            <w:shd w:val="clear" w:color="auto" w:fill="E5E5E5"/>
          </w:tcPr>
          <w:p>
            <w:pPr>
              <w:spacing w:after="0"/>
              <w:rPr>
                <w:sz w:val="9"/>
                <w:szCs w:val="9"/>
                <w:color w:val="auto"/>
              </w:rPr>
            </w:pPr>
          </w:p>
        </w:tc>
        <w:tc>
          <w:tcPr>
            <w:tcW w:w="80" w:type="dxa"/>
            <w:vAlign w:val="bottom"/>
            <w:shd w:val="clear" w:color="auto" w:fill="E5E5E5"/>
          </w:tcPr>
          <w:p>
            <w:pPr>
              <w:spacing w:after="0"/>
              <w:rPr>
                <w:sz w:val="9"/>
                <w:szCs w:val="9"/>
                <w:color w:val="auto"/>
              </w:rPr>
            </w:pPr>
          </w:p>
        </w:tc>
        <w:tc>
          <w:tcPr>
            <w:tcW w:w="920" w:type="dxa"/>
            <w:vAlign w:val="bottom"/>
            <w:vMerge w:val="continue"/>
            <w:shd w:val="clear" w:color="auto" w:fill="E5E5E5"/>
          </w:tcPr>
          <w:p>
            <w:pPr>
              <w:spacing w:after="0"/>
              <w:rPr>
                <w:sz w:val="9"/>
                <w:szCs w:val="9"/>
                <w:color w:val="auto"/>
              </w:rPr>
            </w:pPr>
          </w:p>
        </w:tc>
        <w:tc>
          <w:tcPr>
            <w:tcW w:w="280" w:type="dxa"/>
            <w:vAlign w:val="bottom"/>
            <w:shd w:val="clear" w:color="auto" w:fill="E5E5E5"/>
          </w:tcPr>
          <w:p>
            <w:pPr>
              <w:spacing w:after="0"/>
              <w:rPr>
                <w:sz w:val="9"/>
                <w:szCs w:val="9"/>
                <w:color w:val="auto"/>
              </w:rPr>
            </w:pPr>
          </w:p>
        </w:tc>
        <w:tc>
          <w:tcPr>
            <w:tcW w:w="1000" w:type="dxa"/>
            <w:vAlign w:val="bottom"/>
            <w:vMerge w:val="continue"/>
            <w:shd w:val="clear" w:color="auto" w:fill="E5E5E5"/>
          </w:tcPr>
          <w:p>
            <w:pPr>
              <w:spacing w:after="0"/>
              <w:rPr>
                <w:sz w:val="9"/>
                <w:szCs w:val="9"/>
                <w:color w:val="auto"/>
              </w:rPr>
            </w:pPr>
          </w:p>
        </w:tc>
        <w:tc>
          <w:tcPr>
            <w:tcW w:w="180" w:type="dxa"/>
            <w:vAlign w:val="bottom"/>
            <w:shd w:val="clear" w:color="auto" w:fill="E5E5E5"/>
          </w:tcPr>
          <w:p>
            <w:pPr>
              <w:spacing w:after="0"/>
              <w:rPr>
                <w:sz w:val="9"/>
                <w:szCs w:val="9"/>
                <w:color w:val="auto"/>
              </w:rPr>
            </w:pPr>
          </w:p>
        </w:tc>
        <w:tc>
          <w:tcPr>
            <w:tcW w:w="720" w:type="dxa"/>
            <w:vAlign w:val="bottom"/>
            <w:vMerge w:val="continue"/>
            <w:shd w:val="clear" w:color="auto" w:fill="E5E5E5"/>
          </w:tcPr>
          <w:p>
            <w:pPr>
              <w:spacing w:after="0"/>
              <w:rPr>
                <w:sz w:val="9"/>
                <w:szCs w:val="9"/>
                <w:color w:val="auto"/>
              </w:rPr>
            </w:pPr>
          </w:p>
        </w:tc>
        <w:tc>
          <w:tcPr>
            <w:tcW w:w="180" w:type="dxa"/>
            <w:vAlign w:val="bottom"/>
            <w:shd w:val="clear" w:color="auto" w:fill="E5E5E5"/>
          </w:tcPr>
          <w:p>
            <w:pPr>
              <w:spacing w:after="0"/>
              <w:rPr>
                <w:sz w:val="9"/>
                <w:szCs w:val="9"/>
                <w:color w:val="auto"/>
              </w:rPr>
            </w:pPr>
          </w:p>
        </w:tc>
        <w:tc>
          <w:tcPr>
            <w:tcW w:w="1060" w:type="dxa"/>
            <w:vAlign w:val="bottom"/>
            <w:vMerge w:val="continue"/>
            <w:shd w:val="clear" w:color="auto" w:fill="E5E5E5"/>
          </w:tcPr>
          <w:p>
            <w:pPr>
              <w:spacing w:after="0"/>
              <w:rPr>
                <w:sz w:val="9"/>
                <w:szCs w:val="9"/>
                <w:color w:val="auto"/>
              </w:rPr>
            </w:pPr>
          </w:p>
        </w:tc>
        <w:tc>
          <w:tcPr>
            <w:tcW w:w="160" w:type="dxa"/>
            <w:vAlign w:val="bottom"/>
            <w:shd w:val="clear" w:color="auto" w:fill="E5E5E5"/>
          </w:tcPr>
          <w:p>
            <w:pPr>
              <w:spacing w:after="0"/>
              <w:rPr>
                <w:sz w:val="9"/>
                <w:szCs w:val="9"/>
                <w:color w:val="auto"/>
              </w:rPr>
            </w:pPr>
          </w:p>
        </w:tc>
        <w:tc>
          <w:tcPr>
            <w:tcW w:w="1160" w:type="dxa"/>
            <w:vAlign w:val="bottom"/>
            <w:vMerge w:val="continue"/>
            <w:shd w:val="clear" w:color="auto" w:fill="E5E5E5"/>
          </w:tcPr>
          <w:p>
            <w:pPr>
              <w:spacing w:after="0"/>
              <w:rPr>
                <w:sz w:val="9"/>
                <w:szCs w:val="9"/>
                <w:color w:val="auto"/>
              </w:rPr>
            </w:pPr>
          </w:p>
        </w:tc>
        <w:tc>
          <w:tcPr>
            <w:tcW w:w="1160" w:type="dxa"/>
            <w:vAlign w:val="bottom"/>
            <w:vMerge w:val="continue"/>
            <w:shd w:val="clear" w:color="auto" w:fill="E5E5E5"/>
          </w:tcPr>
          <w:p>
            <w:pPr>
              <w:spacing w:after="0"/>
              <w:rPr>
                <w:sz w:val="9"/>
                <w:szCs w:val="9"/>
                <w:color w:val="auto"/>
              </w:rPr>
            </w:pPr>
          </w:p>
        </w:tc>
        <w:tc>
          <w:tcPr>
            <w:tcW w:w="320" w:type="dxa"/>
            <w:vAlign w:val="bottom"/>
            <w:shd w:val="clear" w:color="auto" w:fill="E5E5E5"/>
          </w:tcPr>
          <w:p>
            <w:pPr>
              <w:spacing w:after="0"/>
              <w:rPr>
                <w:sz w:val="9"/>
                <w:szCs w:val="9"/>
                <w:color w:val="auto"/>
              </w:rPr>
            </w:pPr>
          </w:p>
        </w:tc>
        <w:tc>
          <w:tcPr>
            <w:tcW w:w="960" w:type="dxa"/>
            <w:vAlign w:val="bottom"/>
            <w:vMerge w:val="continue"/>
            <w:shd w:val="clear" w:color="auto" w:fill="E5E5E5"/>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1840" w:type="dxa"/>
            <w:vAlign w:val="bottom"/>
            <w:shd w:val="clear" w:color="auto" w:fill="E5E5E5"/>
          </w:tcPr>
          <w:p>
            <w:pPr>
              <w:spacing w:after="0"/>
              <w:rPr>
                <w:sz w:val="19"/>
                <w:szCs w:val="19"/>
                <w:color w:val="auto"/>
              </w:rPr>
            </w:pPr>
          </w:p>
        </w:tc>
        <w:tc>
          <w:tcPr>
            <w:tcW w:w="58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740" w:type="dxa"/>
            <w:vAlign w:val="bottom"/>
            <w:gridSpan w:val="2"/>
            <w:shd w:val="clear" w:color="auto" w:fill="E5E5E5"/>
          </w:tcPr>
          <w:p>
            <w:pPr>
              <w:spacing w:after="0"/>
              <w:rPr>
                <w:sz w:val="19"/>
                <w:szCs w:val="19"/>
                <w:color w:val="auto"/>
              </w:rPr>
            </w:pPr>
          </w:p>
        </w:tc>
        <w:tc>
          <w:tcPr>
            <w:tcW w:w="92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100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72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106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1160" w:type="dxa"/>
            <w:vAlign w:val="bottom"/>
            <w:shd w:val="clear" w:color="auto" w:fill="E5E5E5"/>
          </w:tcPr>
          <w:p>
            <w:pPr>
              <w:spacing w:after="0"/>
              <w:rPr>
                <w:sz w:val="19"/>
                <w:szCs w:val="19"/>
                <w:color w:val="auto"/>
              </w:rPr>
            </w:pPr>
          </w:p>
        </w:tc>
        <w:tc>
          <w:tcPr>
            <w:tcW w:w="116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96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840" w:type="dxa"/>
            <w:vAlign w:val="bottom"/>
          </w:tcPr>
          <w:p>
            <w:pPr>
              <w:ind w:left="40"/>
              <w:spacing w:after="0"/>
              <w:rPr>
                <w:sz w:val="20"/>
                <w:szCs w:val="20"/>
                <w:color w:val="auto"/>
              </w:rPr>
            </w:pPr>
            <w:r>
              <w:rPr>
                <w:rFonts w:ascii="Arial" w:cs="Arial" w:eastAsia="Arial" w:hAnsi="Arial"/>
                <w:sz w:val="14"/>
                <w:szCs w:val="14"/>
                <w:b w:val="1"/>
                <w:bCs w:val="1"/>
                <w:color w:val="auto"/>
              </w:rPr>
              <w:t>John A. Fees</w:t>
            </w:r>
          </w:p>
        </w:tc>
        <w:tc>
          <w:tcPr>
            <w:tcW w:w="580" w:type="dxa"/>
            <w:vAlign w:val="bottom"/>
          </w:tcPr>
          <w:p>
            <w:pPr>
              <w:jc w:val="right"/>
              <w:spacing w:after="0"/>
              <w:rPr>
                <w:sz w:val="20"/>
                <w:szCs w:val="20"/>
                <w:color w:val="auto"/>
              </w:rPr>
            </w:pPr>
            <w:r>
              <w:rPr>
                <w:rFonts w:ascii="Arial" w:cs="Arial" w:eastAsia="Arial" w:hAnsi="Arial"/>
                <w:sz w:val="14"/>
                <w:szCs w:val="14"/>
                <w:color w:val="auto"/>
              </w:rPr>
              <w:t>2017</w:t>
            </w:r>
          </w:p>
        </w:tc>
        <w:tc>
          <w:tcPr>
            <w:tcW w:w="16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600,000</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5,317,608</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676,980</w:t>
            </w:r>
          </w:p>
        </w:tc>
        <w:tc>
          <w:tcPr>
            <w:tcW w:w="160" w:type="dxa"/>
            <w:vAlign w:val="bottom"/>
          </w:tcPr>
          <w:p>
            <w:pPr>
              <w:spacing w:after="0"/>
              <w:rPr>
                <w:sz w:val="16"/>
                <w:szCs w:val="16"/>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182,330</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134,597</w:t>
            </w:r>
          </w:p>
        </w:tc>
        <w:tc>
          <w:tcPr>
            <w:tcW w:w="32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6,911,515</w:t>
            </w:r>
          </w:p>
        </w:tc>
        <w:tc>
          <w:tcPr>
            <w:tcW w:w="0" w:type="dxa"/>
            <w:vAlign w:val="bottom"/>
          </w:tcPr>
          <w:p>
            <w:pPr>
              <w:spacing w:after="0"/>
              <w:rPr>
                <w:sz w:val="1"/>
                <w:szCs w:val="1"/>
                <w:color w:val="auto"/>
              </w:rPr>
            </w:pPr>
          </w:p>
        </w:tc>
      </w:tr>
      <w:tr>
        <w:trPr>
          <w:trHeight w:val="172"/>
        </w:trPr>
        <w:tc>
          <w:tcPr>
            <w:tcW w:w="1840" w:type="dxa"/>
            <w:vAlign w:val="bottom"/>
          </w:tcPr>
          <w:p>
            <w:pPr>
              <w:ind w:left="40"/>
              <w:spacing w:after="0"/>
              <w:rPr>
                <w:sz w:val="20"/>
                <w:szCs w:val="20"/>
                <w:color w:val="auto"/>
              </w:rPr>
            </w:pPr>
            <w:r>
              <w:rPr>
                <w:rFonts w:ascii="Arial" w:cs="Arial" w:eastAsia="Arial" w:hAnsi="Arial"/>
                <w:sz w:val="14"/>
                <w:szCs w:val="14"/>
                <w:color w:val="auto"/>
              </w:rPr>
              <w:t>Executive Chairman</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2016</w:t>
            </w:r>
          </w:p>
        </w:tc>
        <w:tc>
          <w:tcPr>
            <w:tcW w:w="160" w:type="dxa"/>
            <w:vAlign w:val="bottom"/>
          </w:tcPr>
          <w:p>
            <w:pPr>
              <w:spacing w:after="0"/>
              <w:rPr>
                <w:sz w:val="14"/>
                <w:szCs w:val="14"/>
                <w:color w:val="auto"/>
              </w:rPr>
            </w:pP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575,000</w:t>
            </w: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1,114,522</w:t>
            </w:r>
          </w:p>
        </w:tc>
        <w:tc>
          <w:tcPr>
            <w:tcW w:w="1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627,771</w:t>
            </w:r>
          </w:p>
        </w:tc>
        <w:tc>
          <w:tcPr>
            <w:tcW w:w="160" w:type="dxa"/>
            <w:vAlign w:val="bottom"/>
          </w:tcPr>
          <w:p>
            <w:pPr>
              <w:spacing w:after="0"/>
              <w:rPr>
                <w:sz w:val="14"/>
                <w:szCs w:val="14"/>
                <w:color w:val="auto"/>
              </w:rPr>
            </w:pPr>
          </w:p>
        </w:tc>
        <w:tc>
          <w:tcPr>
            <w:tcW w:w="11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97,934</w:t>
            </w:r>
          </w:p>
        </w:tc>
        <w:tc>
          <w:tcPr>
            <w:tcW w:w="320" w:type="dxa"/>
            <w:vAlign w:val="bottom"/>
          </w:tcPr>
          <w:p>
            <w:pPr>
              <w:spacing w:after="0"/>
              <w:rPr>
                <w:sz w:val="14"/>
                <w:szCs w:val="14"/>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2,415,227</w:t>
            </w:r>
          </w:p>
        </w:tc>
        <w:tc>
          <w:tcPr>
            <w:tcW w:w="0" w:type="dxa"/>
            <w:vAlign w:val="bottom"/>
          </w:tcPr>
          <w:p>
            <w:pPr>
              <w:spacing w:after="0"/>
              <w:rPr>
                <w:sz w:val="1"/>
                <w:szCs w:val="1"/>
                <w:color w:val="auto"/>
              </w:rPr>
            </w:pPr>
          </w:p>
        </w:tc>
      </w:tr>
      <w:tr>
        <w:trPr>
          <w:trHeight w:val="54"/>
        </w:trPr>
        <w:tc>
          <w:tcPr>
            <w:tcW w:w="184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18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2015</w:t>
            </w:r>
          </w:p>
        </w:tc>
        <w:tc>
          <w:tcPr>
            <w:tcW w:w="16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250,000</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25,000</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1,119,958</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200,250</w:t>
            </w:r>
          </w:p>
        </w:tc>
        <w:tc>
          <w:tcPr>
            <w:tcW w:w="160" w:type="dxa"/>
            <w:vAlign w:val="bottom"/>
          </w:tcPr>
          <w:p>
            <w:pPr>
              <w:spacing w:after="0"/>
              <w:rPr>
                <w:sz w:val="19"/>
                <w:szCs w:val="19"/>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147,244</w:t>
            </w:r>
          </w:p>
        </w:tc>
        <w:tc>
          <w:tcPr>
            <w:tcW w:w="320" w:type="dxa"/>
            <w:vAlign w:val="bottom"/>
          </w:tcPr>
          <w:p>
            <w:pPr>
              <w:spacing w:after="0"/>
              <w:rPr>
                <w:sz w:val="19"/>
                <w:szCs w:val="19"/>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1,742,452</w:t>
            </w:r>
          </w:p>
        </w:tc>
        <w:tc>
          <w:tcPr>
            <w:tcW w:w="0" w:type="dxa"/>
            <w:vAlign w:val="bottom"/>
          </w:tcPr>
          <w:p>
            <w:pPr>
              <w:spacing w:after="0"/>
              <w:rPr>
                <w:sz w:val="1"/>
                <w:szCs w:val="1"/>
                <w:color w:val="auto"/>
              </w:rPr>
            </w:pPr>
          </w:p>
        </w:tc>
      </w:tr>
      <w:tr>
        <w:trPr>
          <w:trHeight w:val="200"/>
        </w:trPr>
        <w:tc>
          <w:tcPr>
            <w:tcW w:w="1840" w:type="dxa"/>
            <w:vAlign w:val="bottom"/>
            <w:shd w:val="clear" w:color="auto" w:fill="E5E5E5"/>
          </w:tcPr>
          <w:p>
            <w:pPr>
              <w:ind w:left="40"/>
              <w:spacing w:after="0"/>
              <w:rPr>
                <w:sz w:val="20"/>
                <w:szCs w:val="20"/>
                <w:color w:val="auto"/>
              </w:rPr>
            </w:pPr>
            <w:r>
              <w:rPr>
                <w:rFonts w:ascii="Arial" w:cs="Arial" w:eastAsia="Arial" w:hAnsi="Arial"/>
                <w:sz w:val="14"/>
                <w:szCs w:val="14"/>
                <w:b w:val="1"/>
                <w:bCs w:val="1"/>
                <w:color w:val="auto"/>
              </w:rPr>
              <w:t>James D. Canafax</w:t>
            </w:r>
          </w:p>
        </w:tc>
        <w:tc>
          <w:tcPr>
            <w:tcW w:w="5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2017</w:t>
            </w:r>
          </w:p>
        </w:tc>
        <w:tc>
          <w:tcPr>
            <w:tcW w:w="160" w:type="dxa"/>
            <w:vAlign w:val="bottom"/>
            <w:shd w:val="clear" w:color="auto" w:fill="E5E5E5"/>
          </w:tcPr>
          <w:p>
            <w:pPr>
              <w:spacing w:after="0"/>
              <w:rPr>
                <w:sz w:val="17"/>
                <w:szCs w:val="17"/>
                <w:color w:val="auto"/>
              </w:rPr>
            </w:pPr>
          </w:p>
        </w:tc>
        <w:tc>
          <w:tcPr>
            <w:tcW w:w="740" w:type="dxa"/>
            <w:vAlign w:val="bottom"/>
            <w:gridSpan w:val="2"/>
            <w:shd w:val="clear" w:color="auto" w:fill="E5E5E5"/>
          </w:tcPr>
          <w:p>
            <w:pPr>
              <w:jc w:val="right"/>
              <w:ind w:right="80"/>
              <w:spacing w:after="0"/>
              <w:rPr>
                <w:sz w:val="20"/>
                <w:szCs w:val="20"/>
                <w:color w:val="auto"/>
              </w:rPr>
            </w:pPr>
            <w:r>
              <w:rPr>
                <w:rFonts w:ascii="Arial" w:cs="Arial" w:eastAsia="Arial" w:hAnsi="Arial"/>
                <w:sz w:val="14"/>
                <w:szCs w:val="14"/>
                <w:color w:val="auto"/>
              </w:rPr>
              <w:t>507,500</w:t>
            </w:r>
          </w:p>
        </w:tc>
        <w:tc>
          <w:tcPr>
            <w:tcW w:w="92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7"/>
                <w:szCs w:val="17"/>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796,510</w:t>
            </w:r>
          </w:p>
        </w:tc>
        <w:tc>
          <w:tcPr>
            <w:tcW w:w="180" w:type="dxa"/>
            <w:vAlign w:val="bottom"/>
            <w:shd w:val="clear" w:color="auto" w:fill="E5E5E5"/>
          </w:tcPr>
          <w:p>
            <w:pPr>
              <w:spacing w:after="0"/>
              <w:rPr>
                <w:sz w:val="17"/>
                <w:szCs w:val="17"/>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rPr>
                <w:sz w:val="17"/>
                <w:szCs w:val="17"/>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458,090</w:t>
            </w:r>
          </w:p>
        </w:tc>
        <w:tc>
          <w:tcPr>
            <w:tcW w:w="160" w:type="dxa"/>
            <w:vAlign w:val="bottom"/>
            <w:shd w:val="clear" w:color="auto" w:fill="E5E5E5"/>
          </w:tcPr>
          <w:p>
            <w:pPr>
              <w:spacing w:after="0"/>
              <w:rPr>
                <w:sz w:val="17"/>
                <w:szCs w:val="17"/>
                <w:color w:val="auto"/>
              </w:rPr>
            </w:pPr>
          </w:p>
        </w:tc>
        <w:tc>
          <w:tcPr>
            <w:tcW w:w="116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124,979</w:t>
            </w:r>
          </w:p>
        </w:tc>
        <w:tc>
          <w:tcPr>
            <w:tcW w:w="320" w:type="dxa"/>
            <w:vAlign w:val="bottom"/>
            <w:shd w:val="clear" w:color="auto" w:fill="E5E5E5"/>
          </w:tcPr>
          <w:p>
            <w:pPr>
              <w:spacing w:after="0"/>
              <w:rPr>
                <w:sz w:val="17"/>
                <w:szCs w:val="17"/>
                <w:color w:val="auto"/>
              </w:rPr>
            </w:pPr>
          </w:p>
        </w:tc>
        <w:tc>
          <w:tcPr>
            <w:tcW w:w="9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1,887,079</w:t>
            </w:r>
          </w:p>
        </w:tc>
        <w:tc>
          <w:tcPr>
            <w:tcW w:w="0" w:type="dxa"/>
            <w:vAlign w:val="bottom"/>
          </w:tcPr>
          <w:p>
            <w:pPr>
              <w:spacing w:after="0"/>
              <w:rPr>
                <w:sz w:val="1"/>
                <w:szCs w:val="1"/>
                <w:color w:val="auto"/>
              </w:rPr>
            </w:pPr>
          </w:p>
        </w:tc>
      </w:tr>
      <w:tr>
        <w:trPr>
          <w:trHeight w:val="144"/>
        </w:trPr>
        <w:tc>
          <w:tcPr>
            <w:tcW w:w="1840" w:type="dxa"/>
            <w:vAlign w:val="bottom"/>
            <w:shd w:val="clear" w:color="auto" w:fill="E5E5E5"/>
          </w:tcPr>
          <w:p>
            <w:pPr>
              <w:ind w:left="40"/>
              <w:spacing w:after="0" w:line="144" w:lineRule="exact"/>
              <w:rPr>
                <w:sz w:val="20"/>
                <w:szCs w:val="20"/>
                <w:color w:val="auto"/>
              </w:rPr>
            </w:pPr>
            <w:r>
              <w:rPr>
                <w:rFonts w:ascii="Arial" w:cs="Arial" w:eastAsia="Arial" w:hAnsi="Arial"/>
                <w:sz w:val="14"/>
                <w:szCs w:val="14"/>
                <w:color w:val="auto"/>
              </w:rPr>
              <w:t>Senior Vice President,</w:t>
            </w:r>
          </w:p>
        </w:tc>
        <w:tc>
          <w:tcPr>
            <w:tcW w:w="58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6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100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72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10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1160" w:type="dxa"/>
            <w:vAlign w:val="bottom"/>
            <w:shd w:val="clear" w:color="auto" w:fill="E5E5E5"/>
          </w:tcPr>
          <w:p>
            <w:pPr>
              <w:spacing w:after="0"/>
              <w:rPr>
                <w:sz w:val="12"/>
                <w:szCs w:val="12"/>
                <w:color w:val="auto"/>
              </w:rPr>
            </w:pPr>
          </w:p>
        </w:tc>
        <w:tc>
          <w:tcPr>
            <w:tcW w:w="1160" w:type="dxa"/>
            <w:vAlign w:val="bottom"/>
            <w:shd w:val="clear" w:color="auto" w:fill="E5E5E5"/>
          </w:tcPr>
          <w:p>
            <w:pPr>
              <w:spacing w:after="0"/>
              <w:rPr>
                <w:sz w:val="12"/>
                <w:szCs w:val="12"/>
                <w:color w:val="auto"/>
              </w:rPr>
            </w:pPr>
          </w:p>
        </w:tc>
        <w:tc>
          <w:tcPr>
            <w:tcW w:w="320" w:type="dxa"/>
            <w:vAlign w:val="bottom"/>
            <w:shd w:val="clear" w:color="auto" w:fill="E5E5E5"/>
          </w:tcPr>
          <w:p>
            <w:pPr>
              <w:spacing w:after="0"/>
              <w:rPr>
                <w:sz w:val="12"/>
                <w:szCs w:val="12"/>
                <w:color w:val="auto"/>
              </w:rPr>
            </w:pPr>
          </w:p>
        </w:tc>
        <w:tc>
          <w:tcPr>
            <w:tcW w:w="96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840" w:type="dxa"/>
            <w:vAlign w:val="bottom"/>
            <w:shd w:val="clear" w:color="auto" w:fill="E5E5E5"/>
          </w:tcPr>
          <w:p>
            <w:pPr>
              <w:ind w:left="40"/>
              <w:spacing w:after="0"/>
              <w:rPr>
                <w:sz w:val="20"/>
                <w:szCs w:val="20"/>
                <w:color w:val="auto"/>
              </w:rPr>
            </w:pPr>
            <w:r>
              <w:rPr>
                <w:rFonts w:ascii="Arial" w:cs="Arial" w:eastAsia="Arial" w:hAnsi="Arial"/>
                <w:sz w:val="14"/>
                <w:szCs w:val="14"/>
                <w:color w:val="auto"/>
              </w:rPr>
              <w:t>General Counsel,</w:t>
            </w:r>
          </w:p>
        </w:tc>
        <w:tc>
          <w:tcPr>
            <w:tcW w:w="5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2016</w:t>
            </w:r>
          </w:p>
        </w:tc>
        <w:tc>
          <w:tcPr>
            <w:tcW w:w="160" w:type="dxa"/>
            <w:vAlign w:val="bottom"/>
            <w:shd w:val="clear" w:color="auto" w:fill="E5E5E5"/>
          </w:tcPr>
          <w:p>
            <w:pPr>
              <w:spacing w:after="0"/>
              <w:rPr>
                <w:sz w:val="15"/>
                <w:szCs w:val="15"/>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497,500</w:t>
            </w:r>
          </w:p>
        </w:tc>
        <w:tc>
          <w:tcPr>
            <w:tcW w:w="80" w:type="dxa"/>
            <w:vAlign w:val="bottom"/>
            <w:shd w:val="clear" w:color="auto" w:fill="E5E5E5"/>
          </w:tcPr>
          <w:p>
            <w:pPr>
              <w:spacing w:after="0"/>
              <w:rPr>
                <w:sz w:val="15"/>
                <w:szCs w:val="15"/>
                <w:color w:val="auto"/>
              </w:rPr>
            </w:pPr>
          </w:p>
        </w:tc>
        <w:tc>
          <w:tcPr>
            <w:tcW w:w="92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5"/>
                <w:szCs w:val="15"/>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826,274</w:t>
            </w:r>
          </w:p>
        </w:tc>
        <w:tc>
          <w:tcPr>
            <w:tcW w:w="180" w:type="dxa"/>
            <w:vAlign w:val="bottom"/>
            <w:shd w:val="clear" w:color="auto" w:fill="E5E5E5"/>
          </w:tcPr>
          <w:p>
            <w:pPr>
              <w:spacing w:after="0"/>
              <w:rPr>
                <w:sz w:val="15"/>
                <w:szCs w:val="15"/>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rPr>
                <w:sz w:val="15"/>
                <w:szCs w:val="15"/>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434,526</w:t>
            </w:r>
          </w:p>
        </w:tc>
        <w:tc>
          <w:tcPr>
            <w:tcW w:w="160" w:type="dxa"/>
            <w:vAlign w:val="bottom"/>
            <w:shd w:val="clear" w:color="auto" w:fill="E5E5E5"/>
          </w:tcPr>
          <w:p>
            <w:pPr>
              <w:spacing w:after="0"/>
              <w:rPr>
                <w:sz w:val="15"/>
                <w:szCs w:val="15"/>
                <w:color w:val="auto"/>
              </w:rPr>
            </w:pPr>
          </w:p>
        </w:tc>
        <w:tc>
          <w:tcPr>
            <w:tcW w:w="116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119,252</w:t>
            </w:r>
          </w:p>
        </w:tc>
        <w:tc>
          <w:tcPr>
            <w:tcW w:w="320" w:type="dxa"/>
            <w:vAlign w:val="bottom"/>
            <w:shd w:val="clear" w:color="auto" w:fill="E5E5E5"/>
          </w:tcPr>
          <w:p>
            <w:pPr>
              <w:spacing w:after="0"/>
              <w:rPr>
                <w:sz w:val="15"/>
                <w:szCs w:val="15"/>
                <w:color w:val="auto"/>
              </w:rPr>
            </w:pPr>
          </w:p>
        </w:tc>
        <w:tc>
          <w:tcPr>
            <w:tcW w:w="9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1,877,552</w:t>
            </w:r>
          </w:p>
        </w:tc>
        <w:tc>
          <w:tcPr>
            <w:tcW w:w="0" w:type="dxa"/>
            <w:vAlign w:val="bottom"/>
          </w:tcPr>
          <w:p>
            <w:pPr>
              <w:spacing w:after="0"/>
              <w:rPr>
                <w:sz w:val="1"/>
                <w:szCs w:val="1"/>
                <w:color w:val="auto"/>
              </w:rPr>
            </w:pPr>
          </w:p>
        </w:tc>
      </w:tr>
      <w:tr>
        <w:trPr>
          <w:trHeight w:val="157"/>
        </w:trPr>
        <w:tc>
          <w:tcPr>
            <w:tcW w:w="1840" w:type="dxa"/>
            <w:vAlign w:val="bottom"/>
            <w:shd w:val="clear" w:color="auto" w:fill="E5E5E5"/>
          </w:tcPr>
          <w:p>
            <w:pPr>
              <w:ind w:left="40"/>
              <w:spacing w:after="0" w:line="157" w:lineRule="exact"/>
              <w:rPr>
                <w:sz w:val="20"/>
                <w:szCs w:val="20"/>
                <w:color w:val="auto"/>
              </w:rPr>
            </w:pPr>
            <w:r>
              <w:rPr>
                <w:rFonts w:ascii="Arial" w:cs="Arial" w:eastAsia="Arial" w:hAnsi="Arial"/>
                <w:sz w:val="14"/>
                <w:szCs w:val="14"/>
                <w:color w:val="auto"/>
              </w:rPr>
              <w:t>Chief Compliance</w:t>
            </w:r>
          </w:p>
        </w:tc>
        <w:tc>
          <w:tcPr>
            <w:tcW w:w="58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66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920" w:type="dxa"/>
            <w:vAlign w:val="bottom"/>
            <w:shd w:val="clear" w:color="auto" w:fill="E5E5E5"/>
          </w:tcPr>
          <w:p>
            <w:pPr>
              <w:spacing w:after="0"/>
              <w:rPr>
                <w:sz w:val="13"/>
                <w:szCs w:val="13"/>
                <w:color w:val="auto"/>
              </w:rPr>
            </w:pPr>
          </w:p>
        </w:tc>
        <w:tc>
          <w:tcPr>
            <w:tcW w:w="280" w:type="dxa"/>
            <w:vAlign w:val="bottom"/>
            <w:shd w:val="clear" w:color="auto" w:fill="E5E5E5"/>
          </w:tcPr>
          <w:p>
            <w:pPr>
              <w:spacing w:after="0"/>
              <w:rPr>
                <w:sz w:val="13"/>
                <w:szCs w:val="13"/>
                <w:color w:val="auto"/>
              </w:rPr>
            </w:pPr>
          </w:p>
        </w:tc>
        <w:tc>
          <w:tcPr>
            <w:tcW w:w="100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72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106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1160" w:type="dxa"/>
            <w:vAlign w:val="bottom"/>
            <w:shd w:val="clear" w:color="auto" w:fill="E5E5E5"/>
          </w:tcPr>
          <w:p>
            <w:pPr>
              <w:spacing w:after="0"/>
              <w:rPr>
                <w:sz w:val="13"/>
                <w:szCs w:val="13"/>
                <w:color w:val="auto"/>
              </w:rPr>
            </w:pPr>
          </w:p>
        </w:tc>
        <w:tc>
          <w:tcPr>
            <w:tcW w:w="1160" w:type="dxa"/>
            <w:vAlign w:val="bottom"/>
            <w:shd w:val="clear" w:color="auto" w:fill="E5E5E5"/>
          </w:tcPr>
          <w:p>
            <w:pPr>
              <w:spacing w:after="0"/>
              <w:rPr>
                <w:sz w:val="13"/>
                <w:szCs w:val="13"/>
                <w:color w:val="auto"/>
              </w:rPr>
            </w:pPr>
          </w:p>
        </w:tc>
        <w:tc>
          <w:tcPr>
            <w:tcW w:w="320" w:type="dxa"/>
            <w:vAlign w:val="bottom"/>
            <w:shd w:val="clear" w:color="auto" w:fill="E5E5E5"/>
          </w:tcPr>
          <w:p>
            <w:pPr>
              <w:spacing w:after="0"/>
              <w:rPr>
                <w:sz w:val="13"/>
                <w:szCs w:val="13"/>
                <w:color w:val="auto"/>
              </w:rPr>
            </w:pPr>
          </w:p>
        </w:tc>
        <w:tc>
          <w:tcPr>
            <w:tcW w:w="96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840" w:type="dxa"/>
            <w:vAlign w:val="bottom"/>
            <w:shd w:val="clear" w:color="auto" w:fill="E5E5E5"/>
          </w:tcPr>
          <w:p>
            <w:pPr>
              <w:ind w:left="40"/>
              <w:spacing w:after="0"/>
              <w:rPr>
                <w:sz w:val="20"/>
                <w:szCs w:val="20"/>
                <w:color w:val="auto"/>
              </w:rPr>
            </w:pPr>
            <w:r>
              <w:rPr>
                <w:rFonts w:ascii="Arial" w:cs="Arial" w:eastAsia="Arial" w:hAnsi="Arial"/>
                <w:sz w:val="14"/>
                <w:szCs w:val="14"/>
                <w:color w:val="auto"/>
              </w:rPr>
              <w:t>Officer and Corporate</w:t>
            </w:r>
          </w:p>
        </w:tc>
        <w:tc>
          <w:tcPr>
            <w:tcW w:w="5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2015</w:t>
            </w:r>
          </w:p>
        </w:tc>
        <w:tc>
          <w:tcPr>
            <w:tcW w:w="160" w:type="dxa"/>
            <w:vAlign w:val="bottom"/>
            <w:shd w:val="clear" w:color="auto" w:fill="E5E5E5"/>
          </w:tcPr>
          <w:p>
            <w:pPr>
              <w:spacing w:after="0"/>
              <w:rPr>
                <w:sz w:val="14"/>
                <w:szCs w:val="14"/>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486,250</w:t>
            </w:r>
          </w:p>
        </w:tc>
        <w:tc>
          <w:tcPr>
            <w:tcW w:w="80" w:type="dxa"/>
            <w:vAlign w:val="bottom"/>
            <w:shd w:val="clear" w:color="auto" w:fill="E5E5E5"/>
          </w:tcPr>
          <w:p>
            <w:pPr>
              <w:spacing w:after="0"/>
              <w:rPr>
                <w:sz w:val="14"/>
                <w:szCs w:val="14"/>
                <w:color w:val="auto"/>
              </w:rPr>
            </w:pPr>
          </w:p>
        </w:tc>
        <w:tc>
          <w:tcPr>
            <w:tcW w:w="92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75,000</w:t>
            </w:r>
          </w:p>
        </w:tc>
        <w:tc>
          <w:tcPr>
            <w:tcW w:w="280" w:type="dxa"/>
            <w:vAlign w:val="bottom"/>
            <w:shd w:val="clear" w:color="auto" w:fill="E5E5E5"/>
          </w:tcPr>
          <w:p>
            <w:pPr>
              <w:spacing w:after="0"/>
              <w:rPr>
                <w:sz w:val="14"/>
                <w:szCs w:val="14"/>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2,103,476</w:t>
            </w:r>
          </w:p>
        </w:tc>
        <w:tc>
          <w:tcPr>
            <w:tcW w:w="180" w:type="dxa"/>
            <w:vAlign w:val="bottom"/>
            <w:shd w:val="clear" w:color="auto" w:fill="E5E5E5"/>
          </w:tcPr>
          <w:p>
            <w:pPr>
              <w:spacing w:after="0"/>
              <w:rPr>
                <w:sz w:val="14"/>
                <w:szCs w:val="14"/>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318,163</w:t>
            </w:r>
          </w:p>
        </w:tc>
        <w:tc>
          <w:tcPr>
            <w:tcW w:w="180" w:type="dxa"/>
            <w:vAlign w:val="bottom"/>
            <w:shd w:val="clear" w:color="auto" w:fill="E5E5E5"/>
          </w:tcPr>
          <w:p>
            <w:pPr>
              <w:spacing w:after="0"/>
              <w:rPr>
                <w:sz w:val="14"/>
                <w:szCs w:val="14"/>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343,890</w:t>
            </w:r>
          </w:p>
        </w:tc>
        <w:tc>
          <w:tcPr>
            <w:tcW w:w="160" w:type="dxa"/>
            <w:vAlign w:val="bottom"/>
            <w:shd w:val="clear" w:color="auto" w:fill="E5E5E5"/>
          </w:tcPr>
          <w:p>
            <w:pPr>
              <w:spacing w:after="0"/>
              <w:rPr>
                <w:sz w:val="14"/>
                <w:szCs w:val="14"/>
                <w:color w:val="auto"/>
              </w:rPr>
            </w:pPr>
          </w:p>
        </w:tc>
        <w:tc>
          <w:tcPr>
            <w:tcW w:w="116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140,326</w:t>
            </w:r>
          </w:p>
        </w:tc>
        <w:tc>
          <w:tcPr>
            <w:tcW w:w="320" w:type="dxa"/>
            <w:vAlign w:val="bottom"/>
            <w:shd w:val="clear" w:color="auto" w:fill="E5E5E5"/>
          </w:tcPr>
          <w:p>
            <w:pPr>
              <w:spacing w:after="0"/>
              <w:rPr>
                <w:sz w:val="14"/>
                <w:szCs w:val="14"/>
                <w:color w:val="auto"/>
              </w:rPr>
            </w:pPr>
          </w:p>
        </w:tc>
        <w:tc>
          <w:tcPr>
            <w:tcW w:w="9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3,467,105</w:t>
            </w:r>
          </w:p>
        </w:tc>
        <w:tc>
          <w:tcPr>
            <w:tcW w:w="0" w:type="dxa"/>
            <w:vAlign w:val="bottom"/>
          </w:tcPr>
          <w:p>
            <w:pPr>
              <w:spacing w:after="0"/>
              <w:rPr>
                <w:sz w:val="1"/>
                <w:szCs w:val="1"/>
                <w:color w:val="auto"/>
              </w:rPr>
            </w:pPr>
          </w:p>
        </w:tc>
      </w:tr>
      <w:tr>
        <w:trPr>
          <w:trHeight w:val="184"/>
        </w:trPr>
        <w:tc>
          <w:tcPr>
            <w:tcW w:w="1840" w:type="dxa"/>
            <w:vAlign w:val="bottom"/>
            <w:shd w:val="clear" w:color="auto" w:fill="E5E5E5"/>
          </w:tcPr>
          <w:p>
            <w:pPr>
              <w:ind w:left="40"/>
              <w:spacing w:after="0"/>
              <w:rPr>
                <w:sz w:val="20"/>
                <w:szCs w:val="20"/>
                <w:color w:val="auto"/>
              </w:rPr>
            </w:pPr>
            <w:r>
              <w:rPr>
                <w:rFonts w:ascii="Arial" w:cs="Arial" w:eastAsia="Arial" w:hAnsi="Arial"/>
                <w:sz w:val="14"/>
                <w:szCs w:val="14"/>
                <w:color w:val="auto"/>
              </w:rPr>
              <w:t>Secretary</w:t>
            </w:r>
          </w:p>
        </w:tc>
        <w:tc>
          <w:tcPr>
            <w:tcW w:w="5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66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160" w:type="dxa"/>
            <w:vAlign w:val="bottom"/>
            <w:shd w:val="clear" w:color="auto" w:fill="E5E5E5"/>
          </w:tcPr>
          <w:p>
            <w:pPr>
              <w:spacing w:after="0"/>
              <w:rPr>
                <w:sz w:val="16"/>
                <w:szCs w:val="16"/>
                <w:color w:val="auto"/>
              </w:rPr>
            </w:pPr>
          </w:p>
        </w:tc>
        <w:tc>
          <w:tcPr>
            <w:tcW w:w="116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40" w:type="dxa"/>
            <w:vAlign w:val="bottom"/>
          </w:tcPr>
          <w:p>
            <w:pPr>
              <w:ind w:left="40"/>
              <w:spacing w:after="0"/>
              <w:rPr>
                <w:sz w:val="20"/>
                <w:szCs w:val="20"/>
                <w:color w:val="auto"/>
              </w:rPr>
            </w:pPr>
            <w:r>
              <w:rPr>
                <w:rFonts w:ascii="Arial" w:cs="Arial" w:eastAsia="Arial" w:hAnsi="Arial"/>
                <w:sz w:val="14"/>
                <w:szCs w:val="14"/>
                <w:b w:val="1"/>
                <w:bCs w:val="1"/>
                <w:color w:val="auto"/>
              </w:rPr>
              <w:t>Joseph G. Henry</w:t>
            </w:r>
          </w:p>
        </w:tc>
        <w:tc>
          <w:tcPr>
            <w:tcW w:w="580" w:type="dxa"/>
            <w:vAlign w:val="bottom"/>
          </w:tcPr>
          <w:p>
            <w:pPr>
              <w:jc w:val="right"/>
              <w:spacing w:after="0"/>
              <w:rPr>
                <w:sz w:val="20"/>
                <w:szCs w:val="20"/>
                <w:color w:val="auto"/>
              </w:rPr>
            </w:pPr>
            <w:r>
              <w:rPr>
                <w:rFonts w:ascii="Arial" w:cs="Arial" w:eastAsia="Arial" w:hAnsi="Arial"/>
                <w:sz w:val="14"/>
                <w:szCs w:val="14"/>
                <w:color w:val="auto"/>
              </w:rPr>
              <w:t>2017</w:t>
            </w:r>
          </w:p>
        </w:tc>
        <w:tc>
          <w:tcPr>
            <w:tcW w:w="16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467,500</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531,022</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406,388</w:t>
            </w:r>
          </w:p>
        </w:tc>
        <w:tc>
          <w:tcPr>
            <w:tcW w:w="160" w:type="dxa"/>
            <w:vAlign w:val="bottom"/>
          </w:tcPr>
          <w:p>
            <w:pPr>
              <w:spacing w:after="0"/>
              <w:rPr>
                <w:sz w:val="16"/>
                <w:szCs w:val="16"/>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66,706</w:t>
            </w:r>
          </w:p>
        </w:tc>
        <w:tc>
          <w:tcPr>
            <w:tcW w:w="32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1,471,616</w:t>
            </w:r>
          </w:p>
        </w:tc>
        <w:tc>
          <w:tcPr>
            <w:tcW w:w="0" w:type="dxa"/>
            <w:vAlign w:val="bottom"/>
          </w:tcPr>
          <w:p>
            <w:pPr>
              <w:spacing w:after="0"/>
              <w:rPr>
                <w:sz w:val="1"/>
                <w:szCs w:val="1"/>
                <w:color w:val="auto"/>
              </w:rPr>
            </w:pPr>
          </w:p>
        </w:tc>
      </w:tr>
      <w:tr>
        <w:trPr>
          <w:trHeight w:val="162"/>
        </w:trPr>
        <w:tc>
          <w:tcPr>
            <w:tcW w:w="1840" w:type="dxa"/>
            <w:vAlign w:val="bottom"/>
          </w:tcPr>
          <w:p>
            <w:pPr>
              <w:ind w:left="40"/>
              <w:spacing w:after="0"/>
              <w:rPr>
                <w:sz w:val="20"/>
                <w:szCs w:val="20"/>
                <w:color w:val="auto"/>
              </w:rPr>
            </w:pPr>
            <w:r>
              <w:rPr>
                <w:rFonts w:ascii="Arial" w:cs="Arial" w:eastAsia="Arial" w:hAnsi="Arial"/>
                <w:sz w:val="14"/>
                <w:szCs w:val="14"/>
                <w:color w:val="auto"/>
              </w:rPr>
              <w:t>President, BWXT Nuclear</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40" w:type="dxa"/>
            <w:vAlign w:val="bottom"/>
          </w:tcPr>
          <w:p>
            <w:pPr>
              <w:ind w:left="40"/>
              <w:spacing w:after="0"/>
              <w:rPr>
                <w:sz w:val="20"/>
                <w:szCs w:val="20"/>
                <w:color w:val="auto"/>
              </w:rPr>
            </w:pPr>
            <w:r>
              <w:rPr>
                <w:rFonts w:ascii="Arial" w:cs="Arial" w:eastAsia="Arial" w:hAnsi="Arial"/>
                <w:sz w:val="14"/>
                <w:szCs w:val="14"/>
                <w:color w:val="auto"/>
              </w:rPr>
              <w:t>Operations Group, Inc.</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ind w:left="340" w:hanging="332"/>
        <w:spacing w:after="0"/>
        <w:tabs>
          <w:tab w:leader="none" w:pos="340" w:val="left"/>
        </w:tabs>
        <w:numPr>
          <w:ilvl w:val="0"/>
          <w:numId w:val="96"/>
        </w:numPr>
        <w:rPr>
          <w:rFonts w:ascii="Arial" w:cs="Arial" w:eastAsia="Arial" w:hAnsi="Arial"/>
          <w:sz w:val="14"/>
          <w:szCs w:val="14"/>
          <w:i w:val="1"/>
          <w:iCs w:val="1"/>
          <w:color w:val="auto"/>
        </w:rPr>
      </w:pPr>
      <w:r>
        <w:rPr>
          <w:rFonts w:ascii="Arial" w:cs="Arial" w:eastAsia="Arial" w:hAnsi="Arial"/>
          <w:sz w:val="14"/>
          <w:szCs w:val="14"/>
          <w:i w:val="1"/>
          <w:iCs w:val="1"/>
          <w:color w:val="auto"/>
        </w:rPr>
        <w:t>See “Salary” below for a discussion of the amounts reported in this column.</w:t>
      </w:r>
    </w:p>
    <w:p>
      <w:pPr>
        <w:spacing w:after="0" w:line="15" w:lineRule="exact"/>
        <w:rPr>
          <w:rFonts w:ascii="Arial" w:cs="Arial" w:eastAsia="Arial" w:hAnsi="Arial"/>
          <w:sz w:val="14"/>
          <w:szCs w:val="14"/>
          <w:i w:val="1"/>
          <w:iCs w:val="1"/>
          <w:color w:val="auto"/>
        </w:rPr>
      </w:pPr>
    </w:p>
    <w:p>
      <w:pPr>
        <w:ind w:left="340" w:hanging="332"/>
        <w:spacing w:after="0"/>
        <w:tabs>
          <w:tab w:leader="none" w:pos="340" w:val="left"/>
        </w:tabs>
        <w:numPr>
          <w:ilvl w:val="0"/>
          <w:numId w:val="96"/>
        </w:numPr>
        <w:rPr>
          <w:rFonts w:ascii="Arial" w:cs="Arial" w:eastAsia="Arial" w:hAnsi="Arial"/>
          <w:sz w:val="14"/>
          <w:szCs w:val="14"/>
          <w:i w:val="1"/>
          <w:iCs w:val="1"/>
          <w:color w:val="auto"/>
        </w:rPr>
      </w:pPr>
      <w:r>
        <w:rPr>
          <w:rFonts w:ascii="Arial" w:cs="Arial" w:eastAsia="Arial" w:hAnsi="Arial"/>
          <w:sz w:val="14"/>
          <w:szCs w:val="14"/>
          <w:i w:val="1"/>
          <w:iCs w:val="1"/>
          <w:color w:val="auto"/>
        </w:rPr>
        <w:t>See "Bonus" below for a discussion of the amounts reported in this column.</w:t>
      </w:r>
    </w:p>
    <w:p>
      <w:pPr>
        <w:spacing w:after="0" w:line="1" w:lineRule="exact"/>
        <w:rPr>
          <w:rFonts w:ascii="Arial" w:cs="Arial" w:eastAsia="Arial" w:hAnsi="Arial"/>
          <w:sz w:val="14"/>
          <w:szCs w:val="14"/>
          <w:i w:val="1"/>
          <w:iCs w:val="1"/>
          <w:color w:val="auto"/>
        </w:rPr>
      </w:pPr>
    </w:p>
    <w:p>
      <w:pPr>
        <w:ind w:left="340" w:hanging="332"/>
        <w:spacing w:after="0"/>
        <w:tabs>
          <w:tab w:leader="none" w:pos="340" w:val="left"/>
        </w:tabs>
        <w:numPr>
          <w:ilvl w:val="0"/>
          <w:numId w:val="96"/>
        </w:numPr>
        <w:rPr>
          <w:rFonts w:ascii="Arial" w:cs="Arial" w:eastAsia="Arial" w:hAnsi="Arial"/>
          <w:sz w:val="14"/>
          <w:szCs w:val="14"/>
          <w:i w:val="1"/>
          <w:iCs w:val="1"/>
          <w:color w:val="auto"/>
        </w:rPr>
      </w:pPr>
      <w:r>
        <w:rPr>
          <w:rFonts w:ascii="Arial" w:cs="Arial" w:eastAsia="Arial" w:hAnsi="Arial"/>
          <w:sz w:val="14"/>
          <w:szCs w:val="14"/>
          <w:i w:val="1"/>
          <w:iCs w:val="1"/>
          <w:color w:val="auto"/>
        </w:rPr>
        <w:t>See “Stock and Option Awards” below for a discussion of the amounts included in this column.</w:t>
      </w:r>
    </w:p>
    <w:p>
      <w:pPr>
        <w:spacing w:after="0" w:line="1" w:lineRule="exact"/>
        <w:rPr>
          <w:rFonts w:ascii="Arial" w:cs="Arial" w:eastAsia="Arial" w:hAnsi="Arial"/>
          <w:sz w:val="14"/>
          <w:szCs w:val="14"/>
          <w:i w:val="1"/>
          <w:iCs w:val="1"/>
          <w:color w:val="auto"/>
        </w:rPr>
      </w:pPr>
    </w:p>
    <w:p>
      <w:pPr>
        <w:ind w:left="340" w:hanging="332"/>
        <w:spacing w:after="0"/>
        <w:tabs>
          <w:tab w:leader="none" w:pos="340" w:val="left"/>
        </w:tabs>
        <w:numPr>
          <w:ilvl w:val="0"/>
          <w:numId w:val="96"/>
        </w:numPr>
        <w:rPr>
          <w:rFonts w:ascii="Arial" w:cs="Arial" w:eastAsia="Arial" w:hAnsi="Arial"/>
          <w:sz w:val="14"/>
          <w:szCs w:val="14"/>
          <w:i w:val="1"/>
          <w:iCs w:val="1"/>
          <w:color w:val="auto"/>
        </w:rPr>
      </w:pPr>
      <w:r>
        <w:rPr>
          <w:rFonts w:ascii="Arial" w:cs="Arial" w:eastAsia="Arial" w:hAnsi="Arial"/>
          <w:sz w:val="14"/>
          <w:szCs w:val="14"/>
          <w:i w:val="1"/>
          <w:iCs w:val="1"/>
          <w:color w:val="auto"/>
        </w:rPr>
        <w:t>See “Non-Equity Incentive Plan Compensation” below for a discussion of the amounts included in this column.</w:t>
      </w:r>
    </w:p>
    <w:p>
      <w:pPr>
        <w:spacing w:after="0" w:line="1" w:lineRule="exact"/>
        <w:rPr>
          <w:rFonts w:ascii="Arial" w:cs="Arial" w:eastAsia="Arial" w:hAnsi="Arial"/>
          <w:sz w:val="14"/>
          <w:szCs w:val="14"/>
          <w:i w:val="1"/>
          <w:iCs w:val="1"/>
          <w:color w:val="auto"/>
        </w:rPr>
      </w:pPr>
    </w:p>
    <w:p>
      <w:pPr>
        <w:ind w:left="340" w:hanging="332"/>
        <w:spacing w:after="0"/>
        <w:tabs>
          <w:tab w:leader="none" w:pos="340" w:val="left"/>
        </w:tabs>
        <w:numPr>
          <w:ilvl w:val="0"/>
          <w:numId w:val="96"/>
        </w:numPr>
        <w:rPr>
          <w:rFonts w:ascii="Arial" w:cs="Arial" w:eastAsia="Arial" w:hAnsi="Arial"/>
          <w:sz w:val="14"/>
          <w:szCs w:val="14"/>
          <w:i w:val="1"/>
          <w:iCs w:val="1"/>
          <w:color w:val="auto"/>
        </w:rPr>
      </w:pPr>
      <w:r>
        <w:rPr>
          <w:rFonts w:ascii="Arial" w:cs="Arial" w:eastAsia="Arial" w:hAnsi="Arial"/>
          <w:sz w:val="14"/>
          <w:szCs w:val="14"/>
          <w:i w:val="1"/>
          <w:iCs w:val="1"/>
          <w:color w:val="auto"/>
        </w:rPr>
        <w:t>See “Change in Pension Value and Nonqualified Deferred Compensation Earnings” below for a discussion of the amounts included in this column.</w:t>
      </w:r>
    </w:p>
    <w:p>
      <w:pPr>
        <w:spacing w:after="0" w:line="1" w:lineRule="exact"/>
        <w:rPr>
          <w:rFonts w:ascii="Arial" w:cs="Arial" w:eastAsia="Arial" w:hAnsi="Arial"/>
          <w:sz w:val="14"/>
          <w:szCs w:val="14"/>
          <w:i w:val="1"/>
          <w:iCs w:val="1"/>
          <w:color w:val="auto"/>
        </w:rPr>
      </w:pPr>
    </w:p>
    <w:p>
      <w:pPr>
        <w:ind w:left="340" w:hanging="332"/>
        <w:spacing w:after="0"/>
        <w:tabs>
          <w:tab w:leader="none" w:pos="340" w:val="left"/>
        </w:tabs>
        <w:numPr>
          <w:ilvl w:val="0"/>
          <w:numId w:val="96"/>
        </w:numPr>
        <w:rPr>
          <w:rFonts w:ascii="Arial" w:cs="Arial" w:eastAsia="Arial" w:hAnsi="Arial"/>
          <w:sz w:val="14"/>
          <w:szCs w:val="14"/>
          <w:i w:val="1"/>
          <w:iCs w:val="1"/>
          <w:color w:val="auto"/>
        </w:rPr>
      </w:pPr>
      <w:r>
        <w:rPr>
          <w:rFonts w:ascii="Arial" w:cs="Arial" w:eastAsia="Arial" w:hAnsi="Arial"/>
          <w:sz w:val="14"/>
          <w:szCs w:val="14"/>
          <w:i w:val="1"/>
          <w:iCs w:val="1"/>
          <w:color w:val="auto"/>
        </w:rPr>
        <w:t>See “All Other Compensation” below for a discussion of the 2017 amounts included in this column.</w:t>
      </w:r>
    </w:p>
    <w:p>
      <w:pPr>
        <w:spacing w:after="0" w:line="190"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b w:val="1"/>
          <w:bCs w:val="1"/>
          <w:i w:val="1"/>
          <w:iCs w:val="1"/>
          <w:color w:val="auto"/>
        </w:rPr>
        <w:t xml:space="preserve">Salary. </w:t>
      </w:r>
      <w:r>
        <w:rPr>
          <w:rFonts w:ascii="Arial" w:cs="Arial" w:eastAsia="Arial" w:hAnsi="Arial"/>
          <w:sz w:val="18"/>
          <w:szCs w:val="18"/>
          <w:color w:val="auto"/>
        </w:rPr>
        <w:t>Amounts reported in the “Salary” column above include amounts that have been deferred under our qualified and non-qualified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deferred compensation plans.</w:t>
      </w:r>
    </w:p>
    <w:p>
      <w:pPr>
        <w:spacing w:after="0" w:line="15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auto"/>
        </w:rPr>
        <w:t xml:space="preserve">Bonus. </w:t>
      </w:r>
      <w:r>
        <w:rPr>
          <w:rFonts w:ascii="Arial" w:cs="Arial" w:eastAsia="Arial" w:hAnsi="Arial"/>
          <w:sz w:val="18"/>
          <w:szCs w:val="18"/>
          <w:color w:val="auto"/>
        </w:rPr>
        <w:t>The amount reported in this column for Mr. Geveden represents 50% of a one-time bonus he received in February 2017 stemming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joining our Company as our Chief Operating Officer in October 2015. The one-time bonus represents reimbursement for cash he forfeited from his previous employer and was subject to 100% reimbursement to the Company if Mr. Geveden voluntarily left the Company on or prior to the first anniversary of such payment.</w:t>
      </w:r>
    </w:p>
    <w:p>
      <w:pPr>
        <w:spacing w:after="0" w:line="17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i w:val="1"/>
          <w:iCs w:val="1"/>
          <w:color w:val="auto"/>
        </w:rPr>
        <w:t xml:space="preserve">Stock and Option Awards. </w:t>
      </w:r>
      <w:r>
        <w:rPr>
          <w:rFonts w:ascii="Arial" w:cs="Arial" w:eastAsia="Arial" w:hAnsi="Arial"/>
          <w:sz w:val="18"/>
          <w:szCs w:val="18"/>
          <w:color w:val="auto"/>
        </w:rPr>
        <w:t>The amounts reported in the “Stock Awards” and “Option Awards” columns for each Named Executive other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Fees represent the aggregate grant date fair value of all stock and option awards granted to Named Executives in 2017 computed in accordance with Financial Accounting Standards Board Accounting Standards Codification (“FASB ASC”) Topic 718, excluding the effect of estimated forfeitures. The amount reported for Mr. Fees in the "Stock Awards" column represents (i) the aggregate grant date fair value of the stock awards granted to Mr. Fees in 2017 and (ii) the aggregate incremental fair value computed in accordance with FASB ASC Topic 718, of the modification of Mr. Fees' stock awards granted in and prior to 2017 on December 14, 2017 pursuant to the Transition Agreement. See "Section 4: Other Benefits and Practices — Transition of Executive Chairman" on page 36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2C2C2C"/>
        </w:rPr>
        <w:t xml:space="preserve">40 </w:t>
      </w:r>
      <w:r>
        <w:rPr>
          <w:sz w:val="1"/>
          <w:szCs w:val="1"/>
          <w:color w:val="auto"/>
        </w:rPr>
        <w:drawing>
          <wp:inline distT="0" distB="0" distL="0" distR="0">
            <wp:extent cx="445770" cy="18034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45770" cy="180340"/>
                    </a:xfrm>
                    <a:prstGeom prst="rect">
                      <a:avLst/>
                    </a:prstGeom>
                    <a:noFill/>
                    <a:ln>
                      <a:noFill/>
                    </a:ln>
                  </pic:spPr>
                </pic:pic>
              </a:graphicData>
            </a:graphic>
          </wp:inline>
        </w:drawing>
      </w:r>
      <w:r>
        <w:rPr>
          <w:rFonts w:ascii="Arial" w:cs="Arial" w:eastAsia="Arial" w:hAnsi="Arial"/>
          <w:sz w:val="18"/>
          <w:szCs w:val="18"/>
          <w:color w:val="auto"/>
        </w:rPr>
        <w:t xml:space="preserve"> 2018 PROXY STATEMENT</w:t>
      </w:r>
    </w:p>
    <w:p>
      <w:pPr>
        <w:sectPr>
          <w:pgSz w:w="11900" w:h="16838" w:orient="portrait"/>
          <w:cols w:equalWidth="0" w:num="1">
            <w:col w:w="11420"/>
          </w:cols>
          <w:pgMar w:left="240" w:top="125" w:right="239" w:bottom="1440" w:gutter="0" w:footer="0" w:header="0"/>
        </w:sectPr>
      </w:pPr>
    </w:p>
    <w:bookmarkStart w:id="49" w:name="page50"/>
    <w:bookmarkEnd w:id="49"/>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left="960"/>
        <w:spacing w:after="0"/>
        <w:rPr>
          <w:sz w:val="20"/>
          <w:szCs w:val="20"/>
          <w:color w:val="auto"/>
        </w:rPr>
      </w:pPr>
      <w:r>
        <w:rPr>
          <w:rFonts w:ascii="Arial" w:cs="Arial" w:eastAsia="Arial" w:hAnsi="Arial"/>
          <w:sz w:val="14"/>
          <w:szCs w:val="14"/>
          <w:color w:val="auto"/>
        </w:rPr>
        <w:t>COMPENSATION OF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amounts reported in the "Stock Awards" column include the grant date fair values of restricted stock units and performance restricted stock units granted to our Named Executives in 2017. The values for performance restricted stock units are based on our Named Executives attaining target performance levels, which we determined was the probable outcome at the time of grant. Assuming maximum performance levels were probable, the grant date fair value of each Named Executive's performance restricted stock unit awards would be as follows: $1,436,647 for Mr. Geveden; $374,744 for Mr. Black; $780,773 for Mr. Fees; $468,454 for Mr. Canafax and $312,319 for Mr. Henry.</w:t>
      </w:r>
    </w:p>
    <w:p>
      <w:pPr>
        <w:spacing w:after="0" w:line="206" w:lineRule="exact"/>
        <w:rPr>
          <w:sz w:val="20"/>
          <w:szCs w:val="20"/>
          <w:color w:val="auto"/>
        </w:rPr>
      </w:pPr>
    </w:p>
    <w:p>
      <w:pPr>
        <w:ind w:left="40" w:right="20" w:hanging="35"/>
        <w:spacing w:after="0" w:line="262" w:lineRule="auto"/>
        <w:rPr>
          <w:sz w:val="20"/>
          <w:szCs w:val="20"/>
          <w:color w:val="auto"/>
        </w:rPr>
      </w:pPr>
      <w:r>
        <w:rPr>
          <w:rFonts w:ascii="Arial" w:cs="Arial" w:eastAsia="Arial" w:hAnsi="Arial"/>
          <w:sz w:val="18"/>
          <w:szCs w:val="18"/>
          <w:color w:val="auto"/>
        </w:rPr>
        <w:t>For a discussion of the valuation assumptions used in determining the grant date fair value, see Note 9 to our consolidated financial statements included in our annual report on Form 10-K for the year ended December 31, 2017.</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See the “Grants of Plan-Based Awards” table for more information regarding the stock awards granted to our Named Executives in 2017.</w:t>
      </w:r>
    </w:p>
    <w:p>
      <w:pPr>
        <w:spacing w:after="0" w:line="203"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b w:val="1"/>
          <w:bCs w:val="1"/>
          <w:i w:val="1"/>
          <w:iCs w:val="1"/>
          <w:color w:val="auto"/>
        </w:rPr>
        <w:t>Non-Equity Incentive Plan Compensation</w:t>
      </w:r>
      <w:r>
        <w:rPr>
          <w:rFonts w:ascii="Arial" w:cs="Arial" w:eastAsia="Arial" w:hAnsi="Arial"/>
          <w:sz w:val="18"/>
          <w:szCs w:val="18"/>
          <w:color w:val="auto"/>
        </w:rPr>
        <w:t>. The amounts reported in the “Non-Equity Incentive Plan Compensation” column are attributable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annual incentive awards earned under our EICP. See the “Grants of Plan-Based Awards” table for more information regarding the annual incentive awards earned in 2017.</w:t>
      </w:r>
    </w:p>
    <w:p>
      <w:pPr>
        <w:spacing w:after="0" w:line="16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b w:val="1"/>
          <w:bCs w:val="1"/>
          <w:i w:val="1"/>
          <w:iCs w:val="1"/>
          <w:color w:val="auto"/>
        </w:rPr>
        <w:t>Change in Pension Value and Nonqualified Deferred Compensation Earnings</w:t>
      </w:r>
      <w:r>
        <w:rPr>
          <w:rFonts w:ascii="Arial" w:cs="Arial" w:eastAsia="Arial" w:hAnsi="Arial"/>
          <w:sz w:val="18"/>
          <w:szCs w:val="18"/>
          <w:color w:val="auto"/>
        </w:rPr>
        <w:t>. The amounts reported in the “Change in Pension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Nonqualified Deferred Compensation Earnings” column represent the changes in actuarial present values of the accumulated benefits under defined benefit plans, determined by comparing the prior completed fiscal year end amount to the covered fiscal year end amount. The discount rates applicable to our pension plans are 3.71% and 3.60% for the Qualified Plan and Excess Plan, respectively, at December 31, 2017. The discount rate applicable to our qualified pension plans at December 31, 2016 and December 31, 2015 was 4.21% and 4.3%, respectively.</w:t>
      </w:r>
    </w:p>
    <w:p>
      <w:pPr>
        <w:spacing w:after="0" w:line="183" w:lineRule="exact"/>
        <w:rPr>
          <w:sz w:val="20"/>
          <w:szCs w:val="20"/>
          <w:color w:val="auto"/>
        </w:rPr>
      </w:pPr>
    </w:p>
    <w:p>
      <w:pPr>
        <w:spacing w:after="0"/>
        <w:tabs>
          <w:tab w:leader="none" w:pos="2300" w:val="left"/>
        </w:tabs>
        <w:rPr>
          <w:sz w:val="20"/>
          <w:szCs w:val="20"/>
          <w:color w:val="auto"/>
        </w:rPr>
      </w:pPr>
      <w:r>
        <w:rPr>
          <w:rFonts w:ascii="Arial" w:cs="Arial" w:eastAsia="Arial" w:hAnsi="Arial"/>
          <w:sz w:val="18"/>
          <w:szCs w:val="18"/>
          <w:b w:val="1"/>
          <w:bCs w:val="1"/>
          <w:i w:val="1"/>
          <w:iCs w:val="1"/>
          <w:color w:val="auto"/>
        </w:rPr>
        <w:t>All Other Compensation</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amounts reported for 2017 in the “All Other Compensation” column are attributable to the following: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COMPENSATION</w:t>
      </w:r>
    </w:p>
    <w:p>
      <w:pPr>
        <w:spacing w:after="0" w:line="167" w:lineRule="exact"/>
        <w:rPr>
          <w:sz w:val="20"/>
          <w:szCs w:val="20"/>
          <w:color w:val="auto"/>
        </w:rPr>
      </w:pPr>
    </w:p>
    <w:tbl>
      <w:tblPr>
        <w:tblLayout w:type="fixed"/>
        <w:tblInd w:w="980" w:type="dxa"/>
        <w:tblCellMar>
          <w:top w:w="0" w:type="dxa"/>
          <w:left w:w="0" w:type="dxa"/>
          <w:bottom w:w="0" w:type="dxa"/>
          <w:right w:w="0" w:type="dxa"/>
        </w:tblCellMar>
      </w:tblPr>
      <w:tr>
        <w:trPr>
          <w:trHeight w:val="176"/>
        </w:trPr>
        <w:tc>
          <w:tcPr>
            <w:tcW w:w="1280" w:type="dxa"/>
            <w:vAlign w:val="bottom"/>
            <w:shd w:val="clear" w:color="auto" w:fill="525252"/>
          </w:tcPr>
          <w:p>
            <w:pPr>
              <w:spacing w:after="0"/>
              <w:rPr>
                <w:sz w:val="15"/>
                <w:szCs w:val="15"/>
                <w:color w:val="auto"/>
              </w:rPr>
            </w:pPr>
          </w:p>
        </w:tc>
        <w:tc>
          <w:tcPr>
            <w:tcW w:w="560" w:type="dxa"/>
            <w:vAlign w:val="bottom"/>
            <w:shd w:val="clear" w:color="auto" w:fill="525252"/>
          </w:tcPr>
          <w:p>
            <w:pPr>
              <w:spacing w:after="0"/>
              <w:rPr>
                <w:sz w:val="15"/>
                <w:szCs w:val="15"/>
                <w:color w:val="auto"/>
              </w:rPr>
            </w:pPr>
          </w:p>
        </w:tc>
        <w:tc>
          <w:tcPr>
            <w:tcW w:w="1500" w:type="dxa"/>
            <w:vAlign w:val="bottom"/>
            <w:shd w:val="clear" w:color="auto" w:fill="525252"/>
          </w:tcPr>
          <w:p>
            <w:pPr>
              <w:spacing w:after="0"/>
              <w:rPr>
                <w:sz w:val="15"/>
                <w:szCs w:val="15"/>
                <w:color w:val="auto"/>
              </w:rPr>
            </w:pPr>
          </w:p>
        </w:tc>
        <w:tc>
          <w:tcPr>
            <w:tcW w:w="380" w:type="dxa"/>
            <w:vAlign w:val="bottom"/>
            <w:shd w:val="clear" w:color="auto" w:fill="525252"/>
          </w:tcPr>
          <w:p>
            <w:pPr>
              <w:spacing w:after="0"/>
              <w:rPr>
                <w:sz w:val="15"/>
                <w:szCs w:val="15"/>
                <w:color w:val="auto"/>
              </w:rPr>
            </w:pPr>
          </w:p>
        </w:tc>
        <w:tc>
          <w:tcPr>
            <w:tcW w:w="1720" w:type="dxa"/>
            <w:vAlign w:val="bottom"/>
            <w:shd w:val="clear" w:color="auto" w:fill="525252"/>
          </w:tcPr>
          <w:p>
            <w:pPr>
              <w:jc w:val="center"/>
              <w:ind w:right="242"/>
              <w:spacing w:after="0"/>
              <w:rPr>
                <w:sz w:val="20"/>
                <w:szCs w:val="20"/>
                <w:color w:val="auto"/>
              </w:rPr>
            </w:pPr>
            <w:r>
              <w:rPr>
                <w:rFonts w:ascii="Arial" w:cs="Arial" w:eastAsia="Arial" w:hAnsi="Arial"/>
                <w:sz w:val="14"/>
                <w:szCs w:val="14"/>
                <w:b w:val="1"/>
                <w:bCs w:val="1"/>
                <w:color w:val="FFFFFF"/>
              </w:rPr>
              <w:t>Restoration</w:t>
            </w:r>
          </w:p>
        </w:tc>
        <w:tc>
          <w:tcPr>
            <w:tcW w:w="360" w:type="dxa"/>
            <w:vAlign w:val="bottom"/>
            <w:shd w:val="clear" w:color="auto" w:fill="525252"/>
          </w:tcPr>
          <w:p>
            <w:pPr>
              <w:spacing w:after="0"/>
              <w:rPr>
                <w:sz w:val="15"/>
                <w:szCs w:val="15"/>
                <w:color w:val="auto"/>
              </w:rPr>
            </w:pPr>
          </w:p>
        </w:tc>
        <w:tc>
          <w:tcPr>
            <w:tcW w:w="1540" w:type="dxa"/>
            <w:vAlign w:val="bottom"/>
            <w:shd w:val="clear" w:color="auto" w:fill="525252"/>
          </w:tcPr>
          <w:p>
            <w:pPr>
              <w:spacing w:after="0"/>
              <w:rPr>
                <w:sz w:val="15"/>
                <w:szCs w:val="15"/>
                <w:color w:val="auto"/>
              </w:rPr>
            </w:pPr>
          </w:p>
        </w:tc>
        <w:tc>
          <w:tcPr>
            <w:tcW w:w="420" w:type="dxa"/>
            <w:vAlign w:val="bottom"/>
            <w:shd w:val="clear" w:color="auto" w:fill="525252"/>
          </w:tcPr>
          <w:p>
            <w:pPr>
              <w:spacing w:after="0"/>
              <w:rPr>
                <w:sz w:val="15"/>
                <w:szCs w:val="15"/>
                <w:color w:val="auto"/>
              </w:rPr>
            </w:pPr>
          </w:p>
        </w:tc>
        <w:tc>
          <w:tcPr>
            <w:tcW w:w="1700" w:type="dxa"/>
            <w:vAlign w:val="bottom"/>
            <w:shd w:val="clear" w:color="auto" w:fill="525252"/>
          </w:tcPr>
          <w:p>
            <w:pPr>
              <w:spacing w:after="0"/>
              <w:rPr>
                <w:sz w:val="15"/>
                <w:szCs w:val="15"/>
                <w:color w:val="auto"/>
              </w:rPr>
            </w:pPr>
          </w:p>
        </w:tc>
      </w:tr>
      <w:tr>
        <w:trPr>
          <w:trHeight w:val="162"/>
        </w:trPr>
        <w:tc>
          <w:tcPr>
            <w:tcW w:w="1280" w:type="dxa"/>
            <w:vAlign w:val="bottom"/>
            <w:shd w:val="clear" w:color="auto" w:fill="525252"/>
          </w:tcPr>
          <w:p>
            <w:pPr>
              <w:spacing w:after="0"/>
              <w:rPr>
                <w:sz w:val="14"/>
                <w:szCs w:val="14"/>
                <w:color w:val="auto"/>
              </w:rPr>
            </w:pPr>
          </w:p>
        </w:tc>
        <w:tc>
          <w:tcPr>
            <w:tcW w:w="560" w:type="dxa"/>
            <w:vAlign w:val="bottom"/>
            <w:shd w:val="clear" w:color="auto" w:fill="525252"/>
          </w:tcPr>
          <w:p>
            <w:pPr>
              <w:spacing w:after="0"/>
              <w:rPr>
                <w:sz w:val="14"/>
                <w:szCs w:val="14"/>
                <w:color w:val="auto"/>
              </w:rPr>
            </w:pPr>
          </w:p>
        </w:tc>
        <w:tc>
          <w:tcPr>
            <w:tcW w:w="1500" w:type="dxa"/>
            <w:vAlign w:val="bottom"/>
            <w:shd w:val="clear" w:color="auto" w:fill="525252"/>
          </w:tcPr>
          <w:p>
            <w:pPr>
              <w:jc w:val="right"/>
              <w:ind w:right="442"/>
              <w:spacing w:after="0"/>
              <w:rPr>
                <w:sz w:val="20"/>
                <w:szCs w:val="20"/>
                <w:color w:val="auto"/>
              </w:rPr>
            </w:pPr>
            <w:r>
              <w:rPr>
                <w:rFonts w:ascii="Arial" w:cs="Arial" w:eastAsia="Arial" w:hAnsi="Arial"/>
                <w:sz w:val="14"/>
                <w:szCs w:val="14"/>
                <w:b w:val="1"/>
                <w:bCs w:val="1"/>
                <w:color w:val="FFFFFF"/>
              </w:rPr>
              <w:t>Thrift Plan</w:t>
            </w:r>
          </w:p>
        </w:tc>
        <w:tc>
          <w:tcPr>
            <w:tcW w:w="380" w:type="dxa"/>
            <w:vAlign w:val="bottom"/>
            <w:shd w:val="clear" w:color="auto" w:fill="525252"/>
          </w:tcPr>
          <w:p>
            <w:pPr>
              <w:spacing w:after="0"/>
              <w:rPr>
                <w:sz w:val="14"/>
                <w:szCs w:val="14"/>
                <w:color w:val="auto"/>
              </w:rPr>
            </w:pPr>
          </w:p>
        </w:tc>
        <w:tc>
          <w:tcPr>
            <w:tcW w:w="1720" w:type="dxa"/>
            <w:vAlign w:val="bottom"/>
            <w:shd w:val="clear" w:color="auto" w:fill="525252"/>
          </w:tcPr>
          <w:p>
            <w:pPr>
              <w:jc w:val="center"/>
              <w:ind w:right="222"/>
              <w:spacing w:after="0"/>
              <w:rPr>
                <w:sz w:val="20"/>
                <w:szCs w:val="20"/>
                <w:color w:val="auto"/>
              </w:rPr>
            </w:pPr>
            <w:r>
              <w:rPr>
                <w:rFonts w:ascii="Arial" w:cs="Arial" w:eastAsia="Arial" w:hAnsi="Arial"/>
                <w:sz w:val="14"/>
                <w:szCs w:val="14"/>
                <w:b w:val="1"/>
                <w:bCs w:val="1"/>
                <w:color w:val="FFFFFF"/>
              </w:rPr>
              <w:t>Plan</w:t>
            </w:r>
          </w:p>
        </w:tc>
        <w:tc>
          <w:tcPr>
            <w:tcW w:w="360" w:type="dxa"/>
            <w:vAlign w:val="bottom"/>
            <w:shd w:val="clear" w:color="auto" w:fill="525252"/>
          </w:tcPr>
          <w:p>
            <w:pPr>
              <w:spacing w:after="0"/>
              <w:rPr>
                <w:sz w:val="14"/>
                <w:szCs w:val="14"/>
                <w:color w:val="auto"/>
              </w:rPr>
            </w:pPr>
          </w:p>
        </w:tc>
        <w:tc>
          <w:tcPr>
            <w:tcW w:w="1540" w:type="dxa"/>
            <w:vAlign w:val="bottom"/>
            <w:shd w:val="clear" w:color="auto" w:fill="525252"/>
          </w:tcPr>
          <w:p>
            <w:pPr>
              <w:jc w:val="right"/>
              <w:ind w:right="542"/>
              <w:spacing w:after="0"/>
              <w:rPr>
                <w:sz w:val="20"/>
                <w:szCs w:val="20"/>
                <w:color w:val="auto"/>
              </w:rPr>
            </w:pPr>
            <w:r>
              <w:rPr>
                <w:rFonts w:ascii="Arial" w:cs="Arial" w:eastAsia="Arial" w:hAnsi="Arial"/>
                <w:sz w:val="14"/>
                <w:szCs w:val="14"/>
                <w:b w:val="1"/>
                <w:bCs w:val="1"/>
                <w:color w:val="FFFFFF"/>
              </w:rPr>
              <w:t>Dividend</w:t>
            </w:r>
          </w:p>
        </w:tc>
        <w:tc>
          <w:tcPr>
            <w:tcW w:w="420" w:type="dxa"/>
            <w:vAlign w:val="bottom"/>
            <w:shd w:val="clear" w:color="auto" w:fill="525252"/>
          </w:tcPr>
          <w:p>
            <w:pPr>
              <w:spacing w:after="0"/>
              <w:rPr>
                <w:sz w:val="14"/>
                <w:szCs w:val="14"/>
                <w:color w:val="auto"/>
              </w:rPr>
            </w:pPr>
          </w:p>
        </w:tc>
        <w:tc>
          <w:tcPr>
            <w:tcW w:w="1700" w:type="dxa"/>
            <w:vAlign w:val="bottom"/>
            <w:shd w:val="clear" w:color="auto" w:fill="525252"/>
          </w:tcPr>
          <w:p>
            <w:pPr>
              <w:spacing w:after="0"/>
              <w:rPr>
                <w:sz w:val="14"/>
                <w:szCs w:val="14"/>
                <w:color w:val="auto"/>
              </w:rPr>
            </w:pPr>
          </w:p>
        </w:tc>
      </w:tr>
      <w:tr>
        <w:trPr>
          <w:trHeight w:val="202"/>
        </w:trPr>
        <w:tc>
          <w:tcPr>
            <w:tcW w:w="1280" w:type="dxa"/>
            <w:vAlign w:val="bottom"/>
            <w:shd w:val="clear" w:color="auto" w:fill="525252"/>
          </w:tcPr>
          <w:p>
            <w:pPr>
              <w:spacing w:after="0"/>
              <w:rPr>
                <w:sz w:val="17"/>
                <w:szCs w:val="17"/>
                <w:color w:val="auto"/>
              </w:rPr>
            </w:pPr>
          </w:p>
        </w:tc>
        <w:tc>
          <w:tcPr>
            <w:tcW w:w="560" w:type="dxa"/>
            <w:vAlign w:val="bottom"/>
            <w:shd w:val="clear" w:color="auto" w:fill="525252"/>
          </w:tcPr>
          <w:p>
            <w:pPr>
              <w:spacing w:after="0"/>
              <w:rPr>
                <w:sz w:val="17"/>
                <w:szCs w:val="17"/>
                <w:color w:val="auto"/>
              </w:rPr>
            </w:pPr>
          </w:p>
        </w:tc>
        <w:tc>
          <w:tcPr>
            <w:tcW w:w="1500" w:type="dxa"/>
            <w:vAlign w:val="bottom"/>
            <w:shd w:val="clear" w:color="auto" w:fill="525252"/>
          </w:tcPr>
          <w:p>
            <w:pPr>
              <w:jc w:val="right"/>
              <w:ind w:right="322"/>
              <w:spacing w:after="0"/>
              <w:rPr>
                <w:sz w:val="20"/>
                <w:szCs w:val="20"/>
                <w:color w:val="auto"/>
              </w:rPr>
            </w:pPr>
            <w:r>
              <w:rPr>
                <w:rFonts w:ascii="Arial" w:cs="Arial" w:eastAsia="Arial" w:hAnsi="Arial"/>
                <w:sz w:val="14"/>
                <w:szCs w:val="14"/>
                <w:b w:val="1"/>
                <w:bCs w:val="1"/>
                <w:color w:val="FFFFFF"/>
              </w:rPr>
              <w:t>Contributions</w:t>
            </w:r>
          </w:p>
        </w:tc>
        <w:tc>
          <w:tcPr>
            <w:tcW w:w="380" w:type="dxa"/>
            <w:vAlign w:val="bottom"/>
            <w:shd w:val="clear" w:color="auto" w:fill="525252"/>
          </w:tcPr>
          <w:p>
            <w:pPr>
              <w:spacing w:after="0"/>
              <w:rPr>
                <w:sz w:val="17"/>
                <w:szCs w:val="17"/>
                <w:color w:val="auto"/>
              </w:rPr>
            </w:pPr>
          </w:p>
        </w:tc>
        <w:tc>
          <w:tcPr>
            <w:tcW w:w="1720" w:type="dxa"/>
            <w:vAlign w:val="bottom"/>
            <w:shd w:val="clear" w:color="auto" w:fill="525252"/>
          </w:tcPr>
          <w:p>
            <w:pPr>
              <w:jc w:val="center"/>
              <w:ind w:right="222"/>
              <w:spacing w:after="0"/>
              <w:rPr>
                <w:sz w:val="20"/>
                <w:szCs w:val="20"/>
                <w:color w:val="auto"/>
              </w:rPr>
            </w:pPr>
            <w:r>
              <w:rPr>
                <w:rFonts w:ascii="Arial" w:cs="Arial" w:eastAsia="Arial" w:hAnsi="Arial"/>
                <w:sz w:val="14"/>
                <w:szCs w:val="14"/>
                <w:b w:val="1"/>
                <w:bCs w:val="1"/>
                <w:color w:val="FFFFFF"/>
              </w:rPr>
              <w:t>Contributions</w:t>
            </w:r>
          </w:p>
        </w:tc>
        <w:tc>
          <w:tcPr>
            <w:tcW w:w="360" w:type="dxa"/>
            <w:vAlign w:val="bottom"/>
            <w:shd w:val="clear" w:color="auto" w:fill="525252"/>
          </w:tcPr>
          <w:p>
            <w:pPr>
              <w:spacing w:after="0"/>
              <w:rPr>
                <w:sz w:val="17"/>
                <w:szCs w:val="17"/>
                <w:color w:val="auto"/>
              </w:rPr>
            </w:pPr>
          </w:p>
        </w:tc>
        <w:tc>
          <w:tcPr>
            <w:tcW w:w="1540" w:type="dxa"/>
            <w:vAlign w:val="bottom"/>
            <w:shd w:val="clear" w:color="auto" w:fill="525252"/>
          </w:tcPr>
          <w:p>
            <w:pPr>
              <w:jc w:val="right"/>
              <w:ind w:right="442"/>
              <w:spacing w:after="0"/>
              <w:rPr>
                <w:sz w:val="20"/>
                <w:szCs w:val="20"/>
                <w:color w:val="auto"/>
              </w:rPr>
            </w:pPr>
            <w:r>
              <w:rPr>
                <w:rFonts w:ascii="Arial" w:cs="Arial" w:eastAsia="Arial" w:hAnsi="Arial"/>
                <w:sz w:val="14"/>
                <w:szCs w:val="14"/>
                <w:b w:val="1"/>
                <w:bCs w:val="1"/>
                <w:color w:val="FFFFFF"/>
              </w:rPr>
              <w:t>Equivalents</w:t>
            </w:r>
          </w:p>
        </w:tc>
        <w:tc>
          <w:tcPr>
            <w:tcW w:w="420" w:type="dxa"/>
            <w:vAlign w:val="bottom"/>
            <w:shd w:val="clear" w:color="auto" w:fill="525252"/>
          </w:tcPr>
          <w:p>
            <w:pPr>
              <w:spacing w:after="0"/>
              <w:rPr>
                <w:sz w:val="17"/>
                <w:szCs w:val="17"/>
                <w:color w:val="auto"/>
              </w:rPr>
            </w:pPr>
          </w:p>
        </w:tc>
        <w:tc>
          <w:tcPr>
            <w:tcW w:w="1700" w:type="dxa"/>
            <w:vAlign w:val="bottom"/>
            <w:shd w:val="clear" w:color="auto" w:fill="525252"/>
          </w:tcPr>
          <w:p>
            <w:pPr>
              <w:jc w:val="right"/>
              <w:ind w:right="580"/>
              <w:spacing w:after="0"/>
              <w:rPr>
                <w:sz w:val="20"/>
                <w:szCs w:val="20"/>
                <w:color w:val="auto"/>
              </w:rPr>
            </w:pPr>
            <w:r>
              <w:rPr>
                <w:rFonts w:ascii="Arial" w:cs="Arial" w:eastAsia="Arial" w:hAnsi="Arial"/>
                <w:sz w:val="14"/>
                <w:szCs w:val="14"/>
                <w:b w:val="1"/>
                <w:bCs w:val="1"/>
                <w:color w:val="FFFFFF"/>
              </w:rPr>
              <w:t>Perquisites</w:t>
            </w:r>
          </w:p>
        </w:tc>
      </w:tr>
      <w:tr>
        <w:trPr>
          <w:trHeight w:val="233"/>
        </w:trPr>
        <w:tc>
          <w:tcPr>
            <w:tcW w:w="1280" w:type="dxa"/>
            <w:vAlign w:val="bottom"/>
          </w:tcPr>
          <w:p>
            <w:pPr>
              <w:ind w:left="20"/>
              <w:spacing w:after="0"/>
              <w:rPr>
                <w:sz w:val="20"/>
                <w:szCs w:val="20"/>
                <w:color w:val="auto"/>
              </w:rPr>
            </w:pPr>
            <w:r>
              <w:rPr>
                <w:rFonts w:ascii="Arial" w:cs="Arial" w:eastAsia="Arial" w:hAnsi="Arial"/>
                <w:sz w:val="16"/>
                <w:szCs w:val="16"/>
                <w:color w:val="auto"/>
              </w:rPr>
              <w:t>Mr. Geveden</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15,819</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25,425</w:t>
            </w: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59,567</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16,738</w:t>
            </w:r>
          </w:p>
        </w:tc>
      </w:tr>
      <w:tr>
        <w:trPr>
          <w:trHeight w:val="253"/>
        </w:trPr>
        <w:tc>
          <w:tcPr>
            <w:tcW w:w="1280" w:type="dxa"/>
            <w:vAlign w:val="bottom"/>
            <w:shd w:val="clear" w:color="auto" w:fill="E5E5E5"/>
          </w:tcPr>
          <w:p>
            <w:pPr>
              <w:ind w:left="20"/>
              <w:spacing w:after="0"/>
              <w:rPr>
                <w:sz w:val="20"/>
                <w:szCs w:val="20"/>
                <w:color w:val="auto"/>
              </w:rPr>
            </w:pPr>
            <w:r>
              <w:rPr>
                <w:rFonts w:ascii="Arial" w:cs="Arial" w:eastAsia="Arial" w:hAnsi="Arial"/>
                <w:sz w:val="16"/>
                <w:szCs w:val="16"/>
                <w:color w:val="auto"/>
              </w:rPr>
              <w:t>Mr. Black</w:t>
            </w:r>
          </w:p>
        </w:tc>
        <w:tc>
          <w:tcPr>
            <w:tcW w:w="560" w:type="dxa"/>
            <w:vAlign w:val="bottom"/>
            <w:shd w:val="clear" w:color="auto" w:fill="E5E5E5"/>
          </w:tcPr>
          <w:p>
            <w:pPr>
              <w:spacing w:after="0"/>
              <w:rPr>
                <w:sz w:val="21"/>
                <w:szCs w:val="21"/>
                <w:color w:val="auto"/>
              </w:rPr>
            </w:pPr>
          </w:p>
        </w:tc>
        <w:tc>
          <w:tcPr>
            <w:tcW w:w="15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28,261</w:t>
            </w:r>
          </w:p>
        </w:tc>
        <w:tc>
          <w:tcPr>
            <w:tcW w:w="380" w:type="dxa"/>
            <w:vAlign w:val="bottom"/>
            <w:shd w:val="clear" w:color="auto" w:fill="E5E5E5"/>
          </w:tcPr>
          <w:p>
            <w:pPr>
              <w:spacing w:after="0"/>
              <w:rPr>
                <w:sz w:val="21"/>
                <w:szCs w:val="21"/>
                <w:color w:val="auto"/>
              </w:rPr>
            </w:pPr>
          </w:p>
        </w:tc>
        <w:tc>
          <w:tcPr>
            <w:tcW w:w="17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18,150</w:t>
            </w:r>
          </w:p>
        </w:tc>
        <w:tc>
          <w:tcPr>
            <w:tcW w:w="360" w:type="dxa"/>
            <w:vAlign w:val="bottom"/>
            <w:shd w:val="clear" w:color="auto" w:fill="E5E5E5"/>
          </w:tcPr>
          <w:p>
            <w:pPr>
              <w:spacing w:after="0"/>
              <w:rPr>
                <w:sz w:val="21"/>
                <w:szCs w:val="21"/>
                <w:color w:val="auto"/>
              </w:rPr>
            </w:pPr>
          </w:p>
        </w:tc>
        <w:tc>
          <w:tcPr>
            <w:tcW w:w="15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24,428</w:t>
            </w:r>
          </w:p>
        </w:tc>
        <w:tc>
          <w:tcPr>
            <w:tcW w:w="420" w:type="dxa"/>
            <w:vAlign w:val="bottom"/>
            <w:shd w:val="clear" w:color="auto" w:fill="E5E5E5"/>
          </w:tcPr>
          <w:p>
            <w:pPr>
              <w:spacing w:after="0"/>
              <w:rPr>
                <w:sz w:val="21"/>
                <w:szCs w:val="21"/>
                <w:color w:val="auto"/>
              </w:rPr>
            </w:pPr>
          </w:p>
        </w:tc>
        <w:tc>
          <w:tcPr>
            <w:tcW w:w="17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45,000</w:t>
            </w:r>
          </w:p>
        </w:tc>
      </w:tr>
      <w:tr>
        <w:trPr>
          <w:trHeight w:val="233"/>
        </w:trPr>
        <w:tc>
          <w:tcPr>
            <w:tcW w:w="1280" w:type="dxa"/>
            <w:vAlign w:val="bottom"/>
          </w:tcPr>
          <w:p>
            <w:pPr>
              <w:ind w:left="20"/>
              <w:spacing w:after="0"/>
              <w:rPr>
                <w:sz w:val="20"/>
                <w:szCs w:val="20"/>
                <w:color w:val="auto"/>
              </w:rPr>
            </w:pPr>
            <w:r>
              <w:rPr>
                <w:rFonts w:ascii="Arial" w:cs="Arial" w:eastAsia="Arial" w:hAnsi="Arial"/>
                <w:sz w:val="16"/>
                <w:szCs w:val="16"/>
                <w:color w:val="auto"/>
              </w:rPr>
              <w:t>Mr. Fees</w:t>
            </w:r>
          </w:p>
        </w:tc>
        <w:tc>
          <w:tcPr>
            <w:tcW w:w="5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28,350</w:t>
            </w:r>
          </w:p>
        </w:tc>
        <w:tc>
          <w:tcPr>
            <w:tcW w:w="3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36,300</w:t>
            </w:r>
          </w:p>
        </w:tc>
        <w:tc>
          <w:tcPr>
            <w:tcW w:w="3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69,947</w:t>
            </w:r>
          </w:p>
        </w:tc>
        <w:tc>
          <w:tcPr>
            <w:tcW w:w="4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1280" w:type="dxa"/>
            <w:vAlign w:val="bottom"/>
            <w:shd w:val="clear" w:color="auto" w:fill="E5E5E5"/>
          </w:tcPr>
          <w:p>
            <w:pPr>
              <w:ind w:left="20"/>
              <w:spacing w:after="0"/>
              <w:rPr>
                <w:sz w:val="20"/>
                <w:szCs w:val="20"/>
                <w:color w:val="auto"/>
              </w:rPr>
            </w:pPr>
            <w:r>
              <w:rPr>
                <w:rFonts w:ascii="Arial" w:cs="Arial" w:eastAsia="Arial" w:hAnsi="Arial"/>
                <w:sz w:val="16"/>
                <w:szCs w:val="16"/>
                <w:color w:val="auto"/>
              </w:rPr>
              <w:t>Mr. Canafax</w:t>
            </w:r>
          </w:p>
        </w:tc>
        <w:tc>
          <w:tcPr>
            <w:tcW w:w="560" w:type="dxa"/>
            <w:vAlign w:val="bottom"/>
            <w:shd w:val="clear" w:color="auto" w:fill="E5E5E5"/>
          </w:tcPr>
          <w:p>
            <w:pPr>
              <w:spacing w:after="0"/>
              <w:rPr>
                <w:sz w:val="21"/>
                <w:szCs w:val="21"/>
                <w:color w:val="auto"/>
              </w:rPr>
            </w:pPr>
          </w:p>
        </w:tc>
        <w:tc>
          <w:tcPr>
            <w:tcW w:w="15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23,100</w:t>
            </w:r>
          </w:p>
        </w:tc>
        <w:tc>
          <w:tcPr>
            <w:tcW w:w="380" w:type="dxa"/>
            <w:vAlign w:val="bottom"/>
            <w:shd w:val="clear" w:color="auto" w:fill="E5E5E5"/>
          </w:tcPr>
          <w:p>
            <w:pPr>
              <w:spacing w:after="0"/>
              <w:rPr>
                <w:sz w:val="21"/>
                <w:szCs w:val="21"/>
                <w:color w:val="auto"/>
              </w:rPr>
            </w:pPr>
          </w:p>
        </w:tc>
        <w:tc>
          <w:tcPr>
            <w:tcW w:w="17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21,375</w:t>
            </w:r>
          </w:p>
        </w:tc>
        <w:tc>
          <w:tcPr>
            <w:tcW w:w="360" w:type="dxa"/>
            <w:vAlign w:val="bottom"/>
            <w:shd w:val="clear" w:color="auto" w:fill="E5E5E5"/>
          </w:tcPr>
          <w:p>
            <w:pPr>
              <w:spacing w:after="0"/>
              <w:rPr>
                <w:sz w:val="21"/>
                <w:szCs w:val="21"/>
                <w:color w:val="auto"/>
              </w:rPr>
            </w:pPr>
          </w:p>
        </w:tc>
        <w:tc>
          <w:tcPr>
            <w:tcW w:w="15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34,817</w:t>
            </w:r>
          </w:p>
        </w:tc>
        <w:tc>
          <w:tcPr>
            <w:tcW w:w="420" w:type="dxa"/>
            <w:vAlign w:val="bottom"/>
            <w:shd w:val="clear" w:color="auto" w:fill="E5E5E5"/>
          </w:tcPr>
          <w:p>
            <w:pPr>
              <w:spacing w:after="0"/>
              <w:rPr>
                <w:sz w:val="21"/>
                <w:szCs w:val="21"/>
                <w:color w:val="auto"/>
              </w:rPr>
            </w:pPr>
          </w:p>
        </w:tc>
        <w:tc>
          <w:tcPr>
            <w:tcW w:w="17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45,687</w:t>
            </w:r>
          </w:p>
        </w:tc>
      </w:tr>
      <w:tr>
        <w:trPr>
          <w:trHeight w:val="224"/>
        </w:trPr>
        <w:tc>
          <w:tcPr>
            <w:tcW w:w="1280" w:type="dxa"/>
            <w:vAlign w:val="bottom"/>
          </w:tcPr>
          <w:p>
            <w:pPr>
              <w:ind w:left="20"/>
              <w:spacing w:after="0"/>
              <w:rPr>
                <w:sz w:val="20"/>
                <w:szCs w:val="20"/>
                <w:color w:val="auto"/>
              </w:rPr>
            </w:pPr>
            <w:r>
              <w:rPr>
                <w:rFonts w:ascii="Arial" w:cs="Arial" w:eastAsia="Arial" w:hAnsi="Arial"/>
                <w:sz w:val="16"/>
                <w:szCs w:val="16"/>
                <w:color w:val="auto"/>
              </w:rPr>
              <w:t>Mr. Henry</w:t>
            </w:r>
          </w:p>
        </w:tc>
        <w:tc>
          <w:tcPr>
            <w:tcW w:w="5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17,671</w:t>
            </w:r>
          </w:p>
        </w:tc>
        <w:tc>
          <w:tcPr>
            <w:tcW w:w="3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13,825</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20,039</w:t>
            </w:r>
          </w:p>
        </w:tc>
        <w:tc>
          <w:tcPr>
            <w:tcW w:w="4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15,171</w:t>
            </w:r>
          </w:p>
        </w:tc>
      </w:tr>
    </w:tbl>
    <w:p>
      <w:pPr>
        <w:spacing w:after="0" w:line="82"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i w:val="1"/>
          <w:iCs w:val="1"/>
          <w:color w:val="auto"/>
        </w:rPr>
        <w:t>Thrift Plan Contributions and Restoration Plan Contributions</w:t>
      </w:r>
      <w:r>
        <w:rPr>
          <w:rFonts w:ascii="Arial" w:cs="Arial" w:eastAsia="Arial" w:hAnsi="Arial"/>
          <w:sz w:val="18"/>
          <w:szCs w:val="18"/>
          <w:color w:val="auto"/>
        </w:rPr>
        <w:t>. The amounts reported in these columns represent the total amount of matching</w:t>
      </w:r>
      <w:r>
        <w:rPr>
          <w:rFonts w:ascii="Arial" w:cs="Arial" w:eastAsia="Arial" w:hAnsi="Arial"/>
          <w:sz w:val="18"/>
          <w:szCs w:val="18"/>
          <w:i w:val="1"/>
          <w:iCs w:val="1"/>
          <w:color w:val="auto"/>
        </w:rPr>
        <w:t xml:space="preserve"> </w:t>
      </w:r>
      <w:r>
        <w:rPr>
          <w:rFonts w:ascii="Arial" w:cs="Arial" w:eastAsia="Arial" w:hAnsi="Arial"/>
          <w:sz w:val="18"/>
          <w:szCs w:val="18"/>
          <w:color w:val="auto"/>
        </w:rPr>
        <w:t>and service-based contributions made to each Named Executive under our Thrift Plan and our Restoration Plan, respectively. Under our Thrift Plan, we will match 50% of employee’s contributions, up to 6%. Under our Restoration Plan, we will match 50% of the first 6% of employee’s deferral contributions. For information regarding our Thrift Plan and Restoration Plan matching contributions and service-based contributions, see “Compensation Discussion and Analysis – Other Benefits and Practices – Retirement Benefits” above.</w:t>
      </w:r>
    </w:p>
    <w:p>
      <w:pPr>
        <w:spacing w:after="0" w:line="4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The amounts listed in this column for each Named Executive represent the value of dividend equivalents credited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their unvested restricted stock unit and performance restricted stock unit awards in 2017. The amounts reported for Mr. Fees also include the value of dividend equivalents credited to vested restricted stock units that he has elected to defer pursuant to the terms of the 2010 Long Term Incentive Plan of BWX Technologies, Inc., as amended and restated July 1, 2015 (the “2010 LTIP”). Each dividend equivalent is equal to either $0.09 or $0.11 per share of common stock underlying the unvested or deferred restricted stock unit or performance restricted stock units for dividends paid to shareholders of the Company for the first quarter 2017 and the remaining quarters of 2017, respectively. Dividend equivalents credited to unvested restricted stock units and performance restricted stock units are subject to the same vesting period as the restricted stock units with respect to which the dividend equivalents are paid. Dividend equivalents credited to deferred restricted stock units and performance restricted</w:t>
      </w:r>
    </w:p>
    <w:p>
      <w:pPr>
        <w:spacing w:after="0" w:line="235" w:lineRule="exact"/>
        <w:rPr>
          <w:sz w:val="20"/>
          <w:szCs w:val="20"/>
          <w:color w:val="auto"/>
        </w:rPr>
      </w:pPr>
    </w:p>
    <w:p>
      <w:pPr>
        <w:jc w:val="right"/>
        <w:spacing w:after="0"/>
        <w:rPr>
          <w:sz w:val="20"/>
          <w:szCs w:val="20"/>
          <w:color w:val="auto"/>
        </w:rPr>
      </w:pPr>
      <w:r>
        <w:rPr>
          <w:sz w:val="1"/>
          <w:szCs w:val="1"/>
          <w:color w:val="auto"/>
        </w:rPr>
        <w:drawing>
          <wp:inline distT="0" distB="0" distL="0" distR="0">
            <wp:extent cx="488950" cy="20574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88950" cy="205740"/>
                    </a:xfrm>
                    <a:prstGeom prst="rect">
                      <a:avLst/>
                    </a:prstGeom>
                    <a:noFill/>
                    <a:ln>
                      <a:noFill/>
                    </a:ln>
                  </pic:spPr>
                </pic:pic>
              </a:graphicData>
            </a:graphic>
          </wp:inline>
        </w:drawing>
      </w:r>
      <w:r>
        <w:rPr>
          <w:rFonts w:ascii="Arial" w:cs="Arial" w:eastAsia="Arial" w:hAnsi="Arial"/>
          <w:sz w:val="18"/>
          <w:szCs w:val="18"/>
          <w:color w:val="auto"/>
        </w:rPr>
        <w:t xml:space="preserve"> 2018 PROXY STATEMENT </w:t>
      </w:r>
      <w:r>
        <w:rPr>
          <w:rFonts w:ascii="Arial" w:cs="Arial" w:eastAsia="Arial" w:hAnsi="Arial"/>
          <w:sz w:val="18"/>
          <w:szCs w:val="18"/>
          <w:b w:val="1"/>
          <w:bCs w:val="1"/>
          <w:color w:val="2C2C2C"/>
        </w:rPr>
        <w:t>41</w:t>
      </w:r>
    </w:p>
    <w:p>
      <w:pPr>
        <w:sectPr>
          <w:pgSz w:w="11900" w:h="16838" w:orient="portrait"/>
          <w:cols w:equalWidth="0" w:num="1">
            <w:col w:w="11420"/>
          </w:cols>
          <w:pgMar w:left="240" w:top="125" w:right="239" w:bottom="1440" w:gutter="0" w:footer="0" w:header="0"/>
        </w:sectPr>
      </w:pPr>
    </w:p>
    <w:bookmarkStart w:id="50" w:name="page51"/>
    <w:bookmarkEnd w:id="50"/>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7240"/>
        <w:spacing w:after="0"/>
        <w:rPr>
          <w:sz w:val="20"/>
          <w:szCs w:val="20"/>
          <w:color w:val="auto"/>
        </w:rPr>
      </w:pPr>
      <w:r>
        <w:rPr>
          <w:rFonts w:ascii="Arial" w:cs="Arial" w:eastAsia="Arial" w:hAnsi="Arial"/>
          <w:sz w:val="14"/>
          <w:szCs w:val="14"/>
          <w:color w:val="auto"/>
        </w:rPr>
        <w:t>COMPENSATION OF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stock units are subject to the same deferral period as the restricted stock units with respect to which the dividend equivalents are paid.</w:t>
      </w:r>
    </w:p>
    <w:p>
      <w:pPr>
        <w:spacing w:after="0" w:line="72" w:lineRule="exact"/>
        <w:rPr>
          <w:sz w:val="20"/>
          <w:szCs w:val="20"/>
          <w:color w:val="auto"/>
        </w:rPr>
      </w:pPr>
    </w:p>
    <w:p>
      <w:pPr>
        <w:spacing w:after="0" w:line="266" w:lineRule="auto"/>
        <w:rPr>
          <w:sz w:val="20"/>
          <w:szCs w:val="20"/>
          <w:color w:val="auto"/>
        </w:rPr>
      </w:pPr>
      <w:r>
        <w:rPr>
          <w:rFonts w:ascii="Arial" w:cs="Arial" w:eastAsia="Arial" w:hAnsi="Arial"/>
          <w:sz w:val="18"/>
          <w:szCs w:val="18"/>
          <w:i w:val="1"/>
          <w:iCs w:val="1"/>
          <w:color w:val="auto"/>
        </w:rPr>
        <w:t>Perquisites</w:t>
      </w:r>
      <w:r>
        <w:rPr>
          <w:rFonts w:ascii="Arial" w:cs="Arial" w:eastAsia="Arial" w:hAnsi="Arial"/>
          <w:sz w:val="18"/>
          <w:szCs w:val="18"/>
          <w:color w:val="auto"/>
        </w:rPr>
        <w:t>. In accordance with SEC rules, perquisites and other personal benefits received by a Named Executive are not included if their</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value does not exceed $10,000. The value of the perquisites and other personal benefits reported for our Named Executives in 2017 are as follows:</w:t>
      </w:r>
    </w:p>
    <w:p>
      <w:pPr>
        <w:spacing w:after="0" w:line="140" w:lineRule="exact"/>
        <w:rPr>
          <w:sz w:val="20"/>
          <w:szCs w:val="20"/>
          <w:color w:val="auto"/>
        </w:rPr>
      </w:pPr>
    </w:p>
    <w:p>
      <w:pPr>
        <w:ind w:left="380" w:right="540" w:hanging="318"/>
        <w:spacing w:after="0" w:line="262" w:lineRule="auto"/>
        <w:tabs>
          <w:tab w:leader="none" w:pos="3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amount reported for Mr. Geveden is attributable to $15,339 for financial planning services and costs associated with his spouse accompanying him at a Company event.</w:t>
      </w:r>
    </w:p>
    <w:p>
      <w:pPr>
        <w:spacing w:after="0" w:line="88" w:lineRule="exact"/>
        <w:rPr>
          <w:rFonts w:ascii="Arial" w:cs="Arial" w:eastAsia="Arial" w:hAnsi="Arial"/>
          <w:sz w:val="18"/>
          <w:szCs w:val="18"/>
          <w:color w:val="auto"/>
        </w:rPr>
      </w:pPr>
    </w:p>
    <w:p>
      <w:pPr>
        <w:ind w:left="380" w:hanging="318"/>
        <w:spacing w:after="0"/>
        <w:tabs>
          <w:tab w:leader="none" w:pos="3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amount reported for Mr. Black is attributable to $45,000 for a travel allowance.</w:t>
      </w:r>
    </w:p>
    <w:p>
      <w:pPr>
        <w:spacing w:after="0" w:line="117" w:lineRule="exact"/>
        <w:rPr>
          <w:rFonts w:ascii="Arial" w:cs="Arial" w:eastAsia="Arial" w:hAnsi="Arial"/>
          <w:sz w:val="18"/>
          <w:szCs w:val="18"/>
          <w:color w:val="auto"/>
        </w:rPr>
      </w:pPr>
    </w:p>
    <w:p>
      <w:pPr>
        <w:ind w:left="380" w:hanging="318"/>
        <w:spacing w:after="0"/>
        <w:tabs>
          <w:tab w:leader="none" w:pos="3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amount reported for Mr. Canafax is attributable to $45,000 for a travel allowance and the cost of an annual physical.</w:t>
      </w:r>
    </w:p>
    <w:p>
      <w:pPr>
        <w:spacing w:after="0" w:line="117" w:lineRule="exact"/>
        <w:rPr>
          <w:rFonts w:ascii="Arial" w:cs="Arial" w:eastAsia="Arial" w:hAnsi="Arial"/>
          <w:sz w:val="18"/>
          <w:szCs w:val="18"/>
          <w:color w:val="auto"/>
        </w:rPr>
      </w:pPr>
    </w:p>
    <w:p>
      <w:pPr>
        <w:ind w:left="380" w:hanging="318"/>
        <w:spacing w:after="0"/>
        <w:tabs>
          <w:tab w:leader="none" w:pos="3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amount reported for Mr. Henry is attributable to the cost of financial planning services.</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calculate all perquisites and personal benefits based on the incremental cost we incur to provide such benefits. For financial planning services, we compute incremental cost based on the sum of (1) the actual cost incurred by us for the financial planning service for the applicable Named Executive and (2) a pro-rated portion of the fee our Company pays to the third party firm that provides the financial planning services.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2C2C2C"/>
        </w:rPr>
        <w:t xml:space="preserve">42 </w:t>
      </w:r>
      <w:r>
        <w:rPr>
          <w:sz w:val="1"/>
          <w:szCs w:val="1"/>
          <w:color w:val="auto"/>
        </w:rPr>
        <w:drawing>
          <wp:inline distT="0" distB="0" distL="0" distR="0">
            <wp:extent cx="445770" cy="18034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45770" cy="180340"/>
                    </a:xfrm>
                    <a:prstGeom prst="rect">
                      <a:avLst/>
                    </a:prstGeom>
                    <a:noFill/>
                    <a:ln>
                      <a:noFill/>
                    </a:ln>
                  </pic:spPr>
                </pic:pic>
              </a:graphicData>
            </a:graphic>
          </wp:inline>
        </w:drawing>
      </w:r>
      <w:r>
        <w:rPr>
          <w:rFonts w:ascii="Arial" w:cs="Arial" w:eastAsia="Arial" w:hAnsi="Arial"/>
          <w:sz w:val="18"/>
          <w:szCs w:val="18"/>
          <w:color w:val="auto"/>
        </w:rPr>
        <w:t xml:space="preserve"> 2018 PROXY STATEMENT</w:t>
      </w:r>
    </w:p>
    <w:p>
      <w:pPr>
        <w:sectPr>
          <w:pgSz w:w="11900" w:h="16838" w:orient="portrait"/>
          <w:cols w:equalWidth="0" w:num="1">
            <w:col w:w="11400"/>
          </w:cols>
          <w:pgMar w:left="240" w:top="125" w:right="259" w:bottom="1440" w:gutter="0" w:footer="0" w:header="0"/>
        </w:sectPr>
      </w:pPr>
    </w:p>
    <w:bookmarkStart w:id="51" w:name="page52"/>
    <w:bookmarkEnd w:id="51"/>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left="960"/>
        <w:spacing w:after="0"/>
        <w:rPr>
          <w:sz w:val="20"/>
          <w:szCs w:val="20"/>
          <w:color w:val="auto"/>
        </w:rPr>
      </w:pPr>
      <w:r>
        <w:rPr>
          <w:rFonts w:ascii="Arial" w:cs="Arial" w:eastAsia="Arial" w:hAnsi="Arial"/>
          <w:sz w:val="14"/>
          <w:szCs w:val="14"/>
          <w:color w:val="auto"/>
        </w:rPr>
        <w:t>COMPENSATION OF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GRANTS OF PLAN-BASED AWARDS</w:t>
      </w:r>
    </w:p>
    <w:p>
      <w:pPr>
        <w:spacing w:after="0" w:line="103"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The following table provides additional information on stock awards and non-equity incentive plan awards made to our Named Executives during the year ended December 31, 2017. No option awards were granted to our Named Executives in 2017.</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00" w:type="dxa"/>
            <w:vAlign w:val="bottom"/>
            <w:shd w:val="clear" w:color="auto" w:fill="525252"/>
          </w:tcPr>
          <w:p>
            <w:pPr>
              <w:spacing w:after="0"/>
              <w:rPr>
                <w:sz w:val="13"/>
                <w:szCs w:val="13"/>
                <w:color w:val="auto"/>
              </w:rPr>
            </w:pPr>
          </w:p>
        </w:tc>
        <w:tc>
          <w:tcPr>
            <w:tcW w:w="1000" w:type="dxa"/>
            <w:vAlign w:val="bottom"/>
            <w:shd w:val="clear" w:color="auto" w:fill="525252"/>
          </w:tcPr>
          <w:p>
            <w:pPr>
              <w:spacing w:after="0"/>
              <w:rPr>
                <w:sz w:val="13"/>
                <w:szCs w:val="13"/>
                <w:color w:val="auto"/>
              </w:rPr>
            </w:pPr>
          </w:p>
        </w:tc>
        <w:tc>
          <w:tcPr>
            <w:tcW w:w="980" w:type="dxa"/>
            <w:vAlign w:val="bottom"/>
            <w:shd w:val="clear" w:color="auto" w:fill="525252"/>
          </w:tcPr>
          <w:p>
            <w:pPr>
              <w:spacing w:after="0"/>
              <w:rPr>
                <w:sz w:val="13"/>
                <w:szCs w:val="13"/>
                <w:color w:val="auto"/>
              </w:rPr>
            </w:pPr>
          </w:p>
        </w:tc>
        <w:tc>
          <w:tcPr>
            <w:tcW w:w="160" w:type="dxa"/>
            <w:vAlign w:val="bottom"/>
            <w:shd w:val="clear" w:color="auto" w:fill="525252"/>
          </w:tcPr>
          <w:p>
            <w:pPr>
              <w:spacing w:after="0"/>
              <w:rPr>
                <w:sz w:val="13"/>
                <w:szCs w:val="13"/>
                <w:color w:val="auto"/>
              </w:rPr>
            </w:pPr>
          </w:p>
        </w:tc>
        <w:tc>
          <w:tcPr>
            <w:tcW w:w="880" w:type="dxa"/>
            <w:vAlign w:val="bottom"/>
            <w:shd w:val="clear" w:color="auto" w:fill="525252"/>
          </w:tcPr>
          <w:p>
            <w:pPr>
              <w:spacing w:after="0"/>
              <w:rPr>
                <w:sz w:val="13"/>
                <w:szCs w:val="13"/>
                <w:color w:val="auto"/>
              </w:rPr>
            </w:pPr>
          </w:p>
        </w:tc>
        <w:tc>
          <w:tcPr>
            <w:tcW w:w="100" w:type="dxa"/>
            <w:vAlign w:val="bottom"/>
            <w:shd w:val="clear" w:color="auto" w:fill="525252"/>
          </w:tcPr>
          <w:p>
            <w:pPr>
              <w:spacing w:after="0"/>
              <w:rPr>
                <w:sz w:val="13"/>
                <w:szCs w:val="13"/>
                <w:color w:val="auto"/>
              </w:rPr>
            </w:pPr>
          </w:p>
        </w:tc>
        <w:tc>
          <w:tcPr>
            <w:tcW w:w="740" w:type="dxa"/>
            <w:vAlign w:val="bottom"/>
            <w:shd w:val="clear" w:color="auto" w:fill="525252"/>
          </w:tcPr>
          <w:p>
            <w:pPr>
              <w:spacing w:after="0"/>
              <w:rPr>
                <w:sz w:val="13"/>
                <w:szCs w:val="13"/>
                <w:color w:val="auto"/>
              </w:rPr>
            </w:pPr>
          </w:p>
        </w:tc>
        <w:tc>
          <w:tcPr>
            <w:tcW w:w="960" w:type="dxa"/>
            <w:vAlign w:val="bottom"/>
            <w:shd w:val="clear" w:color="auto" w:fill="525252"/>
          </w:tcPr>
          <w:p>
            <w:pPr>
              <w:spacing w:after="0"/>
              <w:rPr>
                <w:sz w:val="13"/>
                <w:szCs w:val="13"/>
                <w:color w:val="auto"/>
              </w:rPr>
            </w:pPr>
          </w:p>
        </w:tc>
        <w:tc>
          <w:tcPr>
            <w:tcW w:w="960" w:type="dxa"/>
            <w:vAlign w:val="bottom"/>
            <w:shd w:val="clear" w:color="auto" w:fill="525252"/>
          </w:tcPr>
          <w:p>
            <w:pPr>
              <w:spacing w:after="0"/>
              <w:rPr>
                <w:sz w:val="13"/>
                <w:szCs w:val="13"/>
                <w:color w:val="auto"/>
              </w:rPr>
            </w:pPr>
          </w:p>
        </w:tc>
        <w:tc>
          <w:tcPr>
            <w:tcW w:w="780" w:type="dxa"/>
            <w:vAlign w:val="bottom"/>
            <w:shd w:val="clear" w:color="auto" w:fill="525252"/>
          </w:tcPr>
          <w:p>
            <w:pPr>
              <w:spacing w:after="0"/>
              <w:rPr>
                <w:sz w:val="13"/>
                <w:szCs w:val="13"/>
                <w:color w:val="auto"/>
              </w:rPr>
            </w:pPr>
          </w:p>
        </w:tc>
        <w:tc>
          <w:tcPr>
            <w:tcW w:w="860" w:type="dxa"/>
            <w:vAlign w:val="bottom"/>
            <w:shd w:val="clear" w:color="auto" w:fill="525252"/>
          </w:tcPr>
          <w:p>
            <w:pPr>
              <w:spacing w:after="0"/>
              <w:rPr>
                <w:sz w:val="13"/>
                <w:szCs w:val="13"/>
                <w:color w:val="auto"/>
              </w:rPr>
            </w:pPr>
          </w:p>
        </w:tc>
        <w:tc>
          <w:tcPr>
            <w:tcW w:w="840" w:type="dxa"/>
            <w:vAlign w:val="bottom"/>
            <w:shd w:val="clear" w:color="auto" w:fill="525252"/>
          </w:tcPr>
          <w:p>
            <w:pPr>
              <w:jc w:val="center"/>
              <w:spacing w:after="0"/>
              <w:rPr>
                <w:sz w:val="20"/>
                <w:szCs w:val="20"/>
                <w:color w:val="auto"/>
              </w:rPr>
            </w:pPr>
            <w:r>
              <w:rPr>
                <w:rFonts w:ascii="Arial" w:cs="Arial" w:eastAsia="Arial" w:hAnsi="Arial"/>
                <w:sz w:val="13"/>
                <w:szCs w:val="13"/>
                <w:b w:val="1"/>
                <w:bCs w:val="1"/>
                <w:color w:val="FFFFFF"/>
                <w:w w:val="94"/>
              </w:rPr>
              <w:t>All Other</w:t>
            </w:r>
          </w:p>
        </w:tc>
        <w:tc>
          <w:tcPr>
            <w:tcW w:w="180" w:type="dxa"/>
            <w:vAlign w:val="bottom"/>
            <w:shd w:val="clear" w:color="auto" w:fill="525252"/>
          </w:tcPr>
          <w:p>
            <w:pPr>
              <w:spacing w:after="0"/>
              <w:rPr>
                <w:sz w:val="13"/>
                <w:szCs w:val="13"/>
                <w:color w:val="auto"/>
              </w:rPr>
            </w:pPr>
          </w:p>
        </w:tc>
        <w:tc>
          <w:tcPr>
            <w:tcW w:w="840" w:type="dxa"/>
            <w:vAlign w:val="bottom"/>
            <w:shd w:val="clear" w:color="auto" w:fill="525252"/>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800" w:type="dxa"/>
            <w:vAlign w:val="bottom"/>
            <w:shd w:val="clear" w:color="auto" w:fill="525252"/>
          </w:tcPr>
          <w:p>
            <w:pPr>
              <w:spacing w:after="0"/>
              <w:rPr>
                <w:sz w:val="12"/>
                <w:szCs w:val="12"/>
                <w:color w:val="auto"/>
              </w:rPr>
            </w:pPr>
          </w:p>
        </w:tc>
        <w:tc>
          <w:tcPr>
            <w:tcW w:w="1000" w:type="dxa"/>
            <w:vAlign w:val="bottom"/>
            <w:shd w:val="clear" w:color="auto" w:fill="525252"/>
          </w:tcPr>
          <w:p>
            <w:pPr>
              <w:spacing w:after="0"/>
              <w:rPr>
                <w:sz w:val="12"/>
                <w:szCs w:val="12"/>
                <w:color w:val="auto"/>
              </w:rPr>
            </w:pPr>
          </w:p>
        </w:tc>
        <w:tc>
          <w:tcPr>
            <w:tcW w:w="980" w:type="dxa"/>
            <w:vAlign w:val="bottom"/>
            <w:shd w:val="clear" w:color="auto" w:fill="525252"/>
          </w:tcPr>
          <w:p>
            <w:pPr>
              <w:spacing w:after="0"/>
              <w:rPr>
                <w:sz w:val="12"/>
                <w:szCs w:val="12"/>
                <w:color w:val="auto"/>
              </w:rPr>
            </w:pPr>
          </w:p>
        </w:tc>
        <w:tc>
          <w:tcPr>
            <w:tcW w:w="160" w:type="dxa"/>
            <w:vAlign w:val="bottom"/>
            <w:shd w:val="clear" w:color="auto" w:fill="525252"/>
          </w:tcPr>
          <w:p>
            <w:pPr>
              <w:spacing w:after="0"/>
              <w:rPr>
                <w:sz w:val="12"/>
                <w:szCs w:val="12"/>
                <w:color w:val="auto"/>
              </w:rPr>
            </w:pPr>
          </w:p>
        </w:tc>
        <w:tc>
          <w:tcPr>
            <w:tcW w:w="880" w:type="dxa"/>
            <w:vAlign w:val="bottom"/>
            <w:shd w:val="clear" w:color="auto" w:fill="525252"/>
          </w:tcPr>
          <w:p>
            <w:pPr>
              <w:spacing w:after="0"/>
              <w:rPr>
                <w:sz w:val="12"/>
                <w:szCs w:val="12"/>
                <w:color w:val="auto"/>
              </w:rPr>
            </w:pPr>
          </w:p>
        </w:tc>
        <w:tc>
          <w:tcPr>
            <w:tcW w:w="100" w:type="dxa"/>
            <w:vAlign w:val="bottom"/>
            <w:shd w:val="clear" w:color="auto" w:fill="525252"/>
          </w:tcPr>
          <w:p>
            <w:pPr>
              <w:spacing w:after="0"/>
              <w:rPr>
                <w:sz w:val="12"/>
                <w:szCs w:val="12"/>
                <w:color w:val="auto"/>
              </w:rPr>
            </w:pPr>
          </w:p>
        </w:tc>
        <w:tc>
          <w:tcPr>
            <w:tcW w:w="740" w:type="dxa"/>
            <w:vAlign w:val="bottom"/>
            <w:shd w:val="clear" w:color="auto" w:fill="525252"/>
          </w:tcPr>
          <w:p>
            <w:pPr>
              <w:spacing w:after="0"/>
              <w:rPr>
                <w:sz w:val="12"/>
                <w:szCs w:val="12"/>
                <w:color w:val="auto"/>
              </w:rPr>
            </w:pPr>
          </w:p>
        </w:tc>
        <w:tc>
          <w:tcPr>
            <w:tcW w:w="960" w:type="dxa"/>
            <w:vAlign w:val="bottom"/>
            <w:shd w:val="clear" w:color="auto" w:fill="525252"/>
          </w:tcPr>
          <w:p>
            <w:pPr>
              <w:spacing w:after="0"/>
              <w:rPr>
                <w:sz w:val="12"/>
                <w:szCs w:val="12"/>
                <w:color w:val="auto"/>
              </w:rPr>
            </w:pPr>
          </w:p>
        </w:tc>
        <w:tc>
          <w:tcPr>
            <w:tcW w:w="2600" w:type="dxa"/>
            <w:vAlign w:val="bottom"/>
            <w:gridSpan w:val="3"/>
            <w:shd w:val="clear" w:color="auto" w:fill="525252"/>
          </w:tcPr>
          <w:p>
            <w:pPr>
              <w:jc w:val="center"/>
              <w:spacing w:after="0" w:line="144" w:lineRule="exact"/>
              <w:rPr>
                <w:sz w:val="20"/>
                <w:szCs w:val="20"/>
                <w:color w:val="auto"/>
              </w:rPr>
            </w:pPr>
            <w:r>
              <w:rPr>
                <w:rFonts w:ascii="Arial" w:cs="Arial" w:eastAsia="Arial" w:hAnsi="Arial"/>
                <w:sz w:val="13"/>
                <w:szCs w:val="13"/>
                <w:b w:val="1"/>
                <w:bCs w:val="1"/>
                <w:color w:val="FFFFFF"/>
                <w:w w:val="97"/>
              </w:rPr>
              <w:t>Estimated Future Payouts</w:t>
            </w:r>
          </w:p>
        </w:tc>
        <w:tc>
          <w:tcPr>
            <w:tcW w:w="840" w:type="dxa"/>
            <w:vAlign w:val="bottom"/>
            <w:shd w:val="clear" w:color="auto" w:fill="525252"/>
          </w:tcPr>
          <w:p>
            <w:pPr>
              <w:jc w:val="center"/>
              <w:spacing w:after="0" w:line="144" w:lineRule="exact"/>
              <w:rPr>
                <w:sz w:val="20"/>
                <w:szCs w:val="20"/>
                <w:color w:val="auto"/>
              </w:rPr>
            </w:pPr>
            <w:r>
              <w:rPr>
                <w:rFonts w:ascii="Arial" w:cs="Arial" w:eastAsia="Arial" w:hAnsi="Arial"/>
                <w:sz w:val="13"/>
                <w:szCs w:val="13"/>
                <w:b w:val="1"/>
                <w:bCs w:val="1"/>
                <w:color w:val="FFFFFF"/>
              </w:rPr>
              <w:t>Stock</w:t>
            </w:r>
          </w:p>
        </w:tc>
        <w:tc>
          <w:tcPr>
            <w:tcW w:w="180" w:type="dxa"/>
            <w:vAlign w:val="bottom"/>
            <w:shd w:val="clear" w:color="auto" w:fill="525252"/>
          </w:tcPr>
          <w:p>
            <w:pPr>
              <w:spacing w:after="0"/>
              <w:rPr>
                <w:sz w:val="12"/>
                <w:szCs w:val="12"/>
                <w:color w:val="auto"/>
              </w:rPr>
            </w:pPr>
          </w:p>
        </w:tc>
        <w:tc>
          <w:tcPr>
            <w:tcW w:w="840" w:type="dxa"/>
            <w:vAlign w:val="bottom"/>
            <w:shd w:val="clear" w:color="auto" w:fill="525252"/>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00" w:type="dxa"/>
            <w:vAlign w:val="bottom"/>
            <w:shd w:val="clear" w:color="auto" w:fill="525252"/>
          </w:tcPr>
          <w:p>
            <w:pPr>
              <w:spacing w:after="0"/>
              <w:rPr>
                <w:sz w:val="11"/>
                <w:szCs w:val="11"/>
                <w:color w:val="auto"/>
              </w:rPr>
            </w:pPr>
          </w:p>
        </w:tc>
        <w:tc>
          <w:tcPr>
            <w:tcW w:w="1000" w:type="dxa"/>
            <w:vAlign w:val="bottom"/>
            <w:shd w:val="clear" w:color="auto" w:fill="525252"/>
          </w:tcPr>
          <w:p>
            <w:pPr>
              <w:spacing w:after="0"/>
              <w:rPr>
                <w:sz w:val="11"/>
                <w:szCs w:val="11"/>
                <w:color w:val="auto"/>
              </w:rPr>
            </w:pPr>
          </w:p>
        </w:tc>
        <w:tc>
          <w:tcPr>
            <w:tcW w:w="980" w:type="dxa"/>
            <w:vAlign w:val="bottom"/>
            <w:shd w:val="clear" w:color="auto" w:fill="525252"/>
          </w:tcPr>
          <w:p>
            <w:pPr>
              <w:spacing w:after="0"/>
              <w:rPr>
                <w:sz w:val="11"/>
                <w:szCs w:val="11"/>
                <w:color w:val="auto"/>
              </w:rPr>
            </w:pPr>
          </w:p>
        </w:tc>
        <w:tc>
          <w:tcPr>
            <w:tcW w:w="160" w:type="dxa"/>
            <w:vAlign w:val="bottom"/>
            <w:shd w:val="clear" w:color="auto" w:fill="525252"/>
          </w:tcPr>
          <w:p>
            <w:pPr>
              <w:spacing w:after="0"/>
              <w:rPr>
                <w:sz w:val="11"/>
                <w:szCs w:val="11"/>
                <w:color w:val="auto"/>
              </w:rPr>
            </w:pPr>
          </w:p>
        </w:tc>
        <w:tc>
          <w:tcPr>
            <w:tcW w:w="2680" w:type="dxa"/>
            <w:vAlign w:val="bottom"/>
            <w:gridSpan w:val="4"/>
            <w:shd w:val="clear" w:color="auto" w:fill="525252"/>
          </w:tcPr>
          <w:p>
            <w:pPr>
              <w:ind w:left="480"/>
              <w:spacing w:after="0" w:line="135" w:lineRule="exact"/>
              <w:rPr>
                <w:sz w:val="20"/>
                <w:szCs w:val="20"/>
                <w:color w:val="auto"/>
              </w:rPr>
            </w:pPr>
            <w:r>
              <w:rPr>
                <w:rFonts w:ascii="Arial" w:cs="Arial" w:eastAsia="Arial" w:hAnsi="Arial"/>
                <w:sz w:val="13"/>
                <w:szCs w:val="13"/>
                <w:b w:val="1"/>
                <w:bCs w:val="1"/>
                <w:color w:val="FFFFFF"/>
              </w:rPr>
              <w:t>Estimated Future Payouts</w:t>
            </w:r>
          </w:p>
        </w:tc>
        <w:tc>
          <w:tcPr>
            <w:tcW w:w="2600" w:type="dxa"/>
            <w:vAlign w:val="bottom"/>
            <w:gridSpan w:val="3"/>
            <w:shd w:val="clear" w:color="auto" w:fill="525252"/>
          </w:tcPr>
          <w:p>
            <w:pPr>
              <w:jc w:val="center"/>
              <w:spacing w:after="0" w:line="135" w:lineRule="exact"/>
              <w:rPr>
                <w:sz w:val="20"/>
                <w:szCs w:val="20"/>
                <w:color w:val="auto"/>
              </w:rPr>
            </w:pPr>
            <w:r>
              <w:rPr>
                <w:rFonts w:ascii="Arial" w:cs="Arial" w:eastAsia="Arial" w:hAnsi="Arial"/>
                <w:sz w:val="13"/>
                <w:szCs w:val="13"/>
                <w:b w:val="1"/>
                <w:bCs w:val="1"/>
                <w:color w:val="FFFFFF"/>
                <w:w w:val="96"/>
              </w:rPr>
              <w:t>Under Equity Incentive Plan</w:t>
            </w:r>
          </w:p>
        </w:tc>
        <w:tc>
          <w:tcPr>
            <w:tcW w:w="840" w:type="dxa"/>
            <w:vAlign w:val="bottom"/>
            <w:shd w:val="clear" w:color="auto" w:fill="525252"/>
          </w:tcPr>
          <w:p>
            <w:pPr>
              <w:jc w:val="center"/>
              <w:spacing w:after="0" w:line="135" w:lineRule="exact"/>
              <w:rPr>
                <w:sz w:val="20"/>
                <w:szCs w:val="20"/>
                <w:color w:val="auto"/>
              </w:rPr>
            </w:pPr>
            <w:r>
              <w:rPr>
                <w:rFonts w:ascii="Arial" w:cs="Arial" w:eastAsia="Arial" w:hAnsi="Arial"/>
                <w:sz w:val="13"/>
                <w:szCs w:val="13"/>
                <w:b w:val="1"/>
                <w:bCs w:val="1"/>
                <w:color w:val="FFFFFF"/>
                <w:w w:val="93"/>
              </w:rPr>
              <w:t>Awards:</w:t>
            </w:r>
          </w:p>
        </w:tc>
        <w:tc>
          <w:tcPr>
            <w:tcW w:w="180" w:type="dxa"/>
            <w:vAlign w:val="bottom"/>
            <w:shd w:val="clear" w:color="auto" w:fill="525252"/>
          </w:tcPr>
          <w:p>
            <w:pPr>
              <w:spacing w:after="0"/>
              <w:rPr>
                <w:sz w:val="11"/>
                <w:szCs w:val="11"/>
                <w:color w:val="auto"/>
              </w:rPr>
            </w:pPr>
          </w:p>
        </w:tc>
        <w:tc>
          <w:tcPr>
            <w:tcW w:w="840" w:type="dxa"/>
            <w:vAlign w:val="bottom"/>
            <w:shd w:val="clear" w:color="auto" w:fill="525252"/>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shd w:val="clear" w:color="auto" w:fill="525252"/>
          </w:tcPr>
          <w:p>
            <w:pPr>
              <w:spacing w:after="0"/>
              <w:rPr>
                <w:sz w:val="11"/>
                <w:szCs w:val="11"/>
                <w:color w:val="auto"/>
              </w:rPr>
            </w:pPr>
          </w:p>
        </w:tc>
        <w:tc>
          <w:tcPr>
            <w:tcW w:w="1000" w:type="dxa"/>
            <w:vAlign w:val="bottom"/>
            <w:shd w:val="clear" w:color="auto" w:fill="525252"/>
          </w:tcPr>
          <w:p>
            <w:pPr>
              <w:spacing w:after="0"/>
              <w:rPr>
                <w:sz w:val="11"/>
                <w:szCs w:val="11"/>
                <w:color w:val="auto"/>
              </w:rPr>
            </w:pPr>
          </w:p>
        </w:tc>
        <w:tc>
          <w:tcPr>
            <w:tcW w:w="980" w:type="dxa"/>
            <w:vAlign w:val="bottom"/>
            <w:shd w:val="clear" w:color="auto" w:fill="525252"/>
          </w:tcPr>
          <w:p>
            <w:pPr>
              <w:spacing w:after="0"/>
              <w:rPr>
                <w:sz w:val="11"/>
                <w:szCs w:val="11"/>
                <w:color w:val="auto"/>
              </w:rPr>
            </w:pPr>
          </w:p>
        </w:tc>
        <w:tc>
          <w:tcPr>
            <w:tcW w:w="160" w:type="dxa"/>
            <w:vAlign w:val="bottom"/>
            <w:shd w:val="clear" w:color="auto" w:fill="525252"/>
          </w:tcPr>
          <w:p>
            <w:pPr>
              <w:spacing w:after="0"/>
              <w:rPr>
                <w:sz w:val="11"/>
                <w:szCs w:val="11"/>
                <w:color w:val="auto"/>
              </w:rPr>
            </w:pPr>
          </w:p>
        </w:tc>
        <w:tc>
          <w:tcPr>
            <w:tcW w:w="2680" w:type="dxa"/>
            <w:vAlign w:val="bottom"/>
            <w:gridSpan w:val="4"/>
            <w:shd w:val="clear" w:color="auto" w:fill="525252"/>
          </w:tcPr>
          <w:p>
            <w:pPr>
              <w:ind w:left="280"/>
              <w:spacing w:after="0" w:line="135" w:lineRule="exact"/>
              <w:rPr>
                <w:sz w:val="20"/>
                <w:szCs w:val="20"/>
                <w:color w:val="auto"/>
              </w:rPr>
            </w:pPr>
            <w:r>
              <w:rPr>
                <w:rFonts w:ascii="Arial" w:cs="Arial" w:eastAsia="Arial" w:hAnsi="Arial"/>
                <w:sz w:val="13"/>
                <w:szCs w:val="13"/>
                <w:b w:val="1"/>
                <w:bCs w:val="1"/>
                <w:color w:val="FFFFFF"/>
              </w:rPr>
              <w:t>Under Non-Equity Incentive Plan</w:t>
            </w:r>
          </w:p>
        </w:tc>
        <w:tc>
          <w:tcPr>
            <w:tcW w:w="2600" w:type="dxa"/>
            <w:vAlign w:val="bottom"/>
            <w:gridSpan w:val="3"/>
            <w:shd w:val="clear" w:color="auto" w:fill="525252"/>
          </w:tcPr>
          <w:p>
            <w:pPr>
              <w:jc w:val="center"/>
              <w:spacing w:after="0" w:line="135" w:lineRule="exact"/>
              <w:rPr>
                <w:sz w:val="20"/>
                <w:szCs w:val="20"/>
                <w:color w:val="auto"/>
              </w:rPr>
            </w:pPr>
            <w:r>
              <w:rPr>
                <w:rFonts w:ascii="Arial" w:cs="Arial" w:eastAsia="Arial" w:hAnsi="Arial"/>
                <w:sz w:val="13"/>
                <w:szCs w:val="13"/>
                <w:b w:val="1"/>
                <w:bCs w:val="1"/>
                <w:color w:val="FFFFFF"/>
                <w:w w:val="96"/>
              </w:rPr>
              <w:t>Awards; Number of Shares of Stock or</w:t>
            </w:r>
          </w:p>
        </w:tc>
        <w:tc>
          <w:tcPr>
            <w:tcW w:w="840" w:type="dxa"/>
            <w:vAlign w:val="bottom"/>
            <w:shd w:val="clear" w:color="auto" w:fill="525252"/>
          </w:tcPr>
          <w:p>
            <w:pPr>
              <w:jc w:val="center"/>
              <w:spacing w:after="0" w:line="135" w:lineRule="exact"/>
              <w:rPr>
                <w:sz w:val="20"/>
                <w:szCs w:val="20"/>
                <w:color w:val="auto"/>
              </w:rPr>
            </w:pPr>
            <w:r>
              <w:rPr>
                <w:rFonts w:ascii="Arial" w:cs="Arial" w:eastAsia="Arial" w:hAnsi="Arial"/>
                <w:sz w:val="13"/>
                <w:szCs w:val="13"/>
                <w:b w:val="1"/>
                <w:bCs w:val="1"/>
                <w:color w:val="FFFFFF"/>
                <w:w w:val="98"/>
              </w:rPr>
              <w:t>Number of</w:t>
            </w:r>
          </w:p>
        </w:tc>
        <w:tc>
          <w:tcPr>
            <w:tcW w:w="180" w:type="dxa"/>
            <w:vAlign w:val="bottom"/>
            <w:shd w:val="clear" w:color="auto" w:fill="525252"/>
          </w:tcPr>
          <w:p>
            <w:pPr>
              <w:spacing w:after="0"/>
              <w:rPr>
                <w:sz w:val="11"/>
                <w:szCs w:val="11"/>
                <w:color w:val="auto"/>
              </w:rPr>
            </w:pPr>
          </w:p>
        </w:tc>
        <w:tc>
          <w:tcPr>
            <w:tcW w:w="840" w:type="dxa"/>
            <w:vAlign w:val="bottom"/>
            <w:shd w:val="clear" w:color="auto" w:fill="525252"/>
          </w:tcPr>
          <w:p>
            <w:pPr>
              <w:jc w:val="center"/>
              <w:ind w:right="77"/>
              <w:spacing w:after="0" w:line="135" w:lineRule="exact"/>
              <w:rPr>
                <w:sz w:val="20"/>
                <w:szCs w:val="20"/>
                <w:color w:val="auto"/>
              </w:rPr>
            </w:pPr>
            <w:r>
              <w:rPr>
                <w:rFonts w:ascii="Arial" w:cs="Arial" w:eastAsia="Arial" w:hAnsi="Arial"/>
                <w:sz w:val="13"/>
                <w:szCs w:val="13"/>
                <w:b w:val="1"/>
                <w:bCs w:val="1"/>
                <w:color w:val="FFFFFF"/>
                <w:w w:val="99"/>
              </w:rPr>
              <w:t>Grant Date</w:t>
            </w:r>
          </w:p>
        </w:tc>
        <w:tc>
          <w:tcPr>
            <w:tcW w:w="0" w:type="dxa"/>
            <w:vAlign w:val="bottom"/>
          </w:tcPr>
          <w:p>
            <w:pPr>
              <w:spacing w:after="0"/>
              <w:rPr>
                <w:sz w:val="1"/>
                <w:szCs w:val="1"/>
                <w:color w:val="auto"/>
              </w:rPr>
            </w:pPr>
          </w:p>
        </w:tc>
      </w:tr>
      <w:tr>
        <w:trPr>
          <w:trHeight w:val="135"/>
        </w:trPr>
        <w:tc>
          <w:tcPr>
            <w:tcW w:w="1800" w:type="dxa"/>
            <w:vAlign w:val="bottom"/>
            <w:shd w:val="clear" w:color="auto" w:fill="525252"/>
          </w:tcPr>
          <w:p>
            <w:pPr>
              <w:spacing w:after="0"/>
              <w:rPr>
                <w:sz w:val="11"/>
                <w:szCs w:val="11"/>
                <w:color w:val="auto"/>
              </w:rPr>
            </w:pPr>
          </w:p>
        </w:tc>
        <w:tc>
          <w:tcPr>
            <w:tcW w:w="1000" w:type="dxa"/>
            <w:vAlign w:val="bottom"/>
            <w:vMerge w:val="restart"/>
            <w:shd w:val="clear" w:color="auto" w:fill="525252"/>
          </w:tcPr>
          <w:p>
            <w:pPr>
              <w:jc w:val="right"/>
              <w:ind w:right="277"/>
              <w:spacing w:after="0"/>
              <w:rPr>
                <w:sz w:val="20"/>
                <w:szCs w:val="20"/>
                <w:color w:val="auto"/>
              </w:rPr>
            </w:pPr>
            <w:r>
              <w:rPr>
                <w:rFonts w:ascii="Arial" w:cs="Arial" w:eastAsia="Arial" w:hAnsi="Arial"/>
                <w:sz w:val="13"/>
                <w:szCs w:val="13"/>
                <w:b w:val="1"/>
                <w:bCs w:val="1"/>
                <w:color w:val="FFFFFF"/>
              </w:rPr>
              <w:t>Grant</w:t>
            </w:r>
          </w:p>
        </w:tc>
        <w:tc>
          <w:tcPr>
            <w:tcW w:w="1140" w:type="dxa"/>
            <w:vAlign w:val="bottom"/>
            <w:gridSpan w:val="2"/>
            <w:shd w:val="clear" w:color="auto" w:fill="525252"/>
          </w:tcPr>
          <w:p>
            <w:pPr>
              <w:jc w:val="center"/>
              <w:ind w:right="160"/>
              <w:spacing w:after="0" w:line="135" w:lineRule="exact"/>
              <w:rPr>
                <w:sz w:val="20"/>
                <w:szCs w:val="20"/>
                <w:color w:val="auto"/>
              </w:rPr>
            </w:pPr>
            <w:r>
              <w:rPr>
                <w:rFonts w:ascii="Arial" w:cs="Arial" w:eastAsia="Arial" w:hAnsi="Arial"/>
                <w:sz w:val="13"/>
                <w:szCs w:val="13"/>
                <w:b w:val="1"/>
                <w:bCs w:val="1"/>
                <w:color w:val="FFFFFF"/>
                <w:w w:val="98"/>
              </w:rPr>
              <w:t>Committee</w:t>
            </w:r>
          </w:p>
        </w:tc>
        <w:tc>
          <w:tcPr>
            <w:tcW w:w="880" w:type="dxa"/>
            <w:vAlign w:val="bottom"/>
            <w:shd w:val="clear" w:color="auto" w:fill="525252"/>
          </w:tcPr>
          <w:p>
            <w:pPr>
              <w:spacing w:after="0"/>
              <w:rPr>
                <w:sz w:val="11"/>
                <w:szCs w:val="11"/>
                <w:color w:val="auto"/>
              </w:rPr>
            </w:pPr>
          </w:p>
        </w:tc>
        <w:tc>
          <w:tcPr>
            <w:tcW w:w="100" w:type="dxa"/>
            <w:vAlign w:val="bottom"/>
            <w:shd w:val="clear" w:color="auto" w:fill="525252"/>
          </w:tcPr>
          <w:p>
            <w:pPr>
              <w:spacing w:after="0"/>
              <w:rPr>
                <w:sz w:val="11"/>
                <w:szCs w:val="11"/>
                <w:color w:val="auto"/>
              </w:rPr>
            </w:pPr>
          </w:p>
        </w:tc>
        <w:tc>
          <w:tcPr>
            <w:tcW w:w="740" w:type="dxa"/>
            <w:vAlign w:val="bottom"/>
            <w:shd w:val="clear" w:color="auto" w:fill="525252"/>
          </w:tcPr>
          <w:p>
            <w:pPr>
              <w:jc w:val="right"/>
              <w:ind w:right="117"/>
              <w:spacing w:after="0" w:line="135" w:lineRule="exact"/>
              <w:rPr>
                <w:sz w:val="20"/>
                <w:szCs w:val="20"/>
                <w:color w:val="auto"/>
              </w:rPr>
            </w:pPr>
            <w:r>
              <w:rPr>
                <w:rFonts w:ascii="Arial" w:cs="Arial" w:eastAsia="Arial" w:hAnsi="Arial"/>
                <w:sz w:val="13"/>
                <w:szCs w:val="13"/>
                <w:b w:val="1"/>
                <w:bCs w:val="1"/>
                <w:color w:val="FFFFFF"/>
                <w:w w:val="95"/>
              </w:rPr>
              <w:t>Awards</w:t>
            </w:r>
            <w:r>
              <w:rPr>
                <w:rFonts w:ascii="Arial" w:cs="Arial" w:eastAsia="Arial" w:hAnsi="Arial"/>
                <w:sz w:val="8"/>
                <w:szCs w:val="8"/>
                <w:b w:val="1"/>
                <w:bCs w:val="1"/>
                <w:color w:val="FFFFFF"/>
                <w:w w:val="95"/>
              </w:rPr>
              <w:t>(1)</w:t>
            </w:r>
          </w:p>
        </w:tc>
        <w:tc>
          <w:tcPr>
            <w:tcW w:w="960" w:type="dxa"/>
            <w:vAlign w:val="bottom"/>
            <w:shd w:val="clear" w:color="auto" w:fill="525252"/>
          </w:tcPr>
          <w:p>
            <w:pPr>
              <w:spacing w:after="0"/>
              <w:rPr>
                <w:sz w:val="11"/>
                <w:szCs w:val="11"/>
                <w:color w:val="auto"/>
              </w:rPr>
            </w:pPr>
          </w:p>
        </w:tc>
        <w:tc>
          <w:tcPr>
            <w:tcW w:w="960" w:type="dxa"/>
            <w:vAlign w:val="bottom"/>
            <w:shd w:val="clear" w:color="auto" w:fill="525252"/>
          </w:tcPr>
          <w:p>
            <w:pPr>
              <w:spacing w:after="0"/>
              <w:rPr>
                <w:sz w:val="11"/>
                <w:szCs w:val="11"/>
                <w:color w:val="auto"/>
              </w:rPr>
            </w:pPr>
          </w:p>
        </w:tc>
        <w:tc>
          <w:tcPr>
            <w:tcW w:w="780" w:type="dxa"/>
            <w:vAlign w:val="bottom"/>
            <w:shd w:val="clear" w:color="auto" w:fill="525252"/>
          </w:tcPr>
          <w:p>
            <w:pPr>
              <w:jc w:val="center"/>
              <w:ind w:right="57"/>
              <w:spacing w:after="0" w:line="135" w:lineRule="exact"/>
              <w:rPr>
                <w:sz w:val="20"/>
                <w:szCs w:val="20"/>
                <w:color w:val="auto"/>
              </w:rPr>
            </w:pPr>
            <w:r>
              <w:rPr>
                <w:rFonts w:ascii="Arial" w:cs="Arial" w:eastAsia="Arial" w:hAnsi="Arial"/>
                <w:sz w:val="13"/>
                <w:szCs w:val="13"/>
                <w:b w:val="1"/>
                <w:bCs w:val="1"/>
                <w:color w:val="FFFFFF"/>
                <w:w w:val="99"/>
              </w:rPr>
              <w:t>Units</w:t>
            </w:r>
            <w:r>
              <w:rPr>
                <w:rFonts w:ascii="Arial" w:cs="Arial" w:eastAsia="Arial" w:hAnsi="Arial"/>
                <w:sz w:val="8"/>
                <w:szCs w:val="8"/>
                <w:b w:val="1"/>
                <w:bCs w:val="1"/>
                <w:color w:val="FFFFFF"/>
                <w:w w:val="99"/>
              </w:rPr>
              <w:t>(2)</w:t>
            </w:r>
          </w:p>
        </w:tc>
        <w:tc>
          <w:tcPr>
            <w:tcW w:w="860" w:type="dxa"/>
            <w:vAlign w:val="bottom"/>
            <w:shd w:val="clear" w:color="auto" w:fill="525252"/>
          </w:tcPr>
          <w:p>
            <w:pPr>
              <w:spacing w:after="0"/>
              <w:rPr>
                <w:sz w:val="11"/>
                <w:szCs w:val="11"/>
                <w:color w:val="auto"/>
              </w:rPr>
            </w:pPr>
          </w:p>
        </w:tc>
        <w:tc>
          <w:tcPr>
            <w:tcW w:w="840" w:type="dxa"/>
            <w:vAlign w:val="bottom"/>
            <w:shd w:val="clear" w:color="auto" w:fill="525252"/>
          </w:tcPr>
          <w:p>
            <w:pPr>
              <w:jc w:val="center"/>
              <w:spacing w:after="0" w:line="135" w:lineRule="exact"/>
              <w:rPr>
                <w:sz w:val="20"/>
                <w:szCs w:val="20"/>
                <w:color w:val="auto"/>
              </w:rPr>
            </w:pPr>
            <w:r>
              <w:rPr>
                <w:rFonts w:ascii="Arial" w:cs="Arial" w:eastAsia="Arial" w:hAnsi="Arial"/>
                <w:sz w:val="13"/>
                <w:szCs w:val="13"/>
                <w:b w:val="1"/>
                <w:bCs w:val="1"/>
                <w:color w:val="FFFFFF"/>
                <w:w w:val="94"/>
              </w:rPr>
              <w:t>Shares of</w:t>
            </w:r>
          </w:p>
        </w:tc>
        <w:tc>
          <w:tcPr>
            <w:tcW w:w="180" w:type="dxa"/>
            <w:vAlign w:val="bottom"/>
            <w:shd w:val="clear" w:color="auto" w:fill="525252"/>
          </w:tcPr>
          <w:p>
            <w:pPr>
              <w:spacing w:after="0"/>
              <w:rPr>
                <w:sz w:val="11"/>
                <w:szCs w:val="11"/>
                <w:color w:val="auto"/>
              </w:rPr>
            </w:pPr>
          </w:p>
        </w:tc>
        <w:tc>
          <w:tcPr>
            <w:tcW w:w="840" w:type="dxa"/>
            <w:vAlign w:val="bottom"/>
            <w:shd w:val="clear" w:color="auto" w:fill="525252"/>
          </w:tcPr>
          <w:p>
            <w:pPr>
              <w:jc w:val="center"/>
              <w:ind w:right="77"/>
              <w:spacing w:after="0" w:line="135" w:lineRule="exact"/>
              <w:rPr>
                <w:sz w:val="20"/>
                <w:szCs w:val="20"/>
                <w:color w:val="auto"/>
              </w:rPr>
            </w:pPr>
            <w:r>
              <w:rPr>
                <w:rFonts w:ascii="Arial" w:cs="Arial" w:eastAsia="Arial" w:hAnsi="Arial"/>
                <w:sz w:val="13"/>
                <w:szCs w:val="13"/>
                <w:b w:val="1"/>
                <w:bCs w:val="1"/>
                <w:color w:val="FFFFFF"/>
                <w:w w:val="93"/>
              </w:rPr>
              <w:t>Fair Value</w:t>
            </w:r>
          </w:p>
        </w:tc>
        <w:tc>
          <w:tcPr>
            <w:tcW w:w="0" w:type="dxa"/>
            <w:vAlign w:val="bottom"/>
          </w:tcPr>
          <w:p>
            <w:pPr>
              <w:spacing w:after="0"/>
              <w:rPr>
                <w:sz w:val="1"/>
                <w:szCs w:val="1"/>
                <w:color w:val="auto"/>
              </w:rPr>
            </w:pPr>
          </w:p>
        </w:tc>
      </w:tr>
      <w:tr>
        <w:trPr>
          <w:trHeight w:val="127"/>
        </w:trPr>
        <w:tc>
          <w:tcPr>
            <w:tcW w:w="1800" w:type="dxa"/>
            <w:vAlign w:val="bottom"/>
            <w:shd w:val="clear" w:color="auto" w:fill="525252"/>
          </w:tcPr>
          <w:p>
            <w:pPr>
              <w:spacing w:after="0"/>
              <w:rPr>
                <w:sz w:val="11"/>
                <w:szCs w:val="11"/>
                <w:color w:val="auto"/>
              </w:rPr>
            </w:pPr>
          </w:p>
        </w:tc>
        <w:tc>
          <w:tcPr>
            <w:tcW w:w="1000" w:type="dxa"/>
            <w:vAlign w:val="bottom"/>
            <w:vMerge w:val="continue"/>
            <w:shd w:val="clear" w:color="auto" w:fill="525252"/>
          </w:tcPr>
          <w:p>
            <w:pPr>
              <w:spacing w:after="0"/>
              <w:rPr>
                <w:sz w:val="11"/>
                <w:szCs w:val="11"/>
                <w:color w:val="auto"/>
              </w:rPr>
            </w:pPr>
          </w:p>
        </w:tc>
        <w:tc>
          <w:tcPr>
            <w:tcW w:w="1140" w:type="dxa"/>
            <w:vAlign w:val="bottom"/>
            <w:gridSpan w:val="2"/>
            <w:shd w:val="clear" w:color="auto" w:fill="525252"/>
          </w:tcPr>
          <w:p>
            <w:pPr>
              <w:jc w:val="center"/>
              <w:ind w:right="160"/>
              <w:spacing w:after="0" w:line="127" w:lineRule="exact"/>
              <w:rPr>
                <w:sz w:val="20"/>
                <w:szCs w:val="20"/>
                <w:color w:val="auto"/>
              </w:rPr>
            </w:pPr>
            <w:r>
              <w:rPr>
                <w:rFonts w:ascii="Arial" w:cs="Arial" w:eastAsia="Arial" w:hAnsi="Arial"/>
                <w:sz w:val="13"/>
                <w:szCs w:val="13"/>
                <w:b w:val="1"/>
                <w:bCs w:val="1"/>
                <w:color w:val="FFFFFF"/>
                <w:w w:val="93"/>
              </w:rPr>
              <w:t>Action</w:t>
            </w:r>
          </w:p>
        </w:tc>
        <w:tc>
          <w:tcPr>
            <w:tcW w:w="880" w:type="dxa"/>
            <w:vAlign w:val="bottom"/>
            <w:shd w:val="clear" w:color="auto" w:fill="525252"/>
          </w:tcPr>
          <w:p>
            <w:pPr>
              <w:spacing w:after="0"/>
              <w:rPr>
                <w:sz w:val="11"/>
                <w:szCs w:val="11"/>
                <w:color w:val="auto"/>
              </w:rPr>
            </w:pPr>
          </w:p>
        </w:tc>
        <w:tc>
          <w:tcPr>
            <w:tcW w:w="100" w:type="dxa"/>
            <w:vAlign w:val="bottom"/>
            <w:shd w:val="clear" w:color="auto" w:fill="525252"/>
          </w:tcPr>
          <w:p>
            <w:pPr>
              <w:spacing w:after="0"/>
              <w:rPr>
                <w:sz w:val="11"/>
                <w:szCs w:val="11"/>
                <w:color w:val="auto"/>
              </w:rPr>
            </w:pPr>
          </w:p>
        </w:tc>
        <w:tc>
          <w:tcPr>
            <w:tcW w:w="740" w:type="dxa"/>
            <w:vAlign w:val="bottom"/>
            <w:shd w:val="clear" w:color="auto" w:fill="525252"/>
          </w:tcPr>
          <w:p>
            <w:pPr>
              <w:spacing w:after="0"/>
              <w:rPr>
                <w:sz w:val="11"/>
                <w:szCs w:val="11"/>
                <w:color w:val="auto"/>
              </w:rPr>
            </w:pPr>
          </w:p>
        </w:tc>
        <w:tc>
          <w:tcPr>
            <w:tcW w:w="960" w:type="dxa"/>
            <w:vAlign w:val="bottom"/>
            <w:shd w:val="clear" w:color="auto" w:fill="525252"/>
          </w:tcPr>
          <w:p>
            <w:pPr>
              <w:spacing w:after="0"/>
              <w:rPr>
                <w:sz w:val="11"/>
                <w:szCs w:val="11"/>
                <w:color w:val="auto"/>
              </w:rPr>
            </w:pPr>
          </w:p>
        </w:tc>
        <w:tc>
          <w:tcPr>
            <w:tcW w:w="960" w:type="dxa"/>
            <w:vAlign w:val="bottom"/>
            <w:shd w:val="clear" w:color="auto" w:fill="525252"/>
          </w:tcPr>
          <w:p>
            <w:pPr>
              <w:spacing w:after="0"/>
              <w:rPr>
                <w:sz w:val="11"/>
                <w:szCs w:val="11"/>
                <w:color w:val="auto"/>
              </w:rPr>
            </w:pPr>
          </w:p>
        </w:tc>
        <w:tc>
          <w:tcPr>
            <w:tcW w:w="780" w:type="dxa"/>
            <w:vAlign w:val="bottom"/>
            <w:shd w:val="clear" w:color="auto" w:fill="525252"/>
          </w:tcPr>
          <w:p>
            <w:pPr>
              <w:spacing w:after="0"/>
              <w:rPr>
                <w:sz w:val="11"/>
                <w:szCs w:val="11"/>
                <w:color w:val="auto"/>
              </w:rPr>
            </w:pPr>
          </w:p>
        </w:tc>
        <w:tc>
          <w:tcPr>
            <w:tcW w:w="860" w:type="dxa"/>
            <w:vAlign w:val="bottom"/>
            <w:shd w:val="clear" w:color="auto" w:fill="525252"/>
          </w:tcPr>
          <w:p>
            <w:pPr>
              <w:spacing w:after="0"/>
              <w:rPr>
                <w:sz w:val="11"/>
                <w:szCs w:val="11"/>
                <w:color w:val="auto"/>
              </w:rPr>
            </w:pPr>
          </w:p>
        </w:tc>
        <w:tc>
          <w:tcPr>
            <w:tcW w:w="840" w:type="dxa"/>
            <w:vAlign w:val="bottom"/>
            <w:shd w:val="clear" w:color="auto" w:fill="525252"/>
          </w:tcPr>
          <w:p>
            <w:pPr>
              <w:jc w:val="center"/>
              <w:spacing w:after="0" w:line="127" w:lineRule="exact"/>
              <w:rPr>
                <w:sz w:val="20"/>
                <w:szCs w:val="20"/>
                <w:color w:val="auto"/>
              </w:rPr>
            </w:pPr>
            <w:r>
              <w:rPr>
                <w:rFonts w:ascii="Arial" w:cs="Arial" w:eastAsia="Arial" w:hAnsi="Arial"/>
                <w:sz w:val="13"/>
                <w:szCs w:val="13"/>
                <w:b w:val="1"/>
                <w:bCs w:val="1"/>
                <w:color w:val="FFFFFF"/>
                <w:w w:val="96"/>
              </w:rPr>
              <w:t>Stock or</w:t>
            </w:r>
          </w:p>
        </w:tc>
        <w:tc>
          <w:tcPr>
            <w:tcW w:w="180" w:type="dxa"/>
            <w:vAlign w:val="bottom"/>
            <w:shd w:val="clear" w:color="auto" w:fill="525252"/>
          </w:tcPr>
          <w:p>
            <w:pPr>
              <w:spacing w:after="0"/>
              <w:rPr>
                <w:sz w:val="11"/>
                <w:szCs w:val="11"/>
                <w:color w:val="auto"/>
              </w:rPr>
            </w:pPr>
          </w:p>
        </w:tc>
        <w:tc>
          <w:tcPr>
            <w:tcW w:w="840" w:type="dxa"/>
            <w:vAlign w:val="bottom"/>
            <w:shd w:val="clear" w:color="auto" w:fill="525252"/>
          </w:tcPr>
          <w:p>
            <w:pPr>
              <w:jc w:val="center"/>
              <w:ind w:right="77"/>
              <w:spacing w:after="0" w:line="127" w:lineRule="exact"/>
              <w:rPr>
                <w:sz w:val="20"/>
                <w:szCs w:val="20"/>
                <w:color w:val="auto"/>
              </w:rPr>
            </w:pPr>
            <w:r>
              <w:rPr>
                <w:rFonts w:ascii="Arial" w:cs="Arial" w:eastAsia="Arial" w:hAnsi="Arial"/>
                <w:sz w:val="13"/>
                <w:szCs w:val="13"/>
                <w:b w:val="1"/>
                <w:bCs w:val="1"/>
                <w:color w:val="FFFFFF"/>
                <w:w w:val="97"/>
              </w:rPr>
              <w:t>of Stock</w:t>
            </w:r>
          </w:p>
        </w:tc>
        <w:tc>
          <w:tcPr>
            <w:tcW w:w="0" w:type="dxa"/>
            <w:vAlign w:val="bottom"/>
          </w:tcPr>
          <w:p>
            <w:pPr>
              <w:spacing w:after="0"/>
              <w:rPr>
                <w:sz w:val="1"/>
                <w:szCs w:val="1"/>
                <w:color w:val="auto"/>
              </w:rPr>
            </w:pPr>
          </w:p>
        </w:tc>
      </w:tr>
      <w:tr>
        <w:trPr>
          <w:trHeight w:val="184"/>
        </w:trPr>
        <w:tc>
          <w:tcPr>
            <w:tcW w:w="1800" w:type="dxa"/>
            <w:vAlign w:val="bottom"/>
            <w:shd w:val="clear" w:color="auto" w:fill="525252"/>
          </w:tcPr>
          <w:p>
            <w:pPr>
              <w:ind w:left="180"/>
              <w:spacing w:after="0"/>
              <w:rPr>
                <w:sz w:val="20"/>
                <w:szCs w:val="20"/>
                <w:color w:val="auto"/>
              </w:rPr>
            </w:pPr>
            <w:r>
              <w:rPr>
                <w:rFonts w:ascii="Arial" w:cs="Arial" w:eastAsia="Arial" w:hAnsi="Arial"/>
                <w:sz w:val="13"/>
                <w:szCs w:val="13"/>
                <w:b w:val="1"/>
                <w:bCs w:val="1"/>
                <w:color w:val="FFFFFF"/>
              </w:rPr>
              <w:t>Name</w:t>
            </w:r>
          </w:p>
        </w:tc>
        <w:tc>
          <w:tcPr>
            <w:tcW w:w="1000" w:type="dxa"/>
            <w:vAlign w:val="bottom"/>
            <w:shd w:val="clear" w:color="auto" w:fill="525252"/>
          </w:tcPr>
          <w:p>
            <w:pPr>
              <w:jc w:val="right"/>
              <w:ind w:right="317"/>
              <w:spacing w:after="0"/>
              <w:rPr>
                <w:sz w:val="20"/>
                <w:szCs w:val="20"/>
                <w:color w:val="auto"/>
              </w:rPr>
            </w:pPr>
            <w:r>
              <w:rPr>
                <w:rFonts w:ascii="Arial" w:cs="Arial" w:eastAsia="Arial" w:hAnsi="Arial"/>
                <w:sz w:val="13"/>
                <w:szCs w:val="13"/>
                <w:b w:val="1"/>
                <w:bCs w:val="1"/>
                <w:color w:val="FFFFFF"/>
              </w:rPr>
              <w:t>Date</w:t>
            </w:r>
          </w:p>
        </w:tc>
        <w:tc>
          <w:tcPr>
            <w:tcW w:w="1140" w:type="dxa"/>
            <w:vAlign w:val="bottom"/>
            <w:gridSpan w:val="2"/>
            <w:shd w:val="clear" w:color="auto" w:fill="525252"/>
          </w:tcPr>
          <w:p>
            <w:pPr>
              <w:jc w:val="center"/>
              <w:ind w:right="160"/>
              <w:spacing w:after="0"/>
              <w:rPr>
                <w:sz w:val="20"/>
                <w:szCs w:val="20"/>
                <w:color w:val="auto"/>
              </w:rPr>
            </w:pPr>
            <w:r>
              <w:rPr>
                <w:rFonts w:ascii="Arial" w:cs="Arial" w:eastAsia="Arial" w:hAnsi="Arial"/>
                <w:sz w:val="13"/>
                <w:szCs w:val="13"/>
                <w:b w:val="1"/>
                <w:bCs w:val="1"/>
                <w:color w:val="FFFFFF"/>
                <w:w w:val="92"/>
              </w:rPr>
              <w:t>Date</w:t>
            </w:r>
          </w:p>
        </w:tc>
        <w:tc>
          <w:tcPr>
            <w:tcW w:w="880" w:type="dxa"/>
            <w:vAlign w:val="bottom"/>
            <w:shd w:val="clear" w:color="auto" w:fill="525252"/>
          </w:tcPr>
          <w:p>
            <w:pPr>
              <w:ind w:left="60"/>
              <w:spacing w:after="0"/>
              <w:rPr>
                <w:sz w:val="20"/>
                <w:szCs w:val="20"/>
                <w:color w:val="auto"/>
              </w:rPr>
            </w:pPr>
            <w:r>
              <w:rPr>
                <w:rFonts w:ascii="Arial" w:cs="Arial" w:eastAsia="Arial" w:hAnsi="Arial"/>
                <w:sz w:val="13"/>
                <w:szCs w:val="13"/>
                <w:b w:val="1"/>
                <w:bCs w:val="1"/>
                <w:color w:val="FFFFFF"/>
              </w:rPr>
              <w:t>Threshold</w:t>
            </w:r>
          </w:p>
        </w:tc>
        <w:tc>
          <w:tcPr>
            <w:tcW w:w="100" w:type="dxa"/>
            <w:vAlign w:val="bottom"/>
            <w:shd w:val="clear" w:color="auto" w:fill="525252"/>
          </w:tcPr>
          <w:p>
            <w:pPr>
              <w:spacing w:after="0"/>
              <w:rPr>
                <w:sz w:val="16"/>
                <w:szCs w:val="16"/>
                <w:color w:val="auto"/>
              </w:rPr>
            </w:pPr>
          </w:p>
        </w:tc>
        <w:tc>
          <w:tcPr>
            <w:tcW w:w="740" w:type="dxa"/>
            <w:vAlign w:val="bottom"/>
            <w:shd w:val="clear" w:color="auto" w:fill="525252"/>
          </w:tcPr>
          <w:p>
            <w:pPr>
              <w:jc w:val="right"/>
              <w:ind w:right="157"/>
              <w:spacing w:after="0"/>
              <w:rPr>
                <w:sz w:val="20"/>
                <w:szCs w:val="20"/>
                <w:color w:val="auto"/>
              </w:rPr>
            </w:pPr>
            <w:r>
              <w:rPr>
                <w:rFonts w:ascii="Arial" w:cs="Arial" w:eastAsia="Arial" w:hAnsi="Arial"/>
                <w:sz w:val="13"/>
                <w:szCs w:val="13"/>
                <w:b w:val="1"/>
                <w:bCs w:val="1"/>
                <w:color w:val="FFFFFF"/>
              </w:rPr>
              <w:t>Target</w:t>
            </w:r>
          </w:p>
        </w:tc>
        <w:tc>
          <w:tcPr>
            <w:tcW w:w="960" w:type="dxa"/>
            <w:vAlign w:val="bottom"/>
            <w:shd w:val="clear" w:color="auto" w:fill="525252"/>
          </w:tcPr>
          <w:p>
            <w:pPr>
              <w:jc w:val="right"/>
              <w:ind w:right="117"/>
              <w:spacing w:after="0"/>
              <w:rPr>
                <w:sz w:val="20"/>
                <w:szCs w:val="20"/>
                <w:color w:val="auto"/>
              </w:rPr>
            </w:pPr>
            <w:r>
              <w:rPr>
                <w:rFonts w:ascii="Arial" w:cs="Arial" w:eastAsia="Arial" w:hAnsi="Arial"/>
                <w:sz w:val="13"/>
                <w:szCs w:val="13"/>
                <w:b w:val="1"/>
                <w:bCs w:val="1"/>
                <w:color w:val="FFFFFF"/>
              </w:rPr>
              <w:t>Maximum</w:t>
            </w:r>
          </w:p>
        </w:tc>
        <w:tc>
          <w:tcPr>
            <w:tcW w:w="960" w:type="dxa"/>
            <w:vAlign w:val="bottom"/>
            <w:shd w:val="clear" w:color="auto" w:fill="525252"/>
          </w:tcPr>
          <w:p>
            <w:pPr>
              <w:jc w:val="right"/>
              <w:ind w:right="137"/>
              <w:spacing w:after="0"/>
              <w:rPr>
                <w:sz w:val="20"/>
                <w:szCs w:val="20"/>
                <w:color w:val="auto"/>
              </w:rPr>
            </w:pPr>
            <w:r>
              <w:rPr>
                <w:rFonts w:ascii="Arial" w:cs="Arial" w:eastAsia="Arial" w:hAnsi="Arial"/>
                <w:sz w:val="13"/>
                <w:szCs w:val="13"/>
                <w:b w:val="1"/>
                <w:bCs w:val="1"/>
                <w:color w:val="FFFFFF"/>
              </w:rPr>
              <w:t>Threshold</w:t>
            </w:r>
          </w:p>
        </w:tc>
        <w:tc>
          <w:tcPr>
            <w:tcW w:w="780" w:type="dxa"/>
            <w:vAlign w:val="bottom"/>
            <w:shd w:val="clear" w:color="auto" w:fill="525252"/>
          </w:tcPr>
          <w:p>
            <w:pPr>
              <w:jc w:val="right"/>
              <w:ind w:right="157"/>
              <w:spacing w:after="0"/>
              <w:rPr>
                <w:sz w:val="20"/>
                <w:szCs w:val="20"/>
                <w:color w:val="auto"/>
              </w:rPr>
            </w:pPr>
            <w:r>
              <w:rPr>
                <w:rFonts w:ascii="Arial" w:cs="Arial" w:eastAsia="Arial" w:hAnsi="Arial"/>
                <w:sz w:val="13"/>
                <w:szCs w:val="13"/>
                <w:b w:val="1"/>
                <w:bCs w:val="1"/>
                <w:color w:val="FFFFFF"/>
              </w:rPr>
              <w:t>Target</w:t>
            </w:r>
          </w:p>
        </w:tc>
        <w:tc>
          <w:tcPr>
            <w:tcW w:w="860" w:type="dxa"/>
            <w:vAlign w:val="bottom"/>
            <w:shd w:val="clear" w:color="auto" w:fill="525252"/>
          </w:tcPr>
          <w:p>
            <w:pPr>
              <w:jc w:val="right"/>
              <w:ind w:right="77"/>
              <w:spacing w:after="0"/>
              <w:rPr>
                <w:sz w:val="20"/>
                <w:szCs w:val="20"/>
                <w:color w:val="auto"/>
              </w:rPr>
            </w:pPr>
            <w:r>
              <w:rPr>
                <w:rFonts w:ascii="Arial" w:cs="Arial" w:eastAsia="Arial" w:hAnsi="Arial"/>
                <w:sz w:val="13"/>
                <w:szCs w:val="13"/>
                <w:b w:val="1"/>
                <w:bCs w:val="1"/>
                <w:color w:val="FFFFFF"/>
              </w:rPr>
              <w:t>Maximum</w:t>
            </w:r>
          </w:p>
        </w:tc>
        <w:tc>
          <w:tcPr>
            <w:tcW w:w="840" w:type="dxa"/>
            <w:vAlign w:val="bottom"/>
            <w:shd w:val="clear" w:color="auto" w:fill="525252"/>
          </w:tcPr>
          <w:p>
            <w:pPr>
              <w:jc w:val="center"/>
              <w:spacing w:after="0"/>
              <w:rPr>
                <w:sz w:val="20"/>
                <w:szCs w:val="20"/>
                <w:color w:val="auto"/>
              </w:rPr>
            </w:pPr>
            <w:r>
              <w:rPr>
                <w:rFonts w:ascii="Arial" w:cs="Arial" w:eastAsia="Arial" w:hAnsi="Arial"/>
                <w:sz w:val="13"/>
                <w:szCs w:val="13"/>
                <w:b w:val="1"/>
                <w:bCs w:val="1"/>
                <w:color w:val="FFFFFF"/>
              </w:rPr>
              <w:t>Units</w:t>
            </w:r>
            <w:r>
              <w:rPr>
                <w:rFonts w:ascii="Arial" w:cs="Arial" w:eastAsia="Arial" w:hAnsi="Arial"/>
                <w:sz w:val="8"/>
                <w:szCs w:val="8"/>
                <w:b w:val="1"/>
                <w:bCs w:val="1"/>
                <w:color w:val="FFFFFF"/>
              </w:rPr>
              <w:t>(3)</w:t>
            </w:r>
          </w:p>
        </w:tc>
        <w:tc>
          <w:tcPr>
            <w:tcW w:w="180" w:type="dxa"/>
            <w:vAlign w:val="bottom"/>
            <w:shd w:val="clear" w:color="auto" w:fill="525252"/>
          </w:tcPr>
          <w:p>
            <w:pPr>
              <w:spacing w:after="0"/>
              <w:rPr>
                <w:sz w:val="16"/>
                <w:szCs w:val="16"/>
                <w:color w:val="auto"/>
              </w:rPr>
            </w:pPr>
          </w:p>
        </w:tc>
        <w:tc>
          <w:tcPr>
            <w:tcW w:w="840" w:type="dxa"/>
            <w:vAlign w:val="bottom"/>
            <w:shd w:val="clear" w:color="auto" w:fill="525252"/>
          </w:tcPr>
          <w:p>
            <w:pPr>
              <w:jc w:val="center"/>
              <w:ind w:right="77"/>
              <w:spacing w:after="0"/>
              <w:rPr>
                <w:sz w:val="20"/>
                <w:szCs w:val="20"/>
                <w:color w:val="auto"/>
              </w:rPr>
            </w:pPr>
            <w:r>
              <w:rPr>
                <w:rFonts w:ascii="Arial" w:cs="Arial" w:eastAsia="Arial" w:hAnsi="Arial"/>
                <w:sz w:val="13"/>
                <w:szCs w:val="13"/>
                <w:b w:val="1"/>
                <w:bCs w:val="1"/>
                <w:color w:val="FFFFFF"/>
              </w:rPr>
              <w:t>Awards</w:t>
            </w:r>
            <w:r>
              <w:rPr>
                <w:rFonts w:ascii="Arial" w:cs="Arial" w:eastAsia="Arial" w:hAnsi="Arial"/>
                <w:sz w:val="8"/>
                <w:szCs w:val="8"/>
                <w:b w:val="1"/>
                <w:bCs w:val="1"/>
                <w:color w:val="FFFFFF"/>
              </w:rPr>
              <w:t>(4)</w:t>
            </w:r>
          </w:p>
        </w:tc>
        <w:tc>
          <w:tcPr>
            <w:tcW w:w="0" w:type="dxa"/>
            <w:vAlign w:val="bottom"/>
          </w:tcPr>
          <w:p>
            <w:pPr>
              <w:spacing w:after="0"/>
              <w:rPr>
                <w:sz w:val="1"/>
                <w:szCs w:val="1"/>
                <w:color w:val="auto"/>
              </w:rPr>
            </w:pPr>
          </w:p>
        </w:tc>
      </w:tr>
      <w:tr>
        <w:trPr>
          <w:trHeight w:val="173"/>
        </w:trPr>
        <w:tc>
          <w:tcPr>
            <w:tcW w:w="1800" w:type="dxa"/>
            <w:vAlign w:val="bottom"/>
          </w:tcPr>
          <w:p>
            <w:pPr>
              <w:ind w:left="40"/>
              <w:spacing w:after="0"/>
              <w:rPr>
                <w:sz w:val="20"/>
                <w:szCs w:val="20"/>
                <w:color w:val="auto"/>
              </w:rPr>
            </w:pPr>
            <w:r>
              <w:rPr>
                <w:rFonts w:ascii="Arial" w:cs="Arial" w:eastAsia="Arial" w:hAnsi="Arial"/>
                <w:sz w:val="13"/>
                <w:szCs w:val="13"/>
                <w:b w:val="1"/>
                <w:bCs w:val="1"/>
                <w:color w:val="auto"/>
              </w:rPr>
              <w:t>Rex D. Geveden</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3/2/2017</w:t>
            </w:r>
          </w:p>
        </w:tc>
        <w:tc>
          <w:tcPr>
            <w:tcW w:w="114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2/23/2017 $</w:t>
            </w:r>
          </w:p>
        </w:tc>
        <w:tc>
          <w:tcPr>
            <w:tcW w:w="880" w:type="dxa"/>
            <w:vAlign w:val="bottom"/>
            <w:vMerge w:val="restart"/>
          </w:tcPr>
          <w:p>
            <w:pPr>
              <w:ind w:left="300"/>
              <w:spacing w:after="0"/>
              <w:rPr>
                <w:sz w:val="20"/>
                <w:szCs w:val="20"/>
                <w:color w:val="auto"/>
              </w:rPr>
            </w:pPr>
            <w:r>
              <w:rPr>
                <w:rFonts w:ascii="Arial" w:cs="Arial" w:eastAsia="Arial" w:hAnsi="Arial"/>
                <w:sz w:val="13"/>
                <w:szCs w:val="13"/>
                <w:color w:val="auto"/>
              </w:rPr>
              <w:t>312,188</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624,375</w:t>
            </w:r>
          </w:p>
        </w:tc>
        <w:tc>
          <w:tcPr>
            <w:tcW w:w="960" w:type="dxa"/>
            <w:vAlign w:val="bottom"/>
            <w:vMerge w:val="restart"/>
          </w:tcPr>
          <w:p>
            <w:pPr>
              <w:jc w:val="right"/>
              <w:ind w:right="77"/>
              <w:spacing w:after="0"/>
              <w:rPr>
                <w:sz w:val="20"/>
                <w:szCs w:val="20"/>
                <w:color w:val="auto"/>
              </w:rPr>
            </w:pPr>
            <w:r>
              <w:rPr>
                <w:rFonts w:ascii="Arial" w:cs="Arial" w:eastAsia="Arial" w:hAnsi="Arial"/>
                <w:sz w:val="13"/>
                <w:szCs w:val="13"/>
                <w:color w:val="auto"/>
              </w:rPr>
              <w:t>$  1,248,750</w:t>
            </w:r>
          </w:p>
        </w:tc>
        <w:tc>
          <w:tcPr>
            <w:tcW w:w="9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80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8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3/2/2017</w:t>
            </w:r>
          </w:p>
        </w:tc>
        <w:tc>
          <w:tcPr>
            <w:tcW w:w="980" w:type="dxa"/>
            <w:vAlign w:val="bottom"/>
          </w:tcPr>
          <w:p>
            <w:pPr>
              <w:jc w:val="right"/>
              <w:spacing w:after="0"/>
              <w:rPr>
                <w:sz w:val="20"/>
                <w:szCs w:val="20"/>
                <w:color w:val="auto"/>
              </w:rPr>
            </w:pPr>
            <w:r>
              <w:rPr>
                <w:rFonts w:ascii="Arial" w:cs="Arial" w:eastAsia="Arial" w:hAnsi="Arial"/>
                <w:sz w:val="13"/>
                <w:szCs w:val="13"/>
                <w:color w:val="auto"/>
              </w:rPr>
              <w:t>2/23/2017</w:t>
            </w: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15,154</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30,309</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60,618</w:t>
            </w:r>
          </w:p>
        </w:tc>
        <w:tc>
          <w:tcPr>
            <w:tcW w:w="8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1,436,647</w:t>
            </w:r>
          </w:p>
        </w:tc>
        <w:tc>
          <w:tcPr>
            <w:tcW w:w="0" w:type="dxa"/>
            <w:vAlign w:val="bottom"/>
          </w:tcPr>
          <w:p>
            <w:pPr>
              <w:spacing w:after="0"/>
              <w:rPr>
                <w:sz w:val="1"/>
                <w:szCs w:val="1"/>
                <w:color w:val="auto"/>
              </w:rPr>
            </w:pPr>
          </w:p>
        </w:tc>
      </w:tr>
      <w:tr>
        <w:trPr>
          <w:trHeight w:val="270"/>
        </w:trPr>
        <w:tc>
          <w:tcPr>
            <w:tcW w:w="18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3/2/2017</w:t>
            </w:r>
          </w:p>
        </w:tc>
        <w:tc>
          <w:tcPr>
            <w:tcW w:w="980" w:type="dxa"/>
            <w:vAlign w:val="bottom"/>
          </w:tcPr>
          <w:p>
            <w:pPr>
              <w:jc w:val="right"/>
              <w:spacing w:after="0"/>
              <w:rPr>
                <w:sz w:val="20"/>
                <w:szCs w:val="20"/>
                <w:color w:val="auto"/>
              </w:rPr>
            </w:pPr>
            <w:r>
              <w:rPr>
                <w:rFonts w:ascii="Arial" w:cs="Arial" w:eastAsia="Arial" w:hAnsi="Arial"/>
                <w:sz w:val="13"/>
                <w:szCs w:val="13"/>
                <w:color w:val="auto"/>
              </w:rPr>
              <w:t>2/23/2017</w:t>
            </w: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21,222</w:t>
            </w:r>
          </w:p>
        </w:tc>
        <w:tc>
          <w:tcPr>
            <w:tcW w:w="180" w:type="dxa"/>
            <w:vAlign w:val="bottom"/>
          </w:tcPr>
          <w:p>
            <w:pPr>
              <w:spacing w:after="0"/>
              <w:rPr>
                <w:sz w:val="23"/>
                <w:szCs w:val="23"/>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1,005,923</w:t>
            </w:r>
          </w:p>
        </w:tc>
        <w:tc>
          <w:tcPr>
            <w:tcW w:w="0" w:type="dxa"/>
            <w:vAlign w:val="bottom"/>
          </w:tcPr>
          <w:p>
            <w:pPr>
              <w:spacing w:after="0"/>
              <w:rPr>
                <w:sz w:val="1"/>
                <w:szCs w:val="1"/>
                <w:color w:val="auto"/>
              </w:rPr>
            </w:pPr>
          </w:p>
        </w:tc>
      </w:tr>
      <w:tr>
        <w:trPr>
          <w:trHeight w:val="259"/>
        </w:trPr>
        <w:tc>
          <w:tcPr>
            <w:tcW w:w="18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1800" w:type="dxa"/>
            <w:vAlign w:val="bottom"/>
            <w:shd w:val="clear" w:color="auto" w:fill="E5E5E5"/>
          </w:tcPr>
          <w:p>
            <w:pPr>
              <w:ind w:left="40"/>
              <w:spacing w:after="0"/>
              <w:rPr>
                <w:sz w:val="20"/>
                <w:szCs w:val="20"/>
                <w:color w:val="auto"/>
              </w:rPr>
            </w:pPr>
            <w:r>
              <w:rPr>
                <w:rFonts w:ascii="Arial" w:cs="Arial" w:eastAsia="Arial" w:hAnsi="Arial"/>
                <w:sz w:val="13"/>
                <w:szCs w:val="13"/>
                <w:b w:val="1"/>
                <w:bCs w:val="1"/>
                <w:color w:val="auto"/>
              </w:rPr>
              <w:t>David S. Black</w:t>
            </w:r>
          </w:p>
        </w:tc>
        <w:tc>
          <w:tcPr>
            <w:tcW w:w="100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3/2/2017</w:t>
            </w:r>
          </w:p>
        </w:tc>
        <w:tc>
          <w:tcPr>
            <w:tcW w:w="98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2/23/2017</w:t>
            </w:r>
          </w:p>
        </w:tc>
        <w:tc>
          <w:tcPr>
            <w:tcW w:w="160" w:type="dxa"/>
            <w:vAlign w:val="bottom"/>
            <w:shd w:val="clear" w:color="auto" w:fill="E5E5E5"/>
          </w:tcPr>
          <w:p>
            <w:pPr>
              <w:spacing w:after="0"/>
              <w:rPr>
                <w:sz w:val="15"/>
                <w:szCs w:val="15"/>
                <w:color w:val="auto"/>
              </w:rPr>
            </w:pPr>
          </w:p>
        </w:tc>
        <w:tc>
          <w:tcPr>
            <w:tcW w:w="880" w:type="dxa"/>
            <w:vAlign w:val="bottom"/>
            <w:vMerge w:val="restart"/>
            <w:shd w:val="clear" w:color="auto" w:fill="E5E5E5"/>
          </w:tcPr>
          <w:p>
            <w:pPr>
              <w:ind w:left="300"/>
              <w:spacing w:after="0"/>
              <w:rPr>
                <w:sz w:val="20"/>
                <w:szCs w:val="20"/>
                <w:color w:val="auto"/>
              </w:rPr>
            </w:pPr>
            <w:r>
              <w:rPr>
                <w:rFonts w:ascii="Arial" w:cs="Arial" w:eastAsia="Arial" w:hAnsi="Arial"/>
                <w:sz w:val="13"/>
                <w:szCs w:val="13"/>
                <w:color w:val="auto"/>
              </w:rPr>
              <w:t>130,500</w:t>
            </w:r>
          </w:p>
        </w:tc>
        <w:tc>
          <w:tcPr>
            <w:tcW w:w="100" w:type="dxa"/>
            <w:vAlign w:val="bottom"/>
            <w:shd w:val="clear" w:color="auto" w:fill="E5E5E5"/>
          </w:tcPr>
          <w:p>
            <w:pPr>
              <w:spacing w:after="0"/>
              <w:rPr>
                <w:sz w:val="15"/>
                <w:szCs w:val="15"/>
                <w:color w:val="auto"/>
              </w:rPr>
            </w:pPr>
          </w:p>
        </w:tc>
        <w:tc>
          <w:tcPr>
            <w:tcW w:w="74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261,000</w:t>
            </w:r>
          </w:p>
        </w:tc>
        <w:tc>
          <w:tcPr>
            <w:tcW w:w="960" w:type="dxa"/>
            <w:vAlign w:val="bottom"/>
            <w:vMerge w:val="restart"/>
            <w:shd w:val="clear" w:color="auto" w:fill="E5E5E5"/>
          </w:tcPr>
          <w:p>
            <w:pPr>
              <w:jc w:val="right"/>
              <w:ind w:right="77"/>
              <w:spacing w:after="0"/>
              <w:rPr>
                <w:sz w:val="20"/>
                <w:szCs w:val="20"/>
                <w:color w:val="auto"/>
              </w:rPr>
            </w:pPr>
            <w:r>
              <w:rPr>
                <w:rFonts w:ascii="Arial" w:cs="Arial" w:eastAsia="Arial" w:hAnsi="Arial"/>
                <w:sz w:val="13"/>
                <w:szCs w:val="13"/>
                <w:color w:val="auto"/>
              </w:rPr>
              <w:t>522,000</w:t>
            </w:r>
          </w:p>
        </w:tc>
        <w:tc>
          <w:tcPr>
            <w:tcW w:w="960" w:type="dxa"/>
            <w:vAlign w:val="bottom"/>
            <w:shd w:val="clear" w:color="auto" w:fill="E5E5E5"/>
          </w:tcPr>
          <w:p>
            <w:pPr>
              <w:spacing w:after="0"/>
              <w:rPr>
                <w:sz w:val="15"/>
                <w:szCs w:val="15"/>
                <w:color w:val="auto"/>
              </w:rPr>
            </w:pPr>
          </w:p>
        </w:tc>
        <w:tc>
          <w:tcPr>
            <w:tcW w:w="78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800" w:type="dxa"/>
            <w:vAlign w:val="bottom"/>
            <w:shd w:val="clear" w:color="auto" w:fill="E5E5E5"/>
          </w:tcPr>
          <w:p>
            <w:pPr>
              <w:spacing w:after="0"/>
              <w:rPr>
                <w:sz w:val="7"/>
                <w:szCs w:val="7"/>
                <w:color w:val="auto"/>
              </w:rPr>
            </w:pPr>
          </w:p>
        </w:tc>
        <w:tc>
          <w:tcPr>
            <w:tcW w:w="1000" w:type="dxa"/>
            <w:vAlign w:val="bottom"/>
            <w:vMerge w:val="continue"/>
            <w:shd w:val="clear" w:color="auto" w:fill="E5E5E5"/>
          </w:tcPr>
          <w:p>
            <w:pPr>
              <w:spacing w:after="0"/>
              <w:rPr>
                <w:sz w:val="7"/>
                <w:szCs w:val="7"/>
                <w:color w:val="auto"/>
              </w:rPr>
            </w:pPr>
          </w:p>
        </w:tc>
        <w:tc>
          <w:tcPr>
            <w:tcW w:w="980" w:type="dxa"/>
            <w:vAlign w:val="bottom"/>
            <w:vMerge w:val="continue"/>
            <w:shd w:val="clear" w:color="auto" w:fill="E5E5E5"/>
          </w:tcPr>
          <w:p>
            <w:pPr>
              <w:spacing w:after="0"/>
              <w:rPr>
                <w:sz w:val="7"/>
                <w:szCs w:val="7"/>
                <w:color w:val="auto"/>
              </w:rPr>
            </w:pPr>
          </w:p>
        </w:tc>
        <w:tc>
          <w:tcPr>
            <w:tcW w:w="160" w:type="dxa"/>
            <w:vAlign w:val="bottom"/>
            <w:shd w:val="clear" w:color="auto" w:fill="E5E5E5"/>
          </w:tcPr>
          <w:p>
            <w:pPr>
              <w:spacing w:after="0"/>
              <w:rPr>
                <w:sz w:val="7"/>
                <w:szCs w:val="7"/>
                <w:color w:val="auto"/>
              </w:rPr>
            </w:pPr>
          </w:p>
        </w:tc>
        <w:tc>
          <w:tcPr>
            <w:tcW w:w="880" w:type="dxa"/>
            <w:vAlign w:val="bottom"/>
            <w:vMerge w:val="continue"/>
            <w:shd w:val="clear" w:color="auto" w:fill="E5E5E5"/>
          </w:tcPr>
          <w:p>
            <w:pPr>
              <w:spacing w:after="0"/>
              <w:rPr>
                <w:sz w:val="7"/>
                <w:szCs w:val="7"/>
                <w:color w:val="auto"/>
              </w:rPr>
            </w:pPr>
          </w:p>
        </w:tc>
        <w:tc>
          <w:tcPr>
            <w:tcW w:w="100" w:type="dxa"/>
            <w:vAlign w:val="bottom"/>
            <w:shd w:val="clear" w:color="auto" w:fill="E5E5E5"/>
          </w:tcPr>
          <w:p>
            <w:pPr>
              <w:spacing w:after="0"/>
              <w:rPr>
                <w:sz w:val="7"/>
                <w:szCs w:val="7"/>
                <w:color w:val="auto"/>
              </w:rPr>
            </w:pPr>
          </w:p>
        </w:tc>
        <w:tc>
          <w:tcPr>
            <w:tcW w:w="740" w:type="dxa"/>
            <w:vAlign w:val="bottom"/>
            <w:vMerge w:val="continue"/>
            <w:shd w:val="clear" w:color="auto" w:fill="E5E5E5"/>
          </w:tcPr>
          <w:p>
            <w:pPr>
              <w:spacing w:after="0"/>
              <w:rPr>
                <w:sz w:val="7"/>
                <w:szCs w:val="7"/>
                <w:color w:val="auto"/>
              </w:rPr>
            </w:pPr>
          </w:p>
        </w:tc>
        <w:tc>
          <w:tcPr>
            <w:tcW w:w="960" w:type="dxa"/>
            <w:vAlign w:val="bottom"/>
            <w:vMerge w:val="continue"/>
            <w:shd w:val="clear" w:color="auto" w:fill="E5E5E5"/>
          </w:tcPr>
          <w:p>
            <w:pPr>
              <w:spacing w:after="0"/>
              <w:rPr>
                <w:sz w:val="7"/>
                <w:szCs w:val="7"/>
                <w:color w:val="auto"/>
              </w:rPr>
            </w:pPr>
          </w:p>
        </w:tc>
        <w:tc>
          <w:tcPr>
            <w:tcW w:w="960" w:type="dxa"/>
            <w:vAlign w:val="bottom"/>
            <w:shd w:val="clear" w:color="auto" w:fill="E5E5E5"/>
          </w:tcPr>
          <w:p>
            <w:pPr>
              <w:spacing w:after="0"/>
              <w:rPr>
                <w:sz w:val="7"/>
                <w:szCs w:val="7"/>
                <w:color w:val="auto"/>
              </w:rPr>
            </w:pPr>
          </w:p>
        </w:tc>
        <w:tc>
          <w:tcPr>
            <w:tcW w:w="780" w:type="dxa"/>
            <w:vAlign w:val="bottom"/>
            <w:shd w:val="clear" w:color="auto" w:fill="E5E5E5"/>
          </w:tcPr>
          <w:p>
            <w:pPr>
              <w:spacing w:after="0"/>
              <w:rPr>
                <w:sz w:val="7"/>
                <w:szCs w:val="7"/>
                <w:color w:val="auto"/>
              </w:rPr>
            </w:pPr>
          </w:p>
        </w:tc>
        <w:tc>
          <w:tcPr>
            <w:tcW w:w="860" w:type="dxa"/>
            <w:vAlign w:val="bottom"/>
            <w:shd w:val="clear" w:color="auto" w:fill="E5E5E5"/>
          </w:tcPr>
          <w:p>
            <w:pPr>
              <w:spacing w:after="0"/>
              <w:rPr>
                <w:sz w:val="7"/>
                <w:szCs w:val="7"/>
                <w:color w:val="auto"/>
              </w:rPr>
            </w:pPr>
          </w:p>
        </w:tc>
        <w:tc>
          <w:tcPr>
            <w:tcW w:w="840" w:type="dxa"/>
            <w:vAlign w:val="bottom"/>
            <w:shd w:val="clear" w:color="auto" w:fill="E5E5E5"/>
          </w:tcPr>
          <w:p>
            <w:pPr>
              <w:spacing w:after="0"/>
              <w:rPr>
                <w:sz w:val="7"/>
                <w:szCs w:val="7"/>
                <w:color w:val="auto"/>
              </w:rPr>
            </w:pPr>
          </w:p>
        </w:tc>
        <w:tc>
          <w:tcPr>
            <w:tcW w:w="180" w:type="dxa"/>
            <w:vAlign w:val="bottom"/>
            <w:shd w:val="clear" w:color="auto" w:fill="E5E5E5"/>
          </w:tcPr>
          <w:p>
            <w:pPr>
              <w:spacing w:after="0"/>
              <w:rPr>
                <w:sz w:val="7"/>
                <w:szCs w:val="7"/>
                <w:color w:val="auto"/>
              </w:rPr>
            </w:pPr>
          </w:p>
        </w:tc>
        <w:tc>
          <w:tcPr>
            <w:tcW w:w="840" w:type="dxa"/>
            <w:vAlign w:val="bottom"/>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800" w:type="dxa"/>
            <w:vAlign w:val="bottom"/>
            <w:shd w:val="clear" w:color="auto" w:fill="E5E5E5"/>
          </w:tcPr>
          <w:p>
            <w:pPr>
              <w:spacing w:after="0"/>
              <w:rPr>
                <w:sz w:val="23"/>
                <w:szCs w:val="23"/>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3/2/2017</w:t>
            </w:r>
          </w:p>
        </w:tc>
        <w:tc>
          <w:tcPr>
            <w:tcW w:w="9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2/23/2017</w:t>
            </w:r>
          </w:p>
        </w:tc>
        <w:tc>
          <w:tcPr>
            <w:tcW w:w="160" w:type="dxa"/>
            <w:vAlign w:val="bottom"/>
            <w:shd w:val="clear" w:color="auto" w:fill="E5E5E5"/>
          </w:tcPr>
          <w:p>
            <w:pPr>
              <w:spacing w:after="0"/>
              <w:rPr>
                <w:sz w:val="23"/>
                <w:szCs w:val="23"/>
                <w:color w:val="auto"/>
              </w:rPr>
            </w:pPr>
          </w:p>
        </w:tc>
        <w:tc>
          <w:tcPr>
            <w:tcW w:w="880" w:type="dxa"/>
            <w:vAlign w:val="bottom"/>
            <w:shd w:val="clear" w:color="auto" w:fill="E5E5E5"/>
          </w:tcPr>
          <w:p>
            <w:pPr>
              <w:spacing w:after="0"/>
              <w:rPr>
                <w:sz w:val="23"/>
                <w:szCs w:val="23"/>
                <w:color w:val="auto"/>
              </w:rPr>
            </w:pPr>
          </w:p>
        </w:tc>
        <w:tc>
          <w:tcPr>
            <w:tcW w:w="100" w:type="dxa"/>
            <w:vAlign w:val="bottom"/>
            <w:shd w:val="clear" w:color="auto" w:fill="E5E5E5"/>
          </w:tcPr>
          <w:p>
            <w:pPr>
              <w:spacing w:after="0"/>
              <w:rPr>
                <w:sz w:val="23"/>
                <w:szCs w:val="23"/>
                <w:color w:val="auto"/>
              </w:rPr>
            </w:pPr>
          </w:p>
        </w:tc>
        <w:tc>
          <w:tcPr>
            <w:tcW w:w="740" w:type="dxa"/>
            <w:vAlign w:val="bottom"/>
            <w:shd w:val="clear" w:color="auto" w:fill="E5E5E5"/>
          </w:tcPr>
          <w:p>
            <w:pPr>
              <w:spacing w:after="0"/>
              <w:rPr>
                <w:sz w:val="23"/>
                <w:szCs w:val="23"/>
                <w:color w:val="auto"/>
              </w:rPr>
            </w:pPr>
          </w:p>
        </w:tc>
        <w:tc>
          <w:tcPr>
            <w:tcW w:w="960" w:type="dxa"/>
            <w:vAlign w:val="bottom"/>
            <w:shd w:val="clear" w:color="auto" w:fill="E5E5E5"/>
          </w:tcPr>
          <w:p>
            <w:pPr>
              <w:spacing w:after="0"/>
              <w:rPr>
                <w:sz w:val="23"/>
                <w:szCs w:val="23"/>
                <w:color w:val="auto"/>
              </w:rPr>
            </w:pPr>
          </w:p>
        </w:tc>
        <w:tc>
          <w:tcPr>
            <w:tcW w:w="960" w:type="dxa"/>
            <w:vAlign w:val="bottom"/>
            <w:shd w:val="clear" w:color="auto" w:fill="E5E5E5"/>
          </w:tcPr>
          <w:p>
            <w:pPr>
              <w:jc w:val="right"/>
              <w:ind w:right="57"/>
              <w:spacing w:after="0"/>
              <w:rPr>
                <w:sz w:val="20"/>
                <w:szCs w:val="20"/>
                <w:color w:val="auto"/>
              </w:rPr>
            </w:pPr>
            <w:r>
              <w:rPr>
                <w:rFonts w:ascii="Arial" w:cs="Arial" w:eastAsia="Arial" w:hAnsi="Arial"/>
                <w:sz w:val="13"/>
                <w:szCs w:val="13"/>
                <w:color w:val="auto"/>
              </w:rPr>
              <w:t>3,953</w:t>
            </w:r>
          </w:p>
        </w:tc>
        <w:tc>
          <w:tcPr>
            <w:tcW w:w="780" w:type="dxa"/>
            <w:vAlign w:val="bottom"/>
            <w:shd w:val="clear" w:color="auto" w:fill="E5E5E5"/>
          </w:tcPr>
          <w:p>
            <w:pPr>
              <w:jc w:val="right"/>
              <w:ind w:right="57"/>
              <w:spacing w:after="0"/>
              <w:rPr>
                <w:sz w:val="20"/>
                <w:szCs w:val="20"/>
                <w:color w:val="auto"/>
              </w:rPr>
            </w:pPr>
            <w:r>
              <w:rPr>
                <w:rFonts w:ascii="Arial" w:cs="Arial" w:eastAsia="Arial" w:hAnsi="Arial"/>
                <w:sz w:val="13"/>
                <w:szCs w:val="13"/>
                <w:color w:val="auto"/>
              </w:rPr>
              <w:t>7,906</w:t>
            </w:r>
          </w:p>
        </w:tc>
        <w:tc>
          <w:tcPr>
            <w:tcW w:w="860" w:type="dxa"/>
            <w:vAlign w:val="bottom"/>
            <w:shd w:val="clear" w:color="auto" w:fill="E5E5E5"/>
          </w:tcPr>
          <w:p>
            <w:pPr>
              <w:jc w:val="right"/>
              <w:ind w:right="37"/>
              <w:spacing w:after="0"/>
              <w:rPr>
                <w:sz w:val="20"/>
                <w:szCs w:val="20"/>
                <w:color w:val="auto"/>
              </w:rPr>
            </w:pPr>
            <w:r>
              <w:rPr>
                <w:rFonts w:ascii="Arial" w:cs="Arial" w:eastAsia="Arial" w:hAnsi="Arial"/>
                <w:sz w:val="13"/>
                <w:szCs w:val="13"/>
                <w:color w:val="auto"/>
              </w:rPr>
              <w:t>15,812</w:t>
            </w:r>
          </w:p>
        </w:tc>
        <w:tc>
          <w:tcPr>
            <w:tcW w:w="840" w:type="dxa"/>
            <w:vAlign w:val="bottom"/>
            <w:shd w:val="clear" w:color="auto" w:fill="E5E5E5"/>
          </w:tcPr>
          <w:p>
            <w:pPr>
              <w:spacing w:after="0"/>
              <w:rPr>
                <w:sz w:val="23"/>
                <w:szCs w:val="23"/>
                <w:color w:val="auto"/>
              </w:rPr>
            </w:pPr>
          </w:p>
        </w:tc>
        <w:tc>
          <w:tcPr>
            <w:tcW w:w="180" w:type="dxa"/>
            <w:vAlign w:val="bottom"/>
            <w:shd w:val="clear" w:color="auto" w:fill="E5E5E5"/>
          </w:tcPr>
          <w:p>
            <w:pPr>
              <w:spacing w:after="0"/>
              <w:rPr>
                <w:sz w:val="23"/>
                <w:szCs w:val="23"/>
                <w:color w:val="auto"/>
              </w:rPr>
            </w:pPr>
          </w:p>
        </w:tc>
        <w:tc>
          <w:tcPr>
            <w:tcW w:w="840" w:type="dxa"/>
            <w:vAlign w:val="bottom"/>
            <w:shd w:val="clear" w:color="auto" w:fill="E5E5E5"/>
          </w:tcPr>
          <w:p>
            <w:pPr>
              <w:jc w:val="right"/>
              <w:ind w:right="37"/>
              <w:spacing w:after="0"/>
              <w:rPr>
                <w:sz w:val="20"/>
                <w:szCs w:val="20"/>
                <w:color w:val="auto"/>
              </w:rPr>
            </w:pPr>
            <w:r>
              <w:rPr>
                <w:rFonts w:ascii="Arial" w:cs="Arial" w:eastAsia="Arial" w:hAnsi="Arial"/>
                <w:sz w:val="13"/>
                <w:szCs w:val="13"/>
                <w:color w:val="auto"/>
              </w:rPr>
              <w:t>374,744</w:t>
            </w:r>
          </w:p>
        </w:tc>
        <w:tc>
          <w:tcPr>
            <w:tcW w:w="0" w:type="dxa"/>
            <w:vAlign w:val="bottom"/>
          </w:tcPr>
          <w:p>
            <w:pPr>
              <w:spacing w:after="0"/>
              <w:rPr>
                <w:sz w:val="1"/>
                <w:szCs w:val="1"/>
                <w:color w:val="auto"/>
              </w:rPr>
            </w:pPr>
          </w:p>
        </w:tc>
      </w:tr>
      <w:tr>
        <w:trPr>
          <w:trHeight w:val="270"/>
        </w:trPr>
        <w:tc>
          <w:tcPr>
            <w:tcW w:w="1800" w:type="dxa"/>
            <w:vAlign w:val="bottom"/>
            <w:shd w:val="clear" w:color="auto" w:fill="E5E5E5"/>
          </w:tcPr>
          <w:p>
            <w:pPr>
              <w:spacing w:after="0"/>
              <w:rPr>
                <w:sz w:val="23"/>
                <w:szCs w:val="23"/>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3/2/2017</w:t>
            </w:r>
          </w:p>
        </w:tc>
        <w:tc>
          <w:tcPr>
            <w:tcW w:w="9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2/23/2017</w:t>
            </w:r>
          </w:p>
        </w:tc>
        <w:tc>
          <w:tcPr>
            <w:tcW w:w="160" w:type="dxa"/>
            <w:vAlign w:val="bottom"/>
            <w:shd w:val="clear" w:color="auto" w:fill="E5E5E5"/>
          </w:tcPr>
          <w:p>
            <w:pPr>
              <w:spacing w:after="0"/>
              <w:rPr>
                <w:sz w:val="23"/>
                <w:szCs w:val="23"/>
                <w:color w:val="auto"/>
              </w:rPr>
            </w:pPr>
          </w:p>
        </w:tc>
        <w:tc>
          <w:tcPr>
            <w:tcW w:w="880" w:type="dxa"/>
            <w:vAlign w:val="bottom"/>
            <w:shd w:val="clear" w:color="auto" w:fill="E5E5E5"/>
          </w:tcPr>
          <w:p>
            <w:pPr>
              <w:spacing w:after="0"/>
              <w:rPr>
                <w:sz w:val="23"/>
                <w:szCs w:val="23"/>
                <w:color w:val="auto"/>
              </w:rPr>
            </w:pPr>
          </w:p>
        </w:tc>
        <w:tc>
          <w:tcPr>
            <w:tcW w:w="100" w:type="dxa"/>
            <w:vAlign w:val="bottom"/>
            <w:shd w:val="clear" w:color="auto" w:fill="E5E5E5"/>
          </w:tcPr>
          <w:p>
            <w:pPr>
              <w:spacing w:after="0"/>
              <w:rPr>
                <w:sz w:val="23"/>
                <w:szCs w:val="23"/>
                <w:color w:val="auto"/>
              </w:rPr>
            </w:pPr>
          </w:p>
        </w:tc>
        <w:tc>
          <w:tcPr>
            <w:tcW w:w="740" w:type="dxa"/>
            <w:vAlign w:val="bottom"/>
            <w:shd w:val="clear" w:color="auto" w:fill="E5E5E5"/>
          </w:tcPr>
          <w:p>
            <w:pPr>
              <w:spacing w:after="0"/>
              <w:rPr>
                <w:sz w:val="23"/>
                <w:szCs w:val="23"/>
                <w:color w:val="auto"/>
              </w:rPr>
            </w:pPr>
          </w:p>
        </w:tc>
        <w:tc>
          <w:tcPr>
            <w:tcW w:w="960" w:type="dxa"/>
            <w:vAlign w:val="bottom"/>
            <w:shd w:val="clear" w:color="auto" w:fill="E5E5E5"/>
          </w:tcPr>
          <w:p>
            <w:pPr>
              <w:spacing w:after="0"/>
              <w:rPr>
                <w:sz w:val="23"/>
                <w:szCs w:val="23"/>
                <w:color w:val="auto"/>
              </w:rPr>
            </w:pPr>
          </w:p>
        </w:tc>
        <w:tc>
          <w:tcPr>
            <w:tcW w:w="960" w:type="dxa"/>
            <w:vAlign w:val="bottom"/>
            <w:shd w:val="clear" w:color="auto" w:fill="E5E5E5"/>
          </w:tcPr>
          <w:p>
            <w:pPr>
              <w:spacing w:after="0"/>
              <w:rPr>
                <w:sz w:val="23"/>
                <w:szCs w:val="23"/>
                <w:color w:val="auto"/>
              </w:rPr>
            </w:pPr>
          </w:p>
        </w:tc>
        <w:tc>
          <w:tcPr>
            <w:tcW w:w="780" w:type="dxa"/>
            <w:vAlign w:val="bottom"/>
            <w:shd w:val="clear" w:color="auto" w:fill="E5E5E5"/>
          </w:tcPr>
          <w:p>
            <w:pPr>
              <w:spacing w:after="0"/>
              <w:rPr>
                <w:sz w:val="23"/>
                <w:szCs w:val="23"/>
                <w:color w:val="auto"/>
              </w:rPr>
            </w:pPr>
          </w:p>
        </w:tc>
        <w:tc>
          <w:tcPr>
            <w:tcW w:w="860" w:type="dxa"/>
            <w:vAlign w:val="bottom"/>
            <w:shd w:val="clear" w:color="auto" w:fill="E5E5E5"/>
          </w:tcPr>
          <w:p>
            <w:pPr>
              <w:spacing w:after="0"/>
              <w:rPr>
                <w:sz w:val="23"/>
                <w:szCs w:val="23"/>
                <w:color w:val="auto"/>
              </w:rPr>
            </w:pPr>
          </w:p>
        </w:tc>
        <w:tc>
          <w:tcPr>
            <w:tcW w:w="84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5,535</w:t>
            </w:r>
          </w:p>
        </w:tc>
        <w:tc>
          <w:tcPr>
            <w:tcW w:w="180" w:type="dxa"/>
            <w:vAlign w:val="bottom"/>
            <w:shd w:val="clear" w:color="auto" w:fill="E5E5E5"/>
          </w:tcPr>
          <w:p>
            <w:pPr>
              <w:spacing w:after="0"/>
              <w:rPr>
                <w:sz w:val="23"/>
                <w:szCs w:val="23"/>
                <w:color w:val="auto"/>
              </w:rPr>
            </w:pPr>
          </w:p>
        </w:tc>
        <w:tc>
          <w:tcPr>
            <w:tcW w:w="840" w:type="dxa"/>
            <w:vAlign w:val="bottom"/>
            <w:shd w:val="clear" w:color="auto" w:fill="E5E5E5"/>
          </w:tcPr>
          <w:p>
            <w:pPr>
              <w:jc w:val="right"/>
              <w:ind w:right="37"/>
              <w:spacing w:after="0"/>
              <w:rPr>
                <w:sz w:val="20"/>
                <w:szCs w:val="20"/>
                <w:color w:val="auto"/>
              </w:rPr>
            </w:pPr>
            <w:r>
              <w:rPr>
                <w:rFonts w:ascii="Arial" w:cs="Arial" w:eastAsia="Arial" w:hAnsi="Arial"/>
                <w:sz w:val="13"/>
                <w:szCs w:val="13"/>
                <w:color w:val="auto"/>
              </w:rPr>
              <w:t>262,359</w:t>
            </w:r>
          </w:p>
        </w:tc>
        <w:tc>
          <w:tcPr>
            <w:tcW w:w="0" w:type="dxa"/>
            <w:vAlign w:val="bottom"/>
          </w:tcPr>
          <w:p>
            <w:pPr>
              <w:spacing w:after="0"/>
              <w:rPr>
                <w:sz w:val="1"/>
                <w:szCs w:val="1"/>
                <w:color w:val="auto"/>
              </w:rPr>
            </w:pPr>
          </w:p>
        </w:tc>
      </w:tr>
      <w:tr>
        <w:trPr>
          <w:trHeight w:val="259"/>
        </w:trPr>
        <w:tc>
          <w:tcPr>
            <w:tcW w:w="1800" w:type="dxa"/>
            <w:vAlign w:val="bottom"/>
            <w:shd w:val="clear" w:color="auto" w:fill="E5E5E5"/>
          </w:tcPr>
          <w:p>
            <w:pPr>
              <w:spacing w:after="0"/>
              <w:rPr>
                <w:sz w:val="22"/>
                <w:szCs w:val="22"/>
                <w:color w:val="auto"/>
              </w:rPr>
            </w:pPr>
          </w:p>
        </w:tc>
        <w:tc>
          <w:tcPr>
            <w:tcW w:w="1000" w:type="dxa"/>
            <w:vAlign w:val="bottom"/>
            <w:shd w:val="clear" w:color="auto" w:fill="E5E5E5"/>
          </w:tcPr>
          <w:p>
            <w:pPr>
              <w:spacing w:after="0"/>
              <w:rPr>
                <w:sz w:val="22"/>
                <w:szCs w:val="22"/>
                <w:color w:val="auto"/>
              </w:rPr>
            </w:pPr>
          </w:p>
        </w:tc>
        <w:tc>
          <w:tcPr>
            <w:tcW w:w="980" w:type="dxa"/>
            <w:vAlign w:val="bottom"/>
            <w:shd w:val="clear" w:color="auto" w:fill="E5E5E5"/>
          </w:tcPr>
          <w:p>
            <w:pPr>
              <w:spacing w:after="0"/>
              <w:rPr>
                <w:sz w:val="22"/>
                <w:szCs w:val="22"/>
                <w:color w:val="auto"/>
              </w:rPr>
            </w:pPr>
          </w:p>
        </w:tc>
        <w:tc>
          <w:tcPr>
            <w:tcW w:w="160" w:type="dxa"/>
            <w:vAlign w:val="bottom"/>
            <w:shd w:val="clear" w:color="auto" w:fill="E5E5E5"/>
          </w:tcPr>
          <w:p>
            <w:pPr>
              <w:spacing w:after="0"/>
              <w:rPr>
                <w:sz w:val="22"/>
                <w:szCs w:val="22"/>
                <w:color w:val="auto"/>
              </w:rPr>
            </w:pPr>
          </w:p>
        </w:tc>
        <w:tc>
          <w:tcPr>
            <w:tcW w:w="880" w:type="dxa"/>
            <w:vAlign w:val="bottom"/>
            <w:shd w:val="clear" w:color="auto" w:fill="E5E5E5"/>
          </w:tcPr>
          <w:p>
            <w:pPr>
              <w:spacing w:after="0"/>
              <w:rPr>
                <w:sz w:val="22"/>
                <w:szCs w:val="22"/>
                <w:color w:val="auto"/>
              </w:rPr>
            </w:pPr>
          </w:p>
        </w:tc>
        <w:tc>
          <w:tcPr>
            <w:tcW w:w="100" w:type="dxa"/>
            <w:vAlign w:val="bottom"/>
            <w:shd w:val="clear" w:color="auto" w:fill="E5E5E5"/>
          </w:tcPr>
          <w:p>
            <w:pPr>
              <w:spacing w:after="0"/>
              <w:rPr>
                <w:sz w:val="22"/>
                <w:szCs w:val="22"/>
                <w:color w:val="auto"/>
              </w:rPr>
            </w:pPr>
          </w:p>
        </w:tc>
        <w:tc>
          <w:tcPr>
            <w:tcW w:w="740" w:type="dxa"/>
            <w:vAlign w:val="bottom"/>
            <w:shd w:val="clear" w:color="auto" w:fill="E5E5E5"/>
          </w:tcPr>
          <w:p>
            <w:pPr>
              <w:spacing w:after="0"/>
              <w:rPr>
                <w:sz w:val="22"/>
                <w:szCs w:val="22"/>
                <w:color w:val="auto"/>
              </w:rPr>
            </w:pPr>
          </w:p>
        </w:tc>
        <w:tc>
          <w:tcPr>
            <w:tcW w:w="960" w:type="dxa"/>
            <w:vAlign w:val="bottom"/>
            <w:shd w:val="clear" w:color="auto" w:fill="E5E5E5"/>
          </w:tcPr>
          <w:p>
            <w:pPr>
              <w:spacing w:after="0"/>
              <w:rPr>
                <w:sz w:val="22"/>
                <w:szCs w:val="22"/>
                <w:color w:val="auto"/>
              </w:rPr>
            </w:pPr>
          </w:p>
        </w:tc>
        <w:tc>
          <w:tcPr>
            <w:tcW w:w="960" w:type="dxa"/>
            <w:vAlign w:val="bottom"/>
            <w:shd w:val="clear" w:color="auto" w:fill="E5E5E5"/>
          </w:tcPr>
          <w:p>
            <w:pPr>
              <w:spacing w:after="0"/>
              <w:rPr>
                <w:sz w:val="22"/>
                <w:szCs w:val="22"/>
                <w:color w:val="auto"/>
              </w:rPr>
            </w:pPr>
          </w:p>
        </w:tc>
        <w:tc>
          <w:tcPr>
            <w:tcW w:w="780" w:type="dxa"/>
            <w:vAlign w:val="bottom"/>
            <w:shd w:val="clear" w:color="auto" w:fill="E5E5E5"/>
          </w:tcPr>
          <w:p>
            <w:pPr>
              <w:spacing w:after="0"/>
              <w:rPr>
                <w:sz w:val="22"/>
                <w:szCs w:val="22"/>
                <w:color w:val="auto"/>
              </w:rPr>
            </w:pPr>
          </w:p>
        </w:tc>
        <w:tc>
          <w:tcPr>
            <w:tcW w:w="860" w:type="dxa"/>
            <w:vAlign w:val="bottom"/>
            <w:shd w:val="clear" w:color="auto" w:fill="E5E5E5"/>
          </w:tcPr>
          <w:p>
            <w:pPr>
              <w:spacing w:after="0"/>
              <w:rPr>
                <w:sz w:val="22"/>
                <w:szCs w:val="22"/>
                <w:color w:val="auto"/>
              </w:rPr>
            </w:pPr>
          </w:p>
        </w:tc>
        <w:tc>
          <w:tcPr>
            <w:tcW w:w="840" w:type="dxa"/>
            <w:vAlign w:val="bottom"/>
            <w:shd w:val="clear" w:color="auto" w:fill="E5E5E5"/>
          </w:tcPr>
          <w:p>
            <w:pPr>
              <w:spacing w:after="0"/>
              <w:rPr>
                <w:sz w:val="22"/>
                <w:szCs w:val="22"/>
                <w:color w:val="auto"/>
              </w:rPr>
            </w:pPr>
          </w:p>
        </w:tc>
        <w:tc>
          <w:tcPr>
            <w:tcW w:w="180" w:type="dxa"/>
            <w:vAlign w:val="bottom"/>
            <w:shd w:val="clear" w:color="auto" w:fill="E5E5E5"/>
          </w:tcPr>
          <w:p>
            <w:pPr>
              <w:spacing w:after="0"/>
              <w:rPr>
                <w:sz w:val="22"/>
                <w:szCs w:val="22"/>
                <w:color w:val="auto"/>
              </w:rPr>
            </w:pPr>
          </w:p>
        </w:tc>
        <w:tc>
          <w:tcPr>
            <w:tcW w:w="840" w:type="dxa"/>
            <w:vAlign w:val="bottom"/>
            <w:shd w:val="clear" w:color="auto" w:fill="E5E5E5"/>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1800" w:type="dxa"/>
            <w:vAlign w:val="bottom"/>
          </w:tcPr>
          <w:p>
            <w:pPr>
              <w:ind w:left="40"/>
              <w:spacing w:after="0"/>
              <w:rPr>
                <w:sz w:val="20"/>
                <w:szCs w:val="20"/>
                <w:color w:val="auto"/>
              </w:rPr>
            </w:pPr>
            <w:r>
              <w:rPr>
                <w:rFonts w:ascii="Arial" w:cs="Arial" w:eastAsia="Arial" w:hAnsi="Arial"/>
                <w:sz w:val="13"/>
                <w:szCs w:val="13"/>
                <w:b w:val="1"/>
                <w:bCs w:val="1"/>
                <w:color w:val="auto"/>
              </w:rPr>
              <w:t>John A. Fees</w:t>
            </w:r>
            <w:r>
              <w:rPr>
                <w:rFonts w:ascii="Arial" w:cs="Arial" w:eastAsia="Arial" w:hAnsi="Arial"/>
                <w:sz w:val="8"/>
                <w:szCs w:val="8"/>
                <w:b w:val="1"/>
                <w:bCs w:val="1"/>
                <w:color w:val="auto"/>
              </w:rPr>
              <w:t>(5)</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3/2/2017</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2/23/2017</w:t>
            </w:r>
          </w:p>
        </w:tc>
        <w:tc>
          <w:tcPr>
            <w:tcW w:w="160" w:type="dxa"/>
            <w:vAlign w:val="bottom"/>
          </w:tcPr>
          <w:p>
            <w:pPr>
              <w:spacing w:after="0"/>
              <w:rPr>
                <w:sz w:val="15"/>
                <w:szCs w:val="15"/>
                <w:color w:val="auto"/>
              </w:rPr>
            </w:pPr>
          </w:p>
        </w:tc>
        <w:tc>
          <w:tcPr>
            <w:tcW w:w="880" w:type="dxa"/>
            <w:vAlign w:val="bottom"/>
            <w:vMerge w:val="restart"/>
          </w:tcPr>
          <w:p>
            <w:pPr>
              <w:ind w:left="300"/>
              <w:spacing w:after="0"/>
              <w:rPr>
                <w:sz w:val="20"/>
                <w:szCs w:val="20"/>
                <w:color w:val="auto"/>
              </w:rPr>
            </w:pPr>
            <w:r>
              <w:rPr>
                <w:rFonts w:ascii="Arial" w:cs="Arial" w:eastAsia="Arial" w:hAnsi="Arial"/>
                <w:sz w:val="13"/>
                <w:szCs w:val="13"/>
                <w:color w:val="auto"/>
              </w:rPr>
              <w:t>225,000</w:t>
            </w:r>
          </w:p>
        </w:tc>
        <w:tc>
          <w:tcPr>
            <w:tcW w:w="10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450,000</w:t>
            </w:r>
          </w:p>
        </w:tc>
        <w:tc>
          <w:tcPr>
            <w:tcW w:w="960" w:type="dxa"/>
            <w:vAlign w:val="bottom"/>
            <w:vMerge w:val="restart"/>
          </w:tcPr>
          <w:p>
            <w:pPr>
              <w:jc w:val="right"/>
              <w:ind w:right="77"/>
              <w:spacing w:after="0"/>
              <w:rPr>
                <w:sz w:val="20"/>
                <w:szCs w:val="20"/>
                <w:color w:val="auto"/>
              </w:rPr>
            </w:pPr>
            <w:r>
              <w:rPr>
                <w:rFonts w:ascii="Arial" w:cs="Arial" w:eastAsia="Arial" w:hAnsi="Arial"/>
                <w:sz w:val="13"/>
                <w:szCs w:val="13"/>
                <w:color w:val="auto"/>
              </w:rPr>
              <w:t>900,000</w:t>
            </w:r>
          </w:p>
        </w:tc>
        <w:tc>
          <w:tcPr>
            <w:tcW w:w="9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80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8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3/2/2017</w:t>
            </w:r>
          </w:p>
        </w:tc>
        <w:tc>
          <w:tcPr>
            <w:tcW w:w="980" w:type="dxa"/>
            <w:vAlign w:val="bottom"/>
          </w:tcPr>
          <w:p>
            <w:pPr>
              <w:jc w:val="right"/>
              <w:spacing w:after="0"/>
              <w:rPr>
                <w:sz w:val="20"/>
                <w:szCs w:val="20"/>
                <w:color w:val="auto"/>
              </w:rPr>
            </w:pPr>
            <w:r>
              <w:rPr>
                <w:rFonts w:ascii="Arial" w:cs="Arial" w:eastAsia="Arial" w:hAnsi="Arial"/>
                <w:sz w:val="13"/>
                <w:szCs w:val="13"/>
                <w:color w:val="auto"/>
              </w:rPr>
              <w:t>2/23/2017</w:t>
            </w: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8,236</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16,472</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32,944</w:t>
            </w: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780,773</w:t>
            </w:r>
          </w:p>
        </w:tc>
        <w:tc>
          <w:tcPr>
            <w:tcW w:w="0" w:type="dxa"/>
            <w:vAlign w:val="bottom"/>
          </w:tcPr>
          <w:p>
            <w:pPr>
              <w:spacing w:after="0"/>
              <w:rPr>
                <w:sz w:val="1"/>
                <w:szCs w:val="1"/>
                <w:color w:val="auto"/>
              </w:rPr>
            </w:pPr>
          </w:p>
        </w:tc>
      </w:tr>
      <w:tr>
        <w:trPr>
          <w:trHeight w:val="270"/>
        </w:trPr>
        <w:tc>
          <w:tcPr>
            <w:tcW w:w="18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3/2/2017</w:t>
            </w:r>
          </w:p>
        </w:tc>
        <w:tc>
          <w:tcPr>
            <w:tcW w:w="980" w:type="dxa"/>
            <w:vAlign w:val="bottom"/>
          </w:tcPr>
          <w:p>
            <w:pPr>
              <w:jc w:val="right"/>
              <w:spacing w:after="0"/>
              <w:rPr>
                <w:sz w:val="20"/>
                <w:szCs w:val="20"/>
                <w:color w:val="auto"/>
              </w:rPr>
            </w:pPr>
            <w:r>
              <w:rPr>
                <w:rFonts w:ascii="Arial" w:cs="Arial" w:eastAsia="Arial" w:hAnsi="Arial"/>
                <w:sz w:val="13"/>
                <w:szCs w:val="13"/>
                <w:color w:val="auto"/>
              </w:rPr>
              <w:t>2/23/2017</w:t>
            </w: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11,535</w:t>
            </w:r>
          </w:p>
        </w:tc>
        <w:tc>
          <w:tcPr>
            <w:tcW w:w="180" w:type="dxa"/>
            <w:vAlign w:val="bottom"/>
          </w:tcPr>
          <w:p>
            <w:pPr>
              <w:spacing w:after="0"/>
              <w:rPr>
                <w:sz w:val="23"/>
                <w:szCs w:val="23"/>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546,759</w:t>
            </w:r>
          </w:p>
        </w:tc>
        <w:tc>
          <w:tcPr>
            <w:tcW w:w="0" w:type="dxa"/>
            <w:vAlign w:val="bottom"/>
          </w:tcPr>
          <w:p>
            <w:pPr>
              <w:spacing w:after="0"/>
              <w:rPr>
                <w:sz w:val="1"/>
                <w:szCs w:val="1"/>
                <w:color w:val="auto"/>
              </w:rPr>
            </w:pPr>
          </w:p>
        </w:tc>
      </w:tr>
      <w:tr>
        <w:trPr>
          <w:trHeight w:val="270"/>
        </w:trPr>
        <w:tc>
          <w:tcPr>
            <w:tcW w:w="18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12/14/2017</w:t>
            </w:r>
          </w:p>
        </w:tc>
        <w:tc>
          <w:tcPr>
            <w:tcW w:w="980" w:type="dxa"/>
            <w:vAlign w:val="bottom"/>
          </w:tcPr>
          <w:p>
            <w:pPr>
              <w:jc w:val="right"/>
              <w:spacing w:after="0"/>
              <w:rPr>
                <w:sz w:val="20"/>
                <w:szCs w:val="20"/>
                <w:color w:val="auto"/>
              </w:rPr>
            </w:pPr>
            <w:r>
              <w:rPr>
                <w:rFonts w:ascii="Arial" w:cs="Arial" w:eastAsia="Arial" w:hAnsi="Arial"/>
                <w:sz w:val="13"/>
                <w:szCs w:val="13"/>
                <w:color w:val="auto"/>
              </w:rPr>
              <w:t>12/14/2017</w:t>
            </w: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22,695</w:t>
            </w:r>
          </w:p>
        </w:tc>
        <w:tc>
          <w:tcPr>
            <w:tcW w:w="180" w:type="dxa"/>
            <w:vAlign w:val="bottom"/>
          </w:tcPr>
          <w:p>
            <w:pPr>
              <w:spacing w:after="0"/>
              <w:rPr>
                <w:sz w:val="23"/>
                <w:szCs w:val="23"/>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2,721,131</w:t>
            </w:r>
          </w:p>
        </w:tc>
        <w:tc>
          <w:tcPr>
            <w:tcW w:w="0" w:type="dxa"/>
            <w:vAlign w:val="bottom"/>
          </w:tcPr>
          <w:p>
            <w:pPr>
              <w:spacing w:after="0"/>
              <w:rPr>
                <w:sz w:val="1"/>
                <w:szCs w:val="1"/>
                <w:color w:val="auto"/>
              </w:rPr>
            </w:pPr>
          </w:p>
        </w:tc>
      </w:tr>
      <w:tr>
        <w:trPr>
          <w:trHeight w:val="270"/>
        </w:trPr>
        <w:tc>
          <w:tcPr>
            <w:tcW w:w="18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12/14/2017</w:t>
            </w:r>
          </w:p>
        </w:tc>
        <w:tc>
          <w:tcPr>
            <w:tcW w:w="980" w:type="dxa"/>
            <w:vAlign w:val="bottom"/>
          </w:tcPr>
          <w:p>
            <w:pPr>
              <w:jc w:val="right"/>
              <w:spacing w:after="0"/>
              <w:rPr>
                <w:sz w:val="20"/>
                <w:szCs w:val="20"/>
                <w:color w:val="auto"/>
              </w:rPr>
            </w:pPr>
            <w:r>
              <w:rPr>
                <w:rFonts w:ascii="Arial" w:cs="Arial" w:eastAsia="Arial" w:hAnsi="Arial"/>
                <w:sz w:val="13"/>
                <w:szCs w:val="13"/>
                <w:color w:val="auto"/>
              </w:rPr>
              <w:t>12/14/2017</w:t>
            </w: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8,143</w:t>
            </w:r>
          </w:p>
        </w:tc>
        <w:tc>
          <w:tcPr>
            <w:tcW w:w="180" w:type="dxa"/>
            <w:vAlign w:val="bottom"/>
          </w:tcPr>
          <w:p>
            <w:pPr>
              <w:spacing w:after="0"/>
              <w:rPr>
                <w:sz w:val="23"/>
                <w:szCs w:val="23"/>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488,173</w:t>
            </w:r>
          </w:p>
        </w:tc>
        <w:tc>
          <w:tcPr>
            <w:tcW w:w="0" w:type="dxa"/>
            <w:vAlign w:val="bottom"/>
          </w:tcPr>
          <w:p>
            <w:pPr>
              <w:spacing w:after="0"/>
              <w:rPr>
                <w:sz w:val="1"/>
                <w:szCs w:val="1"/>
                <w:color w:val="auto"/>
              </w:rPr>
            </w:pPr>
          </w:p>
        </w:tc>
      </w:tr>
      <w:tr>
        <w:trPr>
          <w:trHeight w:val="259"/>
        </w:trPr>
        <w:tc>
          <w:tcPr>
            <w:tcW w:w="18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1800" w:type="dxa"/>
            <w:vAlign w:val="bottom"/>
            <w:shd w:val="clear" w:color="auto" w:fill="E5E5E5"/>
          </w:tcPr>
          <w:p>
            <w:pPr>
              <w:ind w:left="40"/>
              <w:spacing w:after="0"/>
              <w:rPr>
                <w:sz w:val="20"/>
                <w:szCs w:val="20"/>
                <w:color w:val="auto"/>
              </w:rPr>
            </w:pPr>
            <w:r>
              <w:rPr>
                <w:rFonts w:ascii="Arial" w:cs="Arial" w:eastAsia="Arial" w:hAnsi="Arial"/>
                <w:sz w:val="13"/>
                <w:szCs w:val="13"/>
                <w:b w:val="1"/>
                <w:bCs w:val="1"/>
                <w:color w:val="auto"/>
              </w:rPr>
              <w:t>James D. Canafax</w:t>
            </w:r>
          </w:p>
        </w:tc>
        <w:tc>
          <w:tcPr>
            <w:tcW w:w="100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3/2/2017</w:t>
            </w:r>
          </w:p>
        </w:tc>
        <w:tc>
          <w:tcPr>
            <w:tcW w:w="98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2/23/2017</w:t>
            </w:r>
          </w:p>
        </w:tc>
        <w:tc>
          <w:tcPr>
            <w:tcW w:w="160" w:type="dxa"/>
            <w:vAlign w:val="bottom"/>
            <w:shd w:val="clear" w:color="auto" w:fill="E5E5E5"/>
          </w:tcPr>
          <w:p>
            <w:pPr>
              <w:spacing w:after="0"/>
              <w:rPr>
                <w:sz w:val="15"/>
                <w:szCs w:val="15"/>
                <w:color w:val="auto"/>
              </w:rPr>
            </w:pPr>
          </w:p>
        </w:tc>
        <w:tc>
          <w:tcPr>
            <w:tcW w:w="880" w:type="dxa"/>
            <w:vAlign w:val="bottom"/>
            <w:vMerge w:val="restart"/>
            <w:shd w:val="clear" w:color="auto" w:fill="E5E5E5"/>
          </w:tcPr>
          <w:p>
            <w:pPr>
              <w:ind w:left="300"/>
              <w:spacing w:after="0"/>
              <w:rPr>
                <w:sz w:val="20"/>
                <w:szCs w:val="20"/>
                <w:color w:val="auto"/>
              </w:rPr>
            </w:pPr>
            <w:r>
              <w:rPr>
                <w:rFonts w:ascii="Arial" w:cs="Arial" w:eastAsia="Arial" w:hAnsi="Arial"/>
                <w:sz w:val="13"/>
                <w:szCs w:val="13"/>
                <w:color w:val="auto"/>
              </w:rPr>
              <w:t>152,250</w:t>
            </w:r>
          </w:p>
        </w:tc>
        <w:tc>
          <w:tcPr>
            <w:tcW w:w="100" w:type="dxa"/>
            <w:vAlign w:val="bottom"/>
            <w:shd w:val="clear" w:color="auto" w:fill="E5E5E5"/>
          </w:tcPr>
          <w:p>
            <w:pPr>
              <w:spacing w:after="0"/>
              <w:rPr>
                <w:sz w:val="15"/>
                <w:szCs w:val="15"/>
                <w:color w:val="auto"/>
              </w:rPr>
            </w:pPr>
          </w:p>
        </w:tc>
        <w:tc>
          <w:tcPr>
            <w:tcW w:w="74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304,500</w:t>
            </w:r>
          </w:p>
        </w:tc>
        <w:tc>
          <w:tcPr>
            <w:tcW w:w="960" w:type="dxa"/>
            <w:vAlign w:val="bottom"/>
            <w:vMerge w:val="restart"/>
            <w:shd w:val="clear" w:color="auto" w:fill="E5E5E5"/>
          </w:tcPr>
          <w:p>
            <w:pPr>
              <w:jc w:val="right"/>
              <w:ind w:right="77"/>
              <w:spacing w:after="0"/>
              <w:rPr>
                <w:sz w:val="20"/>
                <w:szCs w:val="20"/>
                <w:color w:val="auto"/>
              </w:rPr>
            </w:pPr>
            <w:r>
              <w:rPr>
                <w:rFonts w:ascii="Arial" w:cs="Arial" w:eastAsia="Arial" w:hAnsi="Arial"/>
                <w:sz w:val="13"/>
                <w:szCs w:val="13"/>
                <w:color w:val="auto"/>
              </w:rPr>
              <w:t>609,000</w:t>
            </w:r>
          </w:p>
        </w:tc>
        <w:tc>
          <w:tcPr>
            <w:tcW w:w="960" w:type="dxa"/>
            <w:vAlign w:val="bottom"/>
            <w:shd w:val="clear" w:color="auto" w:fill="E5E5E5"/>
          </w:tcPr>
          <w:p>
            <w:pPr>
              <w:spacing w:after="0"/>
              <w:rPr>
                <w:sz w:val="15"/>
                <w:szCs w:val="15"/>
                <w:color w:val="auto"/>
              </w:rPr>
            </w:pPr>
          </w:p>
        </w:tc>
        <w:tc>
          <w:tcPr>
            <w:tcW w:w="78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800" w:type="dxa"/>
            <w:vAlign w:val="bottom"/>
            <w:shd w:val="clear" w:color="auto" w:fill="E5E5E5"/>
          </w:tcPr>
          <w:p>
            <w:pPr>
              <w:spacing w:after="0"/>
              <w:rPr>
                <w:sz w:val="7"/>
                <w:szCs w:val="7"/>
                <w:color w:val="auto"/>
              </w:rPr>
            </w:pPr>
          </w:p>
        </w:tc>
        <w:tc>
          <w:tcPr>
            <w:tcW w:w="1000" w:type="dxa"/>
            <w:vAlign w:val="bottom"/>
            <w:vMerge w:val="continue"/>
            <w:shd w:val="clear" w:color="auto" w:fill="E5E5E5"/>
          </w:tcPr>
          <w:p>
            <w:pPr>
              <w:spacing w:after="0"/>
              <w:rPr>
                <w:sz w:val="7"/>
                <w:szCs w:val="7"/>
                <w:color w:val="auto"/>
              </w:rPr>
            </w:pPr>
          </w:p>
        </w:tc>
        <w:tc>
          <w:tcPr>
            <w:tcW w:w="980" w:type="dxa"/>
            <w:vAlign w:val="bottom"/>
            <w:vMerge w:val="continue"/>
            <w:shd w:val="clear" w:color="auto" w:fill="E5E5E5"/>
          </w:tcPr>
          <w:p>
            <w:pPr>
              <w:spacing w:after="0"/>
              <w:rPr>
                <w:sz w:val="7"/>
                <w:szCs w:val="7"/>
                <w:color w:val="auto"/>
              </w:rPr>
            </w:pPr>
          </w:p>
        </w:tc>
        <w:tc>
          <w:tcPr>
            <w:tcW w:w="160" w:type="dxa"/>
            <w:vAlign w:val="bottom"/>
            <w:shd w:val="clear" w:color="auto" w:fill="E5E5E5"/>
          </w:tcPr>
          <w:p>
            <w:pPr>
              <w:spacing w:after="0"/>
              <w:rPr>
                <w:sz w:val="7"/>
                <w:szCs w:val="7"/>
                <w:color w:val="auto"/>
              </w:rPr>
            </w:pPr>
          </w:p>
        </w:tc>
        <w:tc>
          <w:tcPr>
            <w:tcW w:w="880" w:type="dxa"/>
            <w:vAlign w:val="bottom"/>
            <w:vMerge w:val="continue"/>
            <w:shd w:val="clear" w:color="auto" w:fill="E5E5E5"/>
          </w:tcPr>
          <w:p>
            <w:pPr>
              <w:spacing w:after="0"/>
              <w:rPr>
                <w:sz w:val="7"/>
                <w:szCs w:val="7"/>
                <w:color w:val="auto"/>
              </w:rPr>
            </w:pPr>
          </w:p>
        </w:tc>
        <w:tc>
          <w:tcPr>
            <w:tcW w:w="100" w:type="dxa"/>
            <w:vAlign w:val="bottom"/>
            <w:shd w:val="clear" w:color="auto" w:fill="E5E5E5"/>
          </w:tcPr>
          <w:p>
            <w:pPr>
              <w:spacing w:after="0"/>
              <w:rPr>
                <w:sz w:val="7"/>
                <w:szCs w:val="7"/>
                <w:color w:val="auto"/>
              </w:rPr>
            </w:pPr>
          </w:p>
        </w:tc>
        <w:tc>
          <w:tcPr>
            <w:tcW w:w="740" w:type="dxa"/>
            <w:vAlign w:val="bottom"/>
            <w:vMerge w:val="continue"/>
            <w:shd w:val="clear" w:color="auto" w:fill="E5E5E5"/>
          </w:tcPr>
          <w:p>
            <w:pPr>
              <w:spacing w:after="0"/>
              <w:rPr>
                <w:sz w:val="7"/>
                <w:szCs w:val="7"/>
                <w:color w:val="auto"/>
              </w:rPr>
            </w:pPr>
          </w:p>
        </w:tc>
        <w:tc>
          <w:tcPr>
            <w:tcW w:w="960" w:type="dxa"/>
            <w:vAlign w:val="bottom"/>
            <w:vMerge w:val="continue"/>
            <w:shd w:val="clear" w:color="auto" w:fill="E5E5E5"/>
          </w:tcPr>
          <w:p>
            <w:pPr>
              <w:spacing w:after="0"/>
              <w:rPr>
                <w:sz w:val="7"/>
                <w:szCs w:val="7"/>
                <w:color w:val="auto"/>
              </w:rPr>
            </w:pPr>
          </w:p>
        </w:tc>
        <w:tc>
          <w:tcPr>
            <w:tcW w:w="960" w:type="dxa"/>
            <w:vAlign w:val="bottom"/>
            <w:shd w:val="clear" w:color="auto" w:fill="E5E5E5"/>
          </w:tcPr>
          <w:p>
            <w:pPr>
              <w:spacing w:after="0"/>
              <w:rPr>
                <w:sz w:val="7"/>
                <w:szCs w:val="7"/>
                <w:color w:val="auto"/>
              </w:rPr>
            </w:pPr>
          </w:p>
        </w:tc>
        <w:tc>
          <w:tcPr>
            <w:tcW w:w="780" w:type="dxa"/>
            <w:vAlign w:val="bottom"/>
            <w:shd w:val="clear" w:color="auto" w:fill="E5E5E5"/>
          </w:tcPr>
          <w:p>
            <w:pPr>
              <w:spacing w:after="0"/>
              <w:rPr>
                <w:sz w:val="7"/>
                <w:szCs w:val="7"/>
                <w:color w:val="auto"/>
              </w:rPr>
            </w:pPr>
          </w:p>
        </w:tc>
        <w:tc>
          <w:tcPr>
            <w:tcW w:w="860" w:type="dxa"/>
            <w:vAlign w:val="bottom"/>
            <w:shd w:val="clear" w:color="auto" w:fill="E5E5E5"/>
          </w:tcPr>
          <w:p>
            <w:pPr>
              <w:spacing w:after="0"/>
              <w:rPr>
                <w:sz w:val="7"/>
                <w:szCs w:val="7"/>
                <w:color w:val="auto"/>
              </w:rPr>
            </w:pPr>
          </w:p>
        </w:tc>
        <w:tc>
          <w:tcPr>
            <w:tcW w:w="840" w:type="dxa"/>
            <w:vAlign w:val="bottom"/>
            <w:shd w:val="clear" w:color="auto" w:fill="E5E5E5"/>
          </w:tcPr>
          <w:p>
            <w:pPr>
              <w:spacing w:after="0"/>
              <w:rPr>
                <w:sz w:val="7"/>
                <w:szCs w:val="7"/>
                <w:color w:val="auto"/>
              </w:rPr>
            </w:pPr>
          </w:p>
        </w:tc>
        <w:tc>
          <w:tcPr>
            <w:tcW w:w="180" w:type="dxa"/>
            <w:vAlign w:val="bottom"/>
            <w:shd w:val="clear" w:color="auto" w:fill="E5E5E5"/>
          </w:tcPr>
          <w:p>
            <w:pPr>
              <w:spacing w:after="0"/>
              <w:rPr>
                <w:sz w:val="7"/>
                <w:szCs w:val="7"/>
                <w:color w:val="auto"/>
              </w:rPr>
            </w:pPr>
          </w:p>
        </w:tc>
        <w:tc>
          <w:tcPr>
            <w:tcW w:w="840" w:type="dxa"/>
            <w:vAlign w:val="bottom"/>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800" w:type="dxa"/>
            <w:vAlign w:val="bottom"/>
            <w:shd w:val="clear" w:color="auto" w:fill="E5E5E5"/>
          </w:tcPr>
          <w:p>
            <w:pPr>
              <w:spacing w:after="0"/>
              <w:rPr>
                <w:sz w:val="23"/>
                <w:szCs w:val="23"/>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3/2/2017</w:t>
            </w:r>
          </w:p>
        </w:tc>
        <w:tc>
          <w:tcPr>
            <w:tcW w:w="9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2/23/2017</w:t>
            </w:r>
          </w:p>
        </w:tc>
        <w:tc>
          <w:tcPr>
            <w:tcW w:w="160" w:type="dxa"/>
            <w:vAlign w:val="bottom"/>
            <w:shd w:val="clear" w:color="auto" w:fill="E5E5E5"/>
          </w:tcPr>
          <w:p>
            <w:pPr>
              <w:spacing w:after="0"/>
              <w:rPr>
                <w:sz w:val="23"/>
                <w:szCs w:val="23"/>
                <w:color w:val="auto"/>
              </w:rPr>
            </w:pPr>
          </w:p>
        </w:tc>
        <w:tc>
          <w:tcPr>
            <w:tcW w:w="880" w:type="dxa"/>
            <w:vAlign w:val="bottom"/>
            <w:shd w:val="clear" w:color="auto" w:fill="E5E5E5"/>
          </w:tcPr>
          <w:p>
            <w:pPr>
              <w:spacing w:after="0"/>
              <w:rPr>
                <w:sz w:val="23"/>
                <w:szCs w:val="23"/>
                <w:color w:val="auto"/>
              </w:rPr>
            </w:pPr>
          </w:p>
        </w:tc>
        <w:tc>
          <w:tcPr>
            <w:tcW w:w="100" w:type="dxa"/>
            <w:vAlign w:val="bottom"/>
            <w:shd w:val="clear" w:color="auto" w:fill="E5E5E5"/>
          </w:tcPr>
          <w:p>
            <w:pPr>
              <w:spacing w:after="0"/>
              <w:rPr>
                <w:sz w:val="23"/>
                <w:szCs w:val="23"/>
                <w:color w:val="auto"/>
              </w:rPr>
            </w:pPr>
          </w:p>
        </w:tc>
        <w:tc>
          <w:tcPr>
            <w:tcW w:w="740" w:type="dxa"/>
            <w:vAlign w:val="bottom"/>
            <w:shd w:val="clear" w:color="auto" w:fill="E5E5E5"/>
          </w:tcPr>
          <w:p>
            <w:pPr>
              <w:spacing w:after="0"/>
              <w:rPr>
                <w:sz w:val="23"/>
                <w:szCs w:val="23"/>
                <w:color w:val="auto"/>
              </w:rPr>
            </w:pPr>
          </w:p>
        </w:tc>
        <w:tc>
          <w:tcPr>
            <w:tcW w:w="960" w:type="dxa"/>
            <w:vAlign w:val="bottom"/>
            <w:shd w:val="clear" w:color="auto" w:fill="E5E5E5"/>
          </w:tcPr>
          <w:p>
            <w:pPr>
              <w:spacing w:after="0"/>
              <w:rPr>
                <w:sz w:val="23"/>
                <w:szCs w:val="23"/>
                <w:color w:val="auto"/>
              </w:rPr>
            </w:pPr>
          </w:p>
        </w:tc>
        <w:tc>
          <w:tcPr>
            <w:tcW w:w="960" w:type="dxa"/>
            <w:vAlign w:val="bottom"/>
            <w:shd w:val="clear" w:color="auto" w:fill="E5E5E5"/>
          </w:tcPr>
          <w:p>
            <w:pPr>
              <w:jc w:val="right"/>
              <w:ind w:right="57"/>
              <w:spacing w:after="0"/>
              <w:rPr>
                <w:sz w:val="20"/>
                <w:szCs w:val="20"/>
                <w:color w:val="auto"/>
              </w:rPr>
            </w:pPr>
            <w:r>
              <w:rPr>
                <w:rFonts w:ascii="Arial" w:cs="Arial" w:eastAsia="Arial" w:hAnsi="Arial"/>
                <w:sz w:val="13"/>
                <w:szCs w:val="13"/>
                <w:color w:val="auto"/>
              </w:rPr>
              <w:t>4,941</w:t>
            </w:r>
          </w:p>
        </w:tc>
        <w:tc>
          <w:tcPr>
            <w:tcW w:w="780" w:type="dxa"/>
            <w:vAlign w:val="bottom"/>
            <w:shd w:val="clear" w:color="auto" w:fill="E5E5E5"/>
          </w:tcPr>
          <w:p>
            <w:pPr>
              <w:jc w:val="right"/>
              <w:ind w:right="57"/>
              <w:spacing w:after="0"/>
              <w:rPr>
                <w:sz w:val="20"/>
                <w:szCs w:val="20"/>
                <w:color w:val="auto"/>
              </w:rPr>
            </w:pPr>
            <w:r>
              <w:rPr>
                <w:rFonts w:ascii="Arial" w:cs="Arial" w:eastAsia="Arial" w:hAnsi="Arial"/>
                <w:sz w:val="13"/>
                <w:szCs w:val="13"/>
                <w:color w:val="auto"/>
              </w:rPr>
              <w:t>9,883</w:t>
            </w:r>
          </w:p>
        </w:tc>
        <w:tc>
          <w:tcPr>
            <w:tcW w:w="860" w:type="dxa"/>
            <w:vAlign w:val="bottom"/>
            <w:shd w:val="clear" w:color="auto" w:fill="E5E5E5"/>
          </w:tcPr>
          <w:p>
            <w:pPr>
              <w:jc w:val="right"/>
              <w:ind w:right="37"/>
              <w:spacing w:after="0"/>
              <w:rPr>
                <w:sz w:val="20"/>
                <w:szCs w:val="20"/>
                <w:color w:val="auto"/>
              </w:rPr>
            </w:pPr>
            <w:r>
              <w:rPr>
                <w:rFonts w:ascii="Arial" w:cs="Arial" w:eastAsia="Arial" w:hAnsi="Arial"/>
                <w:sz w:val="13"/>
                <w:szCs w:val="13"/>
                <w:color w:val="auto"/>
              </w:rPr>
              <w:t>19,766</w:t>
            </w:r>
          </w:p>
        </w:tc>
        <w:tc>
          <w:tcPr>
            <w:tcW w:w="840" w:type="dxa"/>
            <w:vAlign w:val="bottom"/>
            <w:shd w:val="clear" w:color="auto" w:fill="E5E5E5"/>
          </w:tcPr>
          <w:p>
            <w:pPr>
              <w:spacing w:after="0"/>
              <w:rPr>
                <w:sz w:val="23"/>
                <w:szCs w:val="23"/>
                <w:color w:val="auto"/>
              </w:rPr>
            </w:pPr>
          </w:p>
        </w:tc>
        <w:tc>
          <w:tcPr>
            <w:tcW w:w="180" w:type="dxa"/>
            <w:vAlign w:val="bottom"/>
            <w:shd w:val="clear" w:color="auto" w:fill="E5E5E5"/>
          </w:tcPr>
          <w:p>
            <w:pPr>
              <w:spacing w:after="0"/>
              <w:rPr>
                <w:sz w:val="23"/>
                <w:szCs w:val="23"/>
                <w:color w:val="auto"/>
              </w:rPr>
            </w:pPr>
          </w:p>
        </w:tc>
        <w:tc>
          <w:tcPr>
            <w:tcW w:w="840" w:type="dxa"/>
            <w:vAlign w:val="bottom"/>
            <w:shd w:val="clear" w:color="auto" w:fill="E5E5E5"/>
          </w:tcPr>
          <w:p>
            <w:pPr>
              <w:jc w:val="right"/>
              <w:ind w:right="37"/>
              <w:spacing w:after="0"/>
              <w:rPr>
                <w:sz w:val="20"/>
                <w:szCs w:val="20"/>
                <w:color w:val="auto"/>
              </w:rPr>
            </w:pPr>
            <w:r>
              <w:rPr>
                <w:rFonts w:ascii="Arial" w:cs="Arial" w:eastAsia="Arial" w:hAnsi="Arial"/>
                <w:sz w:val="13"/>
                <w:szCs w:val="13"/>
                <w:color w:val="auto"/>
              </w:rPr>
              <w:t>468,454</w:t>
            </w:r>
          </w:p>
        </w:tc>
        <w:tc>
          <w:tcPr>
            <w:tcW w:w="0" w:type="dxa"/>
            <w:vAlign w:val="bottom"/>
          </w:tcPr>
          <w:p>
            <w:pPr>
              <w:spacing w:after="0"/>
              <w:rPr>
                <w:sz w:val="1"/>
                <w:szCs w:val="1"/>
                <w:color w:val="auto"/>
              </w:rPr>
            </w:pPr>
          </w:p>
        </w:tc>
      </w:tr>
      <w:tr>
        <w:trPr>
          <w:trHeight w:val="270"/>
        </w:trPr>
        <w:tc>
          <w:tcPr>
            <w:tcW w:w="1800" w:type="dxa"/>
            <w:vAlign w:val="bottom"/>
            <w:shd w:val="clear" w:color="auto" w:fill="E5E5E5"/>
          </w:tcPr>
          <w:p>
            <w:pPr>
              <w:spacing w:after="0"/>
              <w:rPr>
                <w:sz w:val="23"/>
                <w:szCs w:val="23"/>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3/2/2017</w:t>
            </w:r>
          </w:p>
        </w:tc>
        <w:tc>
          <w:tcPr>
            <w:tcW w:w="9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2/23/2017</w:t>
            </w:r>
          </w:p>
        </w:tc>
        <w:tc>
          <w:tcPr>
            <w:tcW w:w="160" w:type="dxa"/>
            <w:vAlign w:val="bottom"/>
            <w:shd w:val="clear" w:color="auto" w:fill="E5E5E5"/>
          </w:tcPr>
          <w:p>
            <w:pPr>
              <w:spacing w:after="0"/>
              <w:rPr>
                <w:sz w:val="23"/>
                <w:szCs w:val="23"/>
                <w:color w:val="auto"/>
              </w:rPr>
            </w:pPr>
          </w:p>
        </w:tc>
        <w:tc>
          <w:tcPr>
            <w:tcW w:w="880" w:type="dxa"/>
            <w:vAlign w:val="bottom"/>
            <w:shd w:val="clear" w:color="auto" w:fill="E5E5E5"/>
          </w:tcPr>
          <w:p>
            <w:pPr>
              <w:spacing w:after="0"/>
              <w:rPr>
                <w:sz w:val="23"/>
                <w:szCs w:val="23"/>
                <w:color w:val="auto"/>
              </w:rPr>
            </w:pPr>
          </w:p>
        </w:tc>
        <w:tc>
          <w:tcPr>
            <w:tcW w:w="100" w:type="dxa"/>
            <w:vAlign w:val="bottom"/>
            <w:shd w:val="clear" w:color="auto" w:fill="E5E5E5"/>
          </w:tcPr>
          <w:p>
            <w:pPr>
              <w:spacing w:after="0"/>
              <w:rPr>
                <w:sz w:val="23"/>
                <w:szCs w:val="23"/>
                <w:color w:val="auto"/>
              </w:rPr>
            </w:pPr>
          </w:p>
        </w:tc>
        <w:tc>
          <w:tcPr>
            <w:tcW w:w="740" w:type="dxa"/>
            <w:vAlign w:val="bottom"/>
            <w:shd w:val="clear" w:color="auto" w:fill="E5E5E5"/>
          </w:tcPr>
          <w:p>
            <w:pPr>
              <w:spacing w:after="0"/>
              <w:rPr>
                <w:sz w:val="23"/>
                <w:szCs w:val="23"/>
                <w:color w:val="auto"/>
              </w:rPr>
            </w:pPr>
          </w:p>
        </w:tc>
        <w:tc>
          <w:tcPr>
            <w:tcW w:w="960" w:type="dxa"/>
            <w:vAlign w:val="bottom"/>
            <w:shd w:val="clear" w:color="auto" w:fill="E5E5E5"/>
          </w:tcPr>
          <w:p>
            <w:pPr>
              <w:spacing w:after="0"/>
              <w:rPr>
                <w:sz w:val="23"/>
                <w:szCs w:val="23"/>
                <w:color w:val="auto"/>
              </w:rPr>
            </w:pPr>
          </w:p>
        </w:tc>
        <w:tc>
          <w:tcPr>
            <w:tcW w:w="960" w:type="dxa"/>
            <w:vAlign w:val="bottom"/>
            <w:shd w:val="clear" w:color="auto" w:fill="E5E5E5"/>
          </w:tcPr>
          <w:p>
            <w:pPr>
              <w:spacing w:after="0"/>
              <w:rPr>
                <w:sz w:val="23"/>
                <w:szCs w:val="23"/>
                <w:color w:val="auto"/>
              </w:rPr>
            </w:pPr>
          </w:p>
        </w:tc>
        <w:tc>
          <w:tcPr>
            <w:tcW w:w="780" w:type="dxa"/>
            <w:vAlign w:val="bottom"/>
            <w:shd w:val="clear" w:color="auto" w:fill="E5E5E5"/>
          </w:tcPr>
          <w:p>
            <w:pPr>
              <w:spacing w:after="0"/>
              <w:rPr>
                <w:sz w:val="23"/>
                <w:szCs w:val="23"/>
                <w:color w:val="auto"/>
              </w:rPr>
            </w:pPr>
          </w:p>
        </w:tc>
        <w:tc>
          <w:tcPr>
            <w:tcW w:w="860" w:type="dxa"/>
            <w:vAlign w:val="bottom"/>
            <w:shd w:val="clear" w:color="auto" w:fill="E5E5E5"/>
          </w:tcPr>
          <w:p>
            <w:pPr>
              <w:spacing w:after="0"/>
              <w:rPr>
                <w:sz w:val="23"/>
                <w:szCs w:val="23"/>
                <w:color w:val="auto"/>
              </w:rPr>
            </w:pPr>
          </w:p>
        </w:tc>
        <w:tc>
          <w:tcPr>
            <w:tcW w:w="84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6,921</w:t>
            </w:r>
          </w:p>
        </w:tc>
        <w:tc>
          <w:tcPr>
            <w:tcW w:w="180" w:type="dxa"/>
            <w:vAlign w:val="bottom"/>
            <w:shd w:val="clear" w:color="auto" w:fill="E5E5E5"/>
          </w:tcPr>
          <w:p>
            <w:pPr>
              <w:spacing w:after="0"/>
              <w:rPr>
                <w:sz w:val="23"/>
                <w:szCs w:val="23"/>
                <w:color w:val="auto"/>
              </w:rPr>
            </w:pPr>
          </w:p>
        </w:tc>
        <w:tc>
          <w:tcPr>
            <w:tcW w:w="840" w:type="dxa"/>
            <w:vAlign w:val="bottom"/>
            <w:shd w:val="clear" w:color="auto" w:fill="E5E5E5"/>
          </w:tcPr>
          <w:p>
            <w:pPr>
              <w:jc w:val="right"/>
              <w:ind w:right="37"/>
              <w:spacing w:after="0"/>
              <w:rPr>
                <w:sz w:val="20"/>
                <w:szCs w:val="20"/>
                <w:color w:val="auto"/>
              </w:rPr>
            </w:pPr>
            <w:r>
              <w:rPr>
                <w:rFonts w:ascii="Arial" w:cs="Arial" w:eastAsia="Arial" w:hAnsi="Arial"/>
                <w:sz w:val="13"/>
                <w:szCs w:val="13"/>
                <w:color w:val="auto"/>
              </w:rPr>
              <w:t>328,055</w:t>
            </w:r>
          </w:p>
        </w:tc>
        <w:tc>
          <w:tcPr>
            <w:tcW w:w="0" w:type="dxa"/>
            <w:vAlign w:val="bottom"/>
          </w:tcPr>
          <w:p>
            <w:pPr>
              <w:spacing w:after="0"/>
              <w:rPr>
                <w:sz w:val="1"/>
                <w:szCs w:val="1"/>
                <w:color w:val="auto"/>
              </w:rPr>
            </w:pPr>
          </w:p>
        </w:tc>
      </w:tr>
      <w:tr>
        <w:trPr>
          <w:trHeight w:val="259"/>
        </w:trPr>
        <w:tc>
          <w:tcPr>
            <w:tcW w:w="1800" w:type="dxa"/>
            <w:vAlign w:val="bottom"/>
            <w:shd w:val="clear" w:color="auto" w:fill="E5E5E5"/>
          </w:tcPr>
          <w:p>
            <w:pPr>
              <w:spacing w:after="0"/>
              <w:rPr>
                <w:sz w:val="22"/>
                <w:szCs w:val="22"/>
                <w:color w:val="auto"/>
              </w:rPr>
            </w:pPr>
          </w:p>
        </w:tc>
        <w:tc>
          <w:tcPr>
            <w:tcW w:w="1000" w:type="dxa"/>
            <w:vAlign w:val="bottom"/>
            <w:shd w:val="clear" w:color="auto" w:fill="E5E5E5"/>
          </w:tcPr>
          <w:p>
            <w:pPr>
              <w:spacing w:after="0"/>
              <w:rPr>
                <w:sz w:val="22"/>
                <w:szCs w:val="22"/>
                <w:color w:val="auto"/>
              </w:rPr>
            </w:pPr>
          </w:p>
        </w:tc>
        <w:tc>
          <w:tcPr>
            <w:tcW w:w="980" w:type="dxa"/>
            <w:vAlign w:val="bottom"/>
            <w:shd w:val="clear" w:color="auto" w:fill="E5E5E5"/>
          </w:tcPr>
          <w:p>
            <w:pPr>
              <w:spacing w:after="0"/>
              <w:rPr>
                <w:sz w:val="22"/>
                <w:szCs w:val="22"/>
                <w:color w:val="auto"/>
              </w:rPr>
            </w:pPr>
          </w:p>
        </w:tc>
        <w:tc>
          <w:tcPr>
            <w:tcW w:w="160" w:type="dxa"/>
            <w:vAlign w:val="bottom"/>
            <w:shd w:val="clear" w:color="auto" w:fill="E5E5E5"/>
          </w:tcPr>
          <w:p>
            <w:pPr>
              <w:spacing w:after="0"/>
              <w:rPr>
                <w:sz w:val="22"/>
                <w:szCs w:val="22"/>
                <w:color w:val="auto"/>
              </w:rPr>
            </w:pPr>
          </w:p>
        </w:tc>
        <w:tc>
          <w:tcPr>
            <w:tcW w:w="880" w:type="dxa"/>
            <w:vAlign w:val="bottom"/>
            <w:shd w:val="clear" w:color="auto" w:fill="E5E5E5"/>
          </w:tcPr>
          <w:p>
            <w:pPr>
              <w:spacing w:after="0"/>
              <w:rPr>
                <w:sz w:val="22"/>
                <w:szCs w:val="22"/>
                <w:color w:val="auto"/>
              </w:rPr>
            </w:pPr>
          </w:p>
        </w:tc>
        <w:tc>
          <w:tcPr>
            <w:tcW w:w="100" w:type="dxa"/>
            <w:vAlign w:val="bottom"/>
            <w:shd w:val="clear" w:color="auto" w:fill="E5E5E5"/>
          </w:tcPr>
          <w:p>
            <w:pPr>
              <w:spacing w:after="0"/>
              <w:rPr>
                <w:sz w:val="22"/>
                <w:szCs w:val="22"/>
                <w:color w:val="auto"/>
              </w:rPr>
            </w:pPr>
          </w:p>
        </w:tc>
        <w:tc>
          <w:tcPr>
            <w:tcW w:w="740" w:type="dxa"/>
            <w:vAlign w:val="bottom"/>
            <w:shd w:val="clear" w:color="auto" w:fill="E5E5E5"/>
          </w:tcPr>
          <w:p>
            <w:pPr>
              <w:spacing w:after="0"/>
              <w:rPr>
                <w:sz w:val="22"/>
                <w:szCs w:val="22"/>
                <w:color w:val="auto"/>
              </w:rPr>
            </w:pPr>
          </w:p>
        </w:tc>
        <w:tc>
          <w:tcPr>
            <w:tcW w:w="960" w:type="dxa"/>
            <w:vAlign w:val="bottom"/>
            <w:shd w:val="clear" w:color="auto" w:fill="E5E5E5"/>
          </w:tcPr>
          <w:p>
            <w:pPr>
              <w:spacing w:after="0"/>
              <w:rPr>
                <w:sz w:val="22"/>
                <w:szCs w:val="22"/>
                <w:color w:val="auto"/>
              </w:rPr>
            </w:pPr>
          </w:p>
        </w:tc>
        <w:tc>
          <w:tcPr>
            <w:tcW w:w="960" w:type="dxa"/>
            <w:vAlign w:val="bottom"/>
            <w:shd w:val="clear" w:color="auto" w:fill="E5E5E5"/>
          </w:tcPr>
          <w:p>
            <w:pPr>
              <w:spacing w:after="0"/>
              <w:rPr>
                <w:sz w:val="22"/>
                <w:szCs w:val="22"/>
                <w:color w:val="auto"/>
              </w:rPr>
            </w:pPr>
          </w:p>
        </w:tc>
        <w:tc>
          <w:tcPr>
            <w:tcW w:w="780" w:type="dxa"/>
            <w:vAlign w:val="bottom"/>
            <w:shd w:val="clear" w:color="auto" w:fill="E5E5E5"/>
          </w:tcPr>
          <w:p>
            <w:pPr>
              <w:spacing w:after="0"/>
              <w:rPr>
                <w:sz w:val="22"/>
                <w:szCs w:val="22"/>
                <w:color w:val="auto"/>
              </w:rPr>
            </w:pPr>
          </w:p>
        </w:tc>
        <w:tc>
          <w:tcPr>
            <w:tcW w:w="860" w:type="dxa"/>
            <w:vAlign w:val="bottom"/>
            <w:shd w:val="clear" w:color="auto" w:fill="E5E5E5"/>
          </w:tcPr>
          <w:p>
            <w:pPr>
              <w:spacing w:after="0"/>
              <w:rPr>
                <w:sz w:val="22"/>
                <w:szCs w:val="22"/>
                <w:color w:val="auto"/>
              </w:rPr>
            </w:pPr>
          </w:p>
        </w:tc>
        <w:tc>
          <w:tcPr>
            <w:tcW w:w="840" w:type="dxa"/>
            <w:vAlign w:val="bottom"/>
            <w:shd w:val="clear" w:color="auto" w:fill="E5E5E5"/>
          </w:tcPr>
          <w:p>
            <w:pPr>
              <w:spacing w:after="0"/>
              <w:rPr>
                <w:sz w:val="22"/>
                <w:szCs w:val="22"/>
                <w:color w:val="auto"/>
              </w:rPr>
            </w:pPr>
          </w:p>
        </w:tc>
        <w:tc>
          <w:tcPr>
            <w:tcW w:w="180" w:type="dxa"/>
            <w:vAlign w:val="bottom"/>
            <w:shd w:val="clear" w:color="auto" w:fill="E5E5E5"/>
          </w:tcPr>
          <w:p>
            <w:pPr>
              <w:spacing w:after="0"/>
              <w:rPr>
                <w:sz w:val="22"/>
                <w:szCs w:val="22"/>
                <w:color w:val="auto"/>
              </w:rPr>
            </w:pPr>
          </w:p>
        </w:tc>
        <w:tc>
          <w:tcPr>
            <w:tcW w:w="840" w:type="dxa"/>
            <w:vAlign w:val="bottom"/>
            <w:shd w:val="clear" w:color="auto" w:fill="E5E5E5"/>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1800" w:type="dxa"/>
            <w:vAlign w:val="bottom"/>
          </w:tcPr>
          <w:p>
            <w:pPr>
              <w:ind w:left="40"/>
              <w:spacing w:after="0"/>
              <w:rPr>
                <w:sz w:val="20"/>
                <w:szCs w:val="20"/>
                <w:color w:val="auto"/>
              </w:rPr>
            </w:pPr>
            <w:r>
              <w:rPr>
                <w:rFonts w:ascii="Arial" w:cs="Arial" w:eastAsia="Arial" w:hAnsi="Arial"/>
                <w:sz w:val="13"/>
                <w:szCs w:val="13"/>
                <w:b w:val="1"/>
                <w:bCs w:val="1"/>
                <w:color w:val="auto"/>
              </w:rPr>
              <w:t>Joseph G. Henry</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3/2/2017</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2/23/2017</w:t>
            </w:r>
          </w:p>
        </w:tc>
        <w:tc>
          <w:tcPr>
            <w:tcW w:w="160" w:type="dxa"/>
            <w:vAlign w:val="bottom"/>
          </w:tcPr>
          <w:p>
            <w:pPr>
              <w:spacing w:after="0"/>
              <w:rPr>
                <w:sz w:val="15"/>
                <w:szCs w:val="15"/>
                <w:color w:val="auto"/>
              </w:rPr>
            </w:pPr>
          </w:p>
        </w:tc>
        <w:tc>
          <w:tcPr>
            <w:tcW w:w="880" w:type="dxa"/>
            <w:vAlign w:val="bottom"/>
            <w:vMerge w:val="restart"/>
          </w:tcPr>
          <w:p>
            <w:pPr>
              <w:ind w:left="300"/>
              <w:spacing w:after="0"/>
              <w:rPr>
                <w:sz w:val="20"/>
                <w:szCs w:val="20"/>
                <w:color w:val="auto"/>
              </w:rPr>
            </w:pPr>
            <w:r>
              <w:rPr>
                <w:rFonts w:ascii="Arial" w:cs="Arial" w:eastAsia="Arial" w:hAnsi="Arial"/>
                <w:sz w:val="13"/>
                <w:szCs w:val="13"/>
                <w:color w:val="auto"/>
              </w:rPr>
              <w:t>140,250</w:t>
            </w:r>
          </w:p>
        </w:tc>
        <w:tc>
          <w:tcPr>
            <w:tcW w:w="10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280,500</w:t>
            </w:r>
          </w:p>
        </w:tc>
        <w:tc>
          <w:tcPr>
            <w:tcW w:w="960" w:type="dxa"/>
            <w:vAlign w:val="bottom"/>
            <w:vMerge w:val="restart"/>
          </w:tcPr>
          <w:p>
            <w:pPr>
              <w:jc w:val="right"/>
              <w:ind w:right="77"/>
              <w:spacing w:after="0"/>
              <w:rPr>
                <w:sz w:val="20"/>
                <w:szCs w:val="20"/>
                <w:color w:val="auto"/>
              </w:rPr>
            </w:pPr>
            <w:r>
              <w:rPr>
                <w:rFonts w:ascii="Arial" w:cs="Arial" w:eastAsia="Arial" w:hAnsi="Arial"/>
                <w:sz w:val="13"/>
                <w:szCs w:val="13"/>
                <w:color w:val="auto"/>
              </w:rPr>
              <w:t>561,000</w:t>
            </w:r>
          </w:p>
        </w:tc>
        <w:tc>
          <w:tcPr>
            <w:tcW w:w="9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80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8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3/2/2017</w:t>
            </w:r>
          </w:p>
        </w:tc>
        <w:tc>
          <w:tcPr>
            <w:tcW w:w="980" w:type="dxa"/>
            <w:vAlign w:val="bottom"/>
          </w:tcPr>
          <w:p>
            <w:pPr>
              <w:jc w:val="right"/>
              <w:spacing w:after="0"/>
              <w:rPr>
                <w:sz w:val="20"/>
                <w:szCs w:val="20"/>
                <w:color w:val="auto"/>
              </w:rPr>
            </w:pPr>
            <w:r>
              <w:rPr>
                <w:rFonts w:ascii="Arial" w:cs="Arial" w:eastAsia="Arial" w:hAnsi="Arial"/>
                <w:sz w:val="13"/>
                <w:szCs w:val="13"/>
                <w:color w:val="auto"/>
              </w:rPr>
              <w:t>2/23/2017</w:t>
            </w: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3,294</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6,589</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13,178</w:t>
            </w: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312,319</w:t>
            </w:r>
          </w:p>
        </w:tc>
        <w:tc>
          <w:tcPr>
            <w:tcW w:w="0" w:type="dxa"/>
            <w:vAlign w:val="bottom"/>
          </w:tcPr>
          <w:p>
            <w:pPr>
              <w:spacing w:after="0"/>
              <w:rPr>
                <w:sz w:val="1"/>
                <w:szCs w:val="1"/>
                <w:color w:val="auto"/>
              </w:rPr>
            </w:pPr>
          </w:p>
        </w:tc>
      </w:tr>
      <w:tr>
        <w:trPr>
          <w:trHeight w:val="270"/>
        </w:trPr>
        <w:tc>
          <w:tcPr>
            <w:tcW w:w="18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3/2/2017</w:t>
            </w:r>
          </w:p>
        </w:tc>
        <w:tc>
          <w:tcPr>
            <w:tcW w:w="980" w:type="dxa"/>
            <w:vAlign w:val="bottom"/>
          </w:tcPr>
          <w:p>
            <w:pPr>
              <w:jc w:val="right"/>
              <w:spacing w:after="0"/>
              <w:rPr>
                <w:sz w:val="20"/>
                <w:szCs w:val="20"/>
                <w:color w:val="auto"/>
              </w:rPr>
            </w:pPr>
            <w:r>
              <w:rPr>
                <w:rFonts w:ascii="Arial" w:cs="Arial" w:eastAsia="Arial" w:hAnsi="Arial"/>
                <w:sz w:val="13"/>
                <w:szCs w:val="13"/>
                <w:color w:val="auto"/>
              </w:rPr>
              <w:t>2/23/2017</w:t>
            </w: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4,614</w:t>
            </w:r>
          </w:p>
        </w:tc>
        <w:tc>
          <w:tcPr>
            <w:tcW w:w="180" w:type="dxa"/>
            <w:vAlign w:val="bottom"/>
          </w:tcPr>
          <w:p>
            <w:pPr>
              <w:spacing w:after="0"/>
              <w:rPr>
                <w:sz w:val="23"/>
                <w:szCs w:val="23"/>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218,704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-3685540</wp:posOffset>
            </wp:positionV>
            <wp:extent cx="344741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230" w:lineRule="exact"/>
        <w:rPr>
          <w:sz w:val="20"/>
          <w:szCs w:val="20"/>
          <w:color w:val="auto"/>
        </w:rPr>
      </w:pPr>
    </w:p>
    <w:p>
      <w:pPr>
        <w:ind w:left="460" w:right="160" w:hanging="330"/>
        <w:spacing w:after="0" w:line="248" w:lineRule="auto"/>
        <w:tabs>
          <w:tab w:leader="none" w:pos="460" w:val="left"/>
        </w:tabs>
        <w:numPr>
          <w:ilvl w:val="0"/>
          <w:numId w:val="98"/>
        </w:numPr>
        <w:rPr>
          <w:rFonts w:ascii="Arial" w:cs="Arial" w:eastAsia="Arial" w:hAnsi="Arial"/>
          <w:sz w:val="14"/>
          <w:szCs w:val="14"/>
          <w:i w:val="1"/>
          <w:iCs w:val="1"/>
          <w:color w:val="auto"/>
        </w:rPr>
      </w:pPr>
      <w:r>
        <w:rPr>
          <w:rFonts w:ascii="Arial" w:cs="Arial" w:eastAsia="Arial" w:hAnsi="Arial"/>
          <w:sz w:val="14"/>
          <w:szCs w:val="14"/>
          <w:i w:val="1"/>
          <w:iCs w:val="1"/>
          <w:color w:val="auto"/>
        </w:rPr>
        <w:t>Amounts shown represent the range of potential payouts under our annual incentive compensation plan. See “Estimated Future Payouts Under Non-Equity Incentive Plan Awards” below for a discussion of the amounts included in this column. The actual amounts paid to our Named Executives are included in the Non-Equity Incentive Plan Compensation column of the “Summary Compensation Table” above.</w:t>
      </w:r>
    </w:p>
    <w:p>
      <w:pPr>
        <w:spacing w:after="0" w:line="1" w:lineRule="exact"/>
        <w:rPr>
          <w:rFonts w:ascii="Arial" w:cs="Arial" w:eastAsia="Arial" w:hAnsi="Arial"/>
          <w:sz w:val="14"/>
          <w:szCs w:val="14"/>
          <w:i w:val="1"/>
          <w:iCs w:val="1"/>
          <w:color w:val="auto"/>
        </w:rPr>
      </w:pPr>
    </w:p>
    <w:p>
      <w:pPr>
        <w:ind w:left="460" w:hanging="330"/>
        <w:spacing w:after="0"/>
        <w:tabs>
          <w:tab w:leader="none" w:pos="460" w:val="left"/>
        </w:tabs>
        <w:numPr>
          <w:ilvl w:val="0"/>
          <w:numId w:val="98"/>
        </w:numPr>
        <w:rPr>
          <w:rFonts w:ascii="Arial" w:cs="Arial" w:eastAsia="Arial" w:hAnsi="Arial"/>
          <w:sz w:val="14"/>
          <w:szCs w:val="14"/>
          <w:i w:val="1"/>
          <w:iCs w:val="1"/>
          <w:color w:val="auto"/>
        </w:rPr>
      </w:pPr>
      <w:r>
        <w:rPr>
          <w:rFonts w:ascii="Arial" w:cs="Arial" w:eastAsia="Arial" w:hAnsi="Arial"/>
          <w:sz w:val="14"/>
          <w:szCs w:val="14"/>
          <w:i w:val="1"/>
          <w:iCs w:val="1"/>
          <w:color w:val="auto"/>
        </w:rPr>
        <w:t>See "Estimated Future Payouts Under Equity Incentive Plan Awards" below for a discussion of the amounts included in this column.</w:t>
      </w:r>
    </w:p>
    <w:p>
      <w:pPr>
        <w:spacing w:after="0" w:line="1" w:lineRule="exact"/>
        <w:rPr>
          <w:rFonts w:ascii="Arial" w:cs="Arial" w:eastAsia="Arial" w:hAnsi="Arial"/>
          <w:sz w:val="14"/>
          <w:szCs w:val="14"/>
          <w:i w:val="1"/>
          <w:iCs w:val="1"/>
          <w:color w:val="auto"/>
        </w:rPr>
      </w:pPr>
    </w:p>
    <w:p>
      <w:pPr>
        <w:ind w:left="460" w:hanging="330"/>
        <w:spacing w:after="0" w:line="249" w:lineRule="auto"/>
        <w:tabs>
          <w:tab w:leader="none" w:pos="460" w:val="left"/>
        </w:tabs>
        <w:numPr>
          <w:ilvl w:val="0"/>
          <w:numId w:val="98"/>
        </w:numPr>
        <w:rPr>
          <w:rFonts w:ascii="Arial" w:cs="Arial" w:eastAsia="Arial" w:hAnsi="Arial"/>
          <w:sz w:val="14"/>
          <w:szCs w:val="14"/>
          <w:i w:val="1"/>
          <w:iCs w:val="1"/>
          <w:color w:val="auto"/>
        </w:rPr>
      </w:pPr>
      <w:r>
        <w:rPr>
          <w:rFonts w:ascii="Arial" w:cs="Arial" w:eastAsia="Arial" w:hAnsi="Arial"/>
          <w:sz w:val="14"/>
          <w:szCs w:val="14"/>
          <w:i w:val="1"/>
          <w:iCs w:val="1"/>
          <w:color w:val="auto"/>
        </w:rPr>
        <w:t>Amounts shown represent shares of our common stock underlying restricted stock units. See “All Other Stock Awards” below for a discussion of the amounts included in this column.</w:t>
      </w:r>
    </w:p>
    <w:p>
      <w:pPr>
        <w:ind w:left="460" w:hanging="330"/>
        <w:spacing w:after="0"/>
        <w:tabs>
          <w:tab w:leader="none" w:pos="460" w:val="left"/>
        </w:tabs>
        <w:numPr>
          <w:ilvl w:val="0"/>
          <w:numId w:val="98"/>
        </w:numPr>
        <w:rPr>
          <w:rFonts w:ascii="Arial" w:cs="Arial" w:eastAsia="Arial" w:hAnsi="Arial"/>
          <w:sz w:val="14"/>
          <w:szCs w:val="14"/>
          <w:i w:val="1"/>
          <w:iCs w:val="1"/>
          <w:color w:val="auto"/>
        </w:rPr>
      </w:pPr>
      <w:r>
        <w:rPr>
          <w:rFonts w:ascii="Arial" w:cs="Arial" w:eastAsia="Arial" w:hAnsi="Arial"/>
          <w:sz w:val="14"/>
          <w:szCs w:val="14"/>
          <w:i w:val="1"/>
          <w:iCs w:val="1"/>
          <w:color w:val="auto"/>
        </w:rPr>
        <w:t>See "Grant Date Fair Value of Stock Awards" below for a discussion of the amounts included in this column.</w:t>
      </w:r>
    </w:p>
    <w:p>
      <w:pPr>
        <w:spacing w:after="0" w:line="4" w:lineRule="exact"/>
        <w:rPr>
          <w:rFonts w:ascii="Arial" w:cs="Arial" w:eastAsia="Arial" w:hAnsi="Arial"/>
          <w:sz w:val="14"/>
          <w:szCs w:val="14"/>
          <w:i w:val="1"/>
          <w:iCs w:val="1"/>
          <w:color w:val="auto"/>
        </w:rPr>
      </w:pPr>
    </w:p>
    <w:p>
      <w:pPr>
        <w:jc w:val="both"/>
        <w:ind w:left="460" w:right="260" w:hanging="330"/>
        <w:spacing w:after="0" w:line="250" w:lineRule="auto"/>
        <w:tabs>
          <w:tab w:leader="none" w:pos="460" w:val="left"/>
        </w:tabs>
        <w:numPr>
          <w:ilvl w:val="0"/>
          <w:numId w:val="98"/>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amounts shown for Mr. Fees with a December 14, 2017 grant date represent the aggregate incremental fair value, computed in accordance with FASB Topic 718, of stock awards that were granted prior to 2017 (shown in the "All Other Stock Awards" column) which were modified by the terms of his Transition Agreement. See "Grant Date Fair Value of Stock Awards" below for a discussion of these amounts.</w:t>
      </w:r>
    </w:p>
    <w:p>
      <w:pPr>
        <w:spacing w:after="0" w:line="1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Estimated Future Payouts Under Non-Equity Incentive Plan Awards</w:t>
      </w:r>
    </w:p>
    <w:p>
      <w:pPr>
        <w:spacing w:after="0" w:line="112"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The amounts shown in this column reflect the threshold, target and maximum pay opportunities for each Named Executive under the EICP for 2017. Generally, EICP payout depends on three principal factors: (1) financial performance, (2) the Named Executive’s target percentage, and (3) the Named Executive’s earnings from base salary. For 2017, the target percentage for each Named Executive was as follows:</w:t>
      </w:r>
    </w:p>
    <w:p>
      <w:pPr>
        <w:spacing w:after="0" w:line="176" w:lineRule="exact"/>
        <w:rPr>
          <w:sz w:val="20"/>
          <w:szCs w:val="20"/>
          <w:color w:val="auto"/>
        </w:rPr>
      </w:pPr>
    </w:p>
    <w:tbl>
      <w:tblPr>
        <w:tblLayout w:type="fixed"/>
        <w:tblInd w:w="3660" w:type="dxa"/>
        <w:tblCellMar>
          <w:top w:w="0" w:type="dxa"/>
          <w:left w:w="0" w:type="dxa"/>
          <w:bottom w:w="0" w:type="dxa"/>
          <w:right w:w="0" w:type="dxa"/>
        </w:tblCellMar>
      </w:tblPr>
      <w:tr>
        <w:trPr>
          <w:trHeight w:val="176"/>
        </w:trPr>
        <w:tc>
          <w:tcPr>
            <w:tcW w:w="2020" w:type="dxa"/>
            <w:vAlign w:val="bottom"/>
            <w:shd w:val="clear" w:color="auto" w:fill="525252"/>
          </w:tcPr>
          <w:p>
            <w:pPr>
              <w:spacing w:after="0"/>
              <w:rPr>
                <w:sz w:val="15"/>
                <w:szCs w:val="15"/>
                <w:color w:val="auto"/>
              </w:rPr>
            </w:pPr>
          </w:p>
        </w:tc>
        <w:tc>
          <w:tcPr>
            <w:tcW w:w="2080" w:type="dxa"/>
            <w:vAlign w:val="bottom"/>
            <w:shd w:val="clear" w:color="auto" w:fill="525252"/>
          </w:tcPr>
          <w:p>
            <w:pPr>
              <w:jc w:val="center"/>
              <w:ind w:left="115"/>
              <w:spacing w:after="0"/>
              <w:rPr>
                <w:sz w:val="20"/>
                <w:szCs w:val="20"/>
                <w:color w:val="auto"/>
              </w:rPr>
            </w:pPr>
            <w:r>
              <w:rPr>
                <w:rFonts w:ascii="Arial" w:cs="Arial" w:eastAsia="Arial" w:hAnsi="Arial"/>
                <w:sz w:val="14"/>
                <w:szCs w:val="14"/>
                <w:b w:val="1"/>
                <w:bCs w:val="1"/>
                <w:color w:val="FFFFFF"/>
              </w:rPr>
              <w:t>Target Percentage</w:t>
            </w:r>
          </w:p>
        </w:tc>
      </w:tr>
      <w:tr>
        <w:trPr>
          <w:trHeight w:val="202"/>
        </w:trPr>
        <w:tc>
          <w:tcPr>
            <w:tcW w:w="2020" w:type="dxa"/>
            <w:vAlign w:val="bottom"/>
            <w:shd w:val="clear" w:color="auto" w:fill="525252"/>
          </w:tcPr>
          <w:p>
            <w:pPr>
              <w:ind w:left="40"/>
              <w:spacing w:after="0"/>
              <w:rPr>
                <w:sz w:val="20"/>
                <w:szCs w:val="20"/>
                <w:color w:val="auto"/>
              </w:rPr>
            </w:pPr>
            <w:r>
              <w:rPr>
                <w:rFonts w:ascii="Arial" w:cs="Arial" w:eastAsia="Arial" w:hAnsi="Arial"/>
                <w:sz w:val="14"/>
                <w:szCs w:val="14"/>
                <w:b w:val="1"/>
                <w:bCs w:val="1"/>
                <w:color w:val="FFFFFF"/>
              </w:rPr>
              <w:t>Named Executive</w:t>
            </w:r>
          </w:p>
        </w:tc>
        <w:tc>
          <w:tcPr>
            <w:tcW w:w="2080" w:type="dxa"/>
            <w:vAlign w:val="bottom"/>
            <w:shd w:val="clear" w:color="auto" w:fill="525252"/>
          </w:tcPr>
          <w:p>
            <w:pPr>
              <w:jc w:val="center"/>
              <w:ind w:left="115"/>
              <w:spacing w:after="0"/>
              <w:rPr>
                <w:sz w:val="20"/>
                <w:szCs w:val="20"/>
                <w:color w:val="auto"/>
              </w:rPr>
            </w:pPr>
            <w:r>
              <w:rPr>
                <w:rFonts w:ascii="Arial" w:cs="Arial" w:eastAsia="Arial" w:hAnsi="Arial"/>
                <w:sz w:val="14"/>
                <w:szCs w:val="14"/>
                <w:b w:val="1"/>
                <w:bCs w:val="1"/>
                <w:color w:val="FFFFFF"/>
              </w:rPr>
              <w:t>(% of Salary)</w:t>
            </w:r>
          </w:p>
        </w:tc>
      </w:tr>
      <w:tr>
        <w:trPr>
          <w:trHeight w:val="263"/>
        </w:trPr>
        <w:tc>
          <w:tcPr>
            <w:tcW w:w="2020" w:type="dxa"/>
            <w:vAlign w:val="bottom"/>
          </w:tcPr>
          <w:p>
            <w:pPr>
              <w:ind w:left="40"/>
              <w:spacing w:after="0"/>
              <w:rPr>
                <w:sz w:val="20"/>
                <w:szCs w:val="20"/>
                <w:color w:val="auto"/>
              </w:rPr>
            </w:pPr>
            <w:r>
              <w:rPr>
                <w:rFonts w:ascii="Arial" w:cs="Arial" w:eastAsia="Arial" w:hAnsi="Arial"/>
                <w:sz w:val="18"/>
                <w:szCs w:val="18"/>
                <w:color w:val="auto"/>
              </w:rPr>
              <w:t>Rex D. Geveden</w:t>
            </w:r>
          </w:p>
        </w:tc>
        <w:tc>
          <w:tcPr>
            <w:tcW w:w="2080" w:type="dxa"/>
            <w:vAlign w:val="bottom"/>
          </w:tcPr>
          <w:p>
            <w:pPr>
              <w:jc w:val="center"/>
              <w:ind w:left="115"/>
              <w:spacing w:after="0"/>
              <w:rPr>
                <w:sz w:val="20"/>
                <w:szCs w:val="20"/>
                <w:color w:val="auto"/>
              </w:rPr>
            </w:pPr>
            <w:r>
              <w:rPr>
                <w:rFonts w:ascii="Arial" w:cs="Arial" w:eastAsia="Arial" w:hAnsi="Arial"/>
                <w:sz w:val="18"/>
                <w:szCs w:val="18"/>
                <w:color w:val="auto"/>
                <w:w w:val="99"/>
              </w:rPr>
              <w:t>90%</w:t>
            </w:r>
          </w:p>
        </w:tc>
      </w:tr>
      <w:tr>
        <w:trPr>
          <w:trHeight w:val="277"/>
        </w:trPr>
        <w:tc>
          <w:tcPr>
            <w:tcW w:w="2020" w:type="dxa"/>
            <w:vAlign w:val="bottom"/>
            <w:shd w:val="clear" w:color="auto" w:fill="E5E5E5"/>
          </w:tcPr>
          <w:p>
            <w:pPr>
              <w:ind w:left="40"/>
              <w:spacing w:after="0"/>
              <w:rPr>
                <w:sz w:val="20"/>
                <w:szCs w:val="20"/>
                <w:color w:val="auto"/>
              </w:rPr>
            </w:pPr>
            <w:r>
              <w:rPr>
                <w:rFonts w:ascii="Arial" w:cs="Arial" w:eastAsia="Arial" w:hAnsi="Arial"/>
                <w:sz w:val="18"/>
                <w:szCs w:val="18"/>
                <w:color w:val="auto"/>
              </w:rPr>
              <w:t>David S. Black</w:t>
            </w:r>
          </w:p>
        </w:tc>
        <w:tc>
          <w:tcPr>
            <w:tcW w:w="2080" w:type="dxa"/>
            <w:vAlign w:val="bottom"/>
            <w:shd w:val="clear" w:color="auto" w:fill="E5E5E5"/>
          </w:tcPr>
          <w:p>
            <w:pPr>
              <w:jc w:val="center"/>
              <w:ind w:left="115"/>
              <w:spacing w:after="0"/>
              <w:rPr>
                <w:sz w:val="20"/>
                <w:szCs w:val="20"/>
                <w:color w:val="auto"/>
              </w:rPr>
            </w:pPr>
            <w:r>
              <w:rPr>
                <w:rFonts w:ascii="Arial" w:cs="Arial" w:eastAsia="Arial" w:hAnsi="Arial"/>
                <w:sz w:val="18"/>
                <w:szCs w:val="18"/>
                <w:color w:val="auto"/>
                <w:w w:val="99"/>
              </w:rPr>
              <w:t>60%</w:t>
            </w:r>
          </w:p>
        </w:tc>
      </w:tr>
      <w:tr>
        <w:trPr>
          <w:trHeight w:val="263"/>
        </w:trPr>
        <w:tc>
          <w:tcPr>
            <w:tcW w:w="2020" w:type="dxa"/>
            <w:vAlign w:val="bottom"/>
          </w:tcPr>
          <w:p>
            <w:pPr>
              <w:ind w:left="40"/>
              <w:spacing w:after="0"/>
              <w:rPr>
                <w:sz w:val="20"/>
                <w:szCs w:val="20"/>
                <w:color w:val="auto"/>
              </w:rPr>
            </w:pPr>
            <w:r>
              <w:rPr>
                <w:rFonts w:ascii="Arial" w:cs="Arial" w:eastAsia="Arial" w:hAnsi="Arial"/>
                <w:sz w:val="18"/>
                <w:szCs w:val="18"/>
                <w:color w:val="auto"/>
              </w:rPr>
              <w:t>John A. Fees</w:t>
            </w:r>
          </w:p>
        </w:tc>
        <w:tc>
          <w:tcPr>
            <w:tcW w:w="2080" w:type="dxa"/>
            <w:vAlign w:val="bottom"/>
          </w:tcPr>
          <w:p>
            <w:pPr>
              <w:jc w:val="center"/>
              <w:ind w:left="115"/>
              <w:spacing w:after="0"/>
              <w:rPr>
                <w:sz w:val="20"/>
                <w:szCs w:val="20"/>
                <w:color w:val="auto"/>
              </w:rPr>
            </w:pPr>
            <w:r>
              <w:rPr>
                <w:rFonts w:ascii="Arial" w:cs="Arial" w:eastAsia="Arial" w:hAnsi="Arial"/>
                <w:sz w:val="18"/>
                <w:szCs w:val="18"/>
                <w:color w:val="auto"/>
                <w:w w:val="99"/>
              </w:rPr>
              <w:t>75%</w:t>
            </w:r>
          </w:p>
        </w:tc>
      </w:tr>
      <w:tr>
        <w:trPr>
          <w:trHeight w:val="277"/>
        </w:trPr>
        <w:tc>
          <w:tcPr>
            <w:tcW w:w="2020" w:type="dxa"/>
            <w:vAlign w:val="bottom"/>
            <w:shd w:val="clear" w:color="auto" w:fill="E5E5E5"/>
          </w:tcPr>
          <w:p>
            <w:pPr>
              <w:ind w:left="40"/>
              <w:spacing w:after="0"/>
              <w:rPr>
                <w:sz w:val="20"/>
                <w:szCs w:val="20"/>
                <w:color w:val="auto"/>
              </w:rPr>
            </w:pPr>
            <w:r>
              <w:rPr>
                <w:rFonts w:ascii="Arial" w:cs="Arial" w:eastAsia="Arial" w:hAnsi="Arial"/>
                <w:sz w:val="18"/>
                <w:szCs w:val="18"/>
                <w:color w:val="auto"/>
              </w:rPr>
              <w:t>James D. Canafax</w:t>
            </w:r>
          </w:p>
        </w:tc>
        <w:tc>
          <w:tcPr>
            <w:tcW w:w="2080" w:type="dxa"/>
            <w:vAlign w:val="bottom"/>
            <w:shd w:val="clear" w:color="auto" w:fill="E5E5E5"/>
          </w:tcPr>
          <w:p>
            <w:pPr>
              <w:jc w:val="center"/>
              <w:ind w:left="115"/>
              <w:spacing w:after="0"/>
              <w:rPr>
                <w:sz w:val="20"/>
                <w:szCs w:val="20"/>
                <w:color w:val="auto"/>
              </w:rPr>
            </w:pPr>
            <w:r>
              <w:rPr>
                <w:rFonts w:ascii="Arial" w:cs="Arial" w:eastAsia="Arial" w:hAnsi="Arial"/>
                <w:sz w:val="18"/>
                <w:szCs w:val="18"/>
                <w:color w:val="auto"/>
                <w:w w:val="99"/>
              </w:rPr>
              <w:t>60%</w:t>
            </w:r>
          </w:p>
        </w:tc>
      </w:tr>
      <w:tr>
        <w:trPr>
          <w:trHeight w:val="257"/>
        </w:trPr>
        <w:tc>
          <w:tcPr>
            <w:tcW w:w="2020" w:type="dxa"/>
            <w:vAlign w:val="bottom"/>
          </w:tcPr>
          <w:p>
            <w:pPr>
              <w:ind w:left="40"/>
              <w:spacing w:after="0"/>
              <w:rPr>
                <w:sz w:val="20"/>
                <w:szCs w:val="20"/>
                <w:color w:val="auto"/>
              </w:rPr>
            </w:pPr>
            <w:r>
              <w:rPr>
                <w:rFonts w:ascii="Arial" w:cs="Arial" w:eastAsia="Arial" w:hAnsi="Arial"/>
                <w:sz w:val="18"/>
                <w:szCs w:val="18"/>
                <w:color w:val="auto"/>
              </w:rPr>
              <w:t>Joseph G. Henry</w:t>
            </w:r>
          </w:p>
        </w:tc>
        <w:tc>
          <w:tcPr>
            <w:tcW w:w="2080" w:type="dxa"/>
            <w:vAlign w:val="bottom"/>
          </w:tcPr>
          <w:p>
            <w:pPr>
              <w:jc w:val="center"/>
              <w:ind w:left="115"/>
              <w:spacing w:after="0"/>
              <w:rPr>
                <w:sz w:val="20"/>
                <w:szCs w:val="20"/>
                <w:color w:val="auto"/>
              </w:rPr>
            </w:pPr>
            <w:r>
              <w:rPr>
                <w:rFonts w:ascii="Arial" w:cs="Arial" w:eastAsia="Arial" w:hAnsi="Arial"/>
                <w:sz w:val="18"/>
                <w:szCs w:val="18"/>
                <w:color w:val="auto"/>
                <w:w w:val="99"/>
              </w:rPr>
              <w:t>60%</w:t>
            </w:r>
          </w:p>
        </w:tc>
      </w:tr>
    </w:tbl>
    <w:p>
      <w:pPr>
        <w:spacing w:after="0" w:line="229"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amounts reflected in the “target” column of the “Grants of Plan Based Awards” table represent the value of the payout opportunity under the EICP at target financial performance levels. All threshold, target and maximum</w:t>
      </w:r>
    </w:p>
    <w:p>
      <w:pPr>
        <w:spacing w:after="0" w:line="224" w:lineRule="exact"/>
        <w:rPr>
          <w:sz w:val="20"/>
          <w:szCs w:val="20"/>
          <w:color w:val="auto"/>
        </w:rPr>
      </w:pPr>
    </w:p>
    <w:p>
      <w:pPr>
        <w:jc w:val="right"/>
        <w:spacing w:after="0"/>
        <w:rPr>
          <w:sz w:val="20"/>
          <w:szCs w:val="20"/>
          <w:color w:val="auto"/>
        </w:rPr>
      </w:pPr>
      <w:r>
        <w:rPr>
          <w:sz w:val="1"/>
          <w:szCs w:val="1"/>
          <w:color w:val="auto"/>
        </w:rPr>
        <w:drawing>
          <wp:inline distT="0" distB="0" distL="0" distR="0">
            <wp:extent cx="488950" cy="20574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88950" cy="205740"/>
                    </a:xfrm>
                    <a:prstGeom prst="rect">
                      <a:avLst/>
                    </a:prstGeom>
                    <a:noFill/>
                    <a:ln>
                      <a:noFill/>
                    </a:ln>
                  </pic:spPr>
                </pic:pic>
              </a:graphicData>
            </a:graphic>
          </wp:inline>
        </w:drawing>
      </w:r>
      <w:r>
        <w:rPr>
          <w:rFonts w:ascii="Arial" w:cs="Arial" w:eastAsia="Arial" w:hAnsi="Arial"/>
          <w:sz w:val="18"/>
          <w:szCs w:val="18"/>
          <w:color w:val="auto"/>
        </w:rPr>
        <w:t xml:space="preserve"> 2018 PROXY STATEMENT </w:t>
      </w:r>
      <w:r>
        <w:rPr>
          <w:rFonts w:ascii="Arial" w:cs="Arial" w:eastAsia="Arial" w:hAnsi="Arial"/>
          <w:sz w:val="18"/>
          <w:szCs w:val="18"/>
          <w:b w:val="1"/>
          <w:bCs w:val="1"/>
          <w:color w:val="2C2C2C"/>
        </w:rPr>
        <w:t>43</w:t>
      </w:r>
    </w:p>
    <w:p>
      <w:pPr>
        <w:sectPr>
          <w:pgSz w:w="11900" w:h="16838" w:orient="portrait"/>
          <w:cols w:equalWidth="0" w:num="1">
            <w:col w:w="11420"/>
          </w:cols>
          <w:pgMar w:left="240" w:top="125" w:right="239" w:bottom="1440" w:gutter="0" w:footer="0" w:header="0"/>
        </w:sectPr>
      </w:pPr>
    </w:p>
    <w:bookmarkStart w:id="52" w:name="page53"/>
    <w:bookmarkEnd w:id="52"/>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7240"/>
        <w:spacing w:after="0"/>
        <w:rPr>
          <w:sz w:val="20"/>
          <w:szCs w:val="20"/>
          <w:color w:val="auto"/>
        </w:rPr>
      </w:pPr>
      <w:r>
        <w:rPr>
          <w:rFonts w:ascii="Arial" w:cs="Arial" w:eastAsia="Arial" w:hAnsi="Arial"/>
          <w:sz w:val="14"/>
          <w:szCs w:val="14"/>
          <w:color w:val="auto"/>
        </w:rPr>
        <w:t>COMPENSATION OF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ind w:right="640"/>
        <w:spacing w:after="0" w:line="256" w:lineRule="auto"/>
        <w:rPr>
          <w:sz w:val="20"/>
          <w:szCs w:val="20"/>
          <w:color w:val="auto"/>
        </w:rPr>
      </w:pPr>
      <w:r>
        <w:rPr>
          <w:rFonts w:ascii="Arial" w:cs="Arial" w:eastAsia="Arial" w:hAnsi="Arial"/>
          <w:sz w:val="18"/>
          <w:szCs w:val="18"/>
          <w:color w:val="auto"/>
        </w:rPr>
        <w:t>amounts reported in the table above assume that our Compensation Committee exercises no discretion over the annual incentive compensation award ultimately paid. See “Compensation Discussion and Analysis — Compensation Analysis and Outcomes — Annual Incentive Compensation” above for more information about the 2017 EICP awards and performance goals.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Estimated Future Payouts Under Equity Incentive Plan Awards</w:t>
      </w:r>
    </w:p>
    <w:p>
      <w:pPr>
        <w:spacing w:after="0" w:line="11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amounts shown reflect the threshold, target and maximum payout opportunities of performance restricted stock units granted in 2017 under the 2010 LTIP. Each grant represents a right to receive one share of BWXT common stock if performance targets are met. Upon vesting, the performance restricted stock units are settled into shares of BWXT common stock. The amount of performance restricted stock units that vest, if any, is determined based (1) 50% on the average annual ROIC during the three-year performance period and (2) 50% on the Company’s cumulative earnings per share during the same period. We withhold a portion of these shares to satisfy the minimum statutory withholding tax for each Named Executive due on vesting. The amounts shown in the “target” column represent the number of performance shares that will vest, which is 100% of the amount granted, if the target levels of average annual ROIC and cumulative earnings per share. The amounts shown in the “maximum” column represent the number of performance shares that will vest, which is 200% of the amount granted, if the maximum level of average annual ROIC and cumulative earnings per share are attained. The amounts shown in the “threshold” column represent the minimum number of performance shares that will vest, which is 50% of the amount granted, if the threshold level of average annual ROIC and cumulative earnings per share are attained. No amount of performance shares will vest if the levels of both such performance metrics are less than the threshold performance level. See “Compensation Discussion and Analysis — Compensation Analysis — Long-Term Incentive Compensation” above for more information regarding the 2017 performance shares.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 Stock Awards</w:t>
      </w:r>
    </w:p>
    <w:p>
      <w:pPr>
        <w:spacing w:after="0" w:line="112"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The amounts shown reflect 2017 grants of restricted stock units under our 2010 LTIP. Each restricted stock unit represents the right to receive one share of Company common stock and is generally scheduled to vest one-third each year beginning on the first anniversary of the date of grant. Upon vesting, the restricted stock units are settled into shares of Company common stock. We withhold a portion of these shares to satisfy the minimum statutory withholding tax for each Named Executive due on vesting. See “Compensation Discussion and Analysis — Compensation Analysis and Outcomes — Long-Term Incentive Compensation” for more information regarding the 2016 restricted stock units.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Date Fair Value of Stock Awards</w:t>
      </w:r>
    </w:p>
    <w:p>
      <w:pPr>
        <w:spacing w:after="0" w:line="11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amounts included in the “Grant Date Fair Value of Stock Awards” column for each Named Executive represent the full grant date fair values of the equity awards computed in accordance with FASB ASC Topic 718. Under FASB ASC Topic 718, the fair value of equity awards is determined using the closing price of our common stock on the date of grant for restricted stock units. For more information regarding the compensation expense related to 2017 awards, see Note 9 to our consolidated financial statements included in our annual report on Form 10-K for the year ended December 31, 2017. The values for performance restricted stock units are based on our Named Executives attaining target performance levels.</w:t>
      </w:r>
    </w:p>
    <w:p>
      <w:pPr>
        <w:spacing w:after="0" w:line="7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For the December 14, 2017 stock awards for Mr. Fees, the amounts reported in the "Grant Date Fair Value of Stock Awards" column and the stock awards reported in the "All Other Stock Awards" column represent the aggregate incremental fair value, computed in accordance with FASB Topic 718, of the modification of Mr. Fees' unvested performance restricted stock units granted prior to 2017 pursuant to the terms of his Transition Agreement. For more information on the modifications to Mr. Fees' stock awards, see "Transition of Executive Chairman" on page 36 of this proxy statement.</w:t>
      </w:r>
    </w:p>
    <w:p>
      <w:pPr>
        <w:spacing w:after="0" w:line="7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amounts reported in the “Grant Date Fair Value of Stock Awards” column for restricted stock unit awards do not factor in the value of dividend equivalents credited to each unvested restricted stock unit as a result of dividends on stock declared by our company in 2017. For more information on the value of dividend equivalents credited to our Named Executives’ unvested restricted stock unit awards, see “All Other Compensation” under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2C2C2C"/>
        </w:rPr>
        <w:t xml:space="preserve">44 </w:t>
      </w:r>
      <w:r>
        <w:rPr>
          <w:sz w:val="1"/>
          <w:szCs w:val="1"/>
          <w:color w:val="auto"/>
        </w:rPr>
        <w:drawing>
          <wp:inline distT="0" distB="0" distL="0" distR="0">
            <wp:extent cx="445770" cy="18034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45770" cy="180340"/>
                    </a:xfrm>
                    <a:prstGeom prst="rect">
                      <a:avLst/>
                    </a:prstGeom>
                    <a:noFill/>
                    <a:ln>
                      <a:noFill/>
                    </a:ln>
                  </pic:spPr>
                </pic:pic>
              </a:graphicData>
            </a:graphic>
          </wp:inline>
        </w:drawing>
      </w:r>
      <w:r>
        <w:rPr>
          <w:rFonts w:ascii="Arial" w:cs="Arial" w:eastAsia="Arial" w:hAnsi="Arial"/>
          <w:sz w:val="18"/>
          <w:szCs w:val="18"/>
          <w:color w:val="auto"/>
        </w:rPr>
        <w:t xml:space="preserve"> 2018 PROXY STATEMENT</w:t>
      </w:r>
    </w:p>
    <w:p>
      <w:pPr>
        <w:sectPr>
          <w:pgSz w:w="11900" w:h="16838" w:orient="portrait"/>
          <w:cols w:equalWidth="0" w:num="1">
            <w:col w:w="11420"/>
          </w:cols>
          <w:pgMar w:left="240" w:top="125" w:right="239" w:bottom="1440" w:gutter="0" w:footer="0" w:header="0"/>
        </w:sectPr>
      </w:pPr>
    </w:p>
    <w:bookmarkStart w:id="53" w:name="page54"/>
    <w:bookmarkEnd w:id="53"/>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left="960"/>
        <w:spacing w:after="0"/>
        <w:rPr>
          <w:sz w:val="20"/>
          <w:szCs w:val="20"/>
          <w:color w:val="auto"/>
        </w:rPr>
      </w:pPr>
      <w:r>
        <w:rPr>
          <w:rFonts w:ascii="Arial" w:cs="Arial" w:eastAsia="Arial" w:hAnsi="Arial"/>
          <w:sz w:val="14"/>
          <w:szCs w:val="14"/>
          <w:color w:val="auto"/>
        </w:rPr>
        <w:t>COMPENSATION OF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OUTSTANDING EQUITY AWARDS AT FISCAL YEAR-END 2017</w:t>
      </w:r>
    </w:p>
    <w:p>
      <w:pPr>
        <w:spacing w:after="0" w:line="10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following Outstanding Equity Awards at Fiscal Year-End table summarizes the equity awards we have made to our Named Executives that were outstanding as of December 31, 2017.</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220" w:type="dxa"/>
            <w:vAlign w:val="bottom"/>
            <w:shd w:val="clear" w:color="auto" w:fill="525252"/>
          </w:tcPr>
          <w:p>
            <w:pPr>
              <w:spacing w:after="0"/>
              <w:rPr>
                <w:sz w:val="21"/>
                <w:szCs w:val="21"/>
                <w:color w:val="auto"/>
              </w:rPr>
            </w:pPr>
          </w:p>
        </w:tc>
        <w:tc>
          <w:tcPr>
            <w:tcW w:w="120" w:type="dxa"/>
            <w:vAlign w:val="bottom"/>
            <w:shd w:val="clear" w:color="auto" w:fill="525252"/>
          </w:tcPr>
          <w:p>
            <w:pPr>
              <w:spacing w:after="0"/>
              <w:rPr>
                <w:sz w:val="21"/>
                <w:szCs w:val="21"/>
                <w:color w:val="auto"/>
              </w:rPr>
            </w:pPr>
          </w:p>
        </w:tc>
        <w:tc>
          <w:tcPr>
            <w:tcW w:w="880" w:type="dxa"/>
            <w:vAlign w:val="bottom"/>
            <w:shd w:val="clear" w:color="auto" w:fill="525252"/>
          </w:tcPr>
          <w:p>
            <w:pPr>
              <w:spacing w:after="0"/>
              <w:rPr>
                <w:sz w:val="21"/>
                <w:szCs w:val="21"/>
                <w:color w:val="auto"/>
              </w:rPr>
            </w:pPr>
          </w:p>
        </w:tc>
        <w:tc>
          <w:tcPr>
            <w:tcW w:w="120" w:type="dxa"/>
            <w:vAlign w:val="bottom"/>
            <w:shd w:val="clear" w:color="auto" w:fill="525252"/>
          </w:tcPr>
          <w:p>
            <w:pPr>
              <w:spacing w:after="0"/>
              <w:rPr>
                <w:sz w:val="21"/>
                <w:szCs w:val="21"/>
                <w:color w:val="auto"/>
              </w:rPr>
            </w:pPr>
          </w:p>
        </w:tc>
        <w:tc>
          <w:tcPr>
            <w:tcW w:w="1000" w:type="dxa"/>
            <w:vAlign w:val="bottom"/>
            <w:shd w:val="clear" w:color="auto" w:fill="525252"/>
          </w:tcPr>
          <w:p>
            <w:pPr>
              <w:spacing w:after="0"/>
              <w:rPr>
                <w:sz w:val="21"/>
                <w:szCs w:val="21"/>
                <w:color w:val="auto"/>
              </w:rPr>
            </w:pPr>
          </w:p>
        </w:tc>
        <w:tc>
          <w:tcPr>
            <w:tcW w:w="1580" w:type="dxa"/>
            <w:vAlign w:val="bottom"/>
            <w:gridSpan w:val="3"/>
            <w:shd w:val="clear" w:color="auto" w:fill="525252"/>
          </w:tcPr>
          <w:p>
            <w:pPr>
              <w:jc w:val="center"/>
              <w:ind w:left="583"/>
              <w:spacing w:after="0"/>
              <w:rPr>
                <w:sz w:val="20"/>
                <w:szCs w:val="20"/>
                <w:color w:val="auto"/>
              </w:rPr>
            </w:pPr>
            <w:r>
              <w:rPr>
                <w:rFonts w:ascii="Arial" w:cs="Arial" w:eastAsia="Arial" w:hAnsi="Arial"/>
                <w:sz w:val="11"/>
                <w:szCs w:val="11"/>
                <w:b w:val="1"/>
                <w:bCs w:val="1"/>
                <w:color w:val="FFFFFF"/>
                <w:w w:val="99"/>
              </w:rPr>
              <w:t>Option Awards</w:t>
            </w:r>
            <w:r>
              <w:rPr>
                <w:rFonts w:ascii="Arial" w:cs="Arial" w:eastAsia="Arial" w:hAnsi="Arial"/>
                <w:sz w:val="7"/>
                <w:szCs w:val="7"/>
                <w:b w:val="1"/>
                <w:bCs w:val="1"/>
                <w:color w:val="FFFFFF"/>
                <w:w w:val="99"/>
              </w:rPr>
              <w:t>(1)</w:t>
            </w:r>
          </w:p>
        </w:tc>
        <w:tc>
          <w:tcPr>
            <w:tcW w:w="640" w:type="dxa"/>
            <w:vAlign w:val="bottom"/>
            <w:shd w:val="clear" w:color="auto" w:fill="525252"/>
          </w:tcPr>
          <w:p>
            <w:pPr>
              <w:spacing w:after="0"/>
              <w:rPr>
                <w:sz w:val="21"/>
                <w:szCs w:val="21"/>
                <w:color w:val="auto"/>
              </w:rPr>
            </w:pPr>
          </w:p>
        </w:tc>
        <w:tc>
          <w:tcPr>
            <w:tcW w:w="1180" w:type="dxa"/>
            <w:vAlign w:val="bottom"/>
            <w:shd w:val="clear" w:color="auto" w:fill="525252"/>
          </w:tcPr>
          <w:p>
            <w:pPr>
              <w:spacing w:after="0"/>
              <w:rPr>
                <w:sz w:val="21"/>
                <w:szCs w:val="21"/>
                <w:color w:val="auto"/>
              </w:rPr>
            </w:pPr>
          </w:p>
        </w:tc>
        <w:tc>
          <w:tcPr>
            <w:tcW w:w="780" w:type="dxa"/>
            <w:vAlign w:val="bottom"/>
            <w:shd w:val="clear" w:color="auto" w:fill="525252"/>
          </w:tcPr>
          <w:p>
            <w:pPr>
              <w:spacing w:after="0"/>
              <w:rPr>
                <w:sz w:val="21"/>
                <w:szCs w:val="21"/>
                <w:color w:val="auto"/>
              </w:rPr>
            </w:pPr>
          </w:p>
        </w:tc>
        <w:tc>
          <w:tcPr>
            <w:tcW w:w="420" w:type="dxa"/>
            <w:vAlign w:val="bottom"/>
            <w:shd w:val="clear" w:color="auto" w:fill="525252"/>
          </w:tcPr>
          <w:p>
            <w:pPr>
              <w:spacing w:after="0"/>
              <w:rPr>
                <w:sz w:val="21"/>
                <w:szCs w:val="21"/>
                <w:color w:val="auto"/>
              </w:rPr>
            </w:pPr>
          </w:p>
        </w:tc>
        <w:tc>
          <w:tcPr>
            <w:tcW w:w="1720" w:type="dxa"/>
            <w:vAlign w:val="bottom"/>
            <w:gridSpan w:val="3"/>
            <w:shd w:val="clear" w:color="auto" w:fill="525252"/>
          </w:tcPr>
          <w:p>
            <w:pPr>
              <w:jc w:val="right"/>
              <w:ind w:right="380"/>
              <w:spacing w:after="0"/>
              <w:rPr>
                <w:sz w:val="20"/>
                <w:szCs w:val="20"/>
                <w:color w:val="auto"/>
              </w:rPr>
            </w:pPr>
            <w:r>
              <w:rPr>
                <w:rFonts w:ascii="Arial" w:cs="Arial" w:eastAsia="Arial" w:hAnsi="Arial"/>
                <w:sz w:val="11"/>
                <w:szCs w:val="11"/>
                <w:b w:val="1"/>
                <w:bCs w:val="1"/>
                <w:color w:val="FFFFFF"/>
              </w:rPr>
              <w:t>Stock Awards</w:t>
            </w:r>
            <w:r>
              <w:rPr>
                <w:rFonts w:ascii="Arial" w:cs="Arial" w:eastAsia="Arial" w:hAnsi="Arial"/>
                <w:sz w:val="7"/>
                <w:szCs w:val="7"/>
                <w:b w:val="1"/>
                <w:bCs w:val="1"/>
                <w:color w:val="FFFFFF"/>
              </w:rPr>
              <w:t>(2)</w:t>
            </w:r>
          </w:p>
        </w:tc>
        <w:tc>
          <w:tcPr>
            <w:tcW w:w="320" w:type="dxa"/>
            <w:vAlign w:val="bottom"/>
            <w:shd w:val="clear" w:color="auto" w:fill="525252"/>
          </w:tcPr>
          <w:p>
            <w:pPr>
              <w:spacing w:after="0"/>
              <w:rPr>
                <w:sz w:val="21"/>
                <w:szCs w:val="21"/>
                <w:color w:val="auto"/>
              </w:rPr>
            </w:pPr>
          </w:p>
        </w:tc>
        <w:tc>
          <w:tcPr>
            <w:tcW w:w="120" w:type="dxa"/>
            <w:vAlign w:val="bottom"/>
            <w:shd w:val="clear" w:color="auto" w:fill="525252"/>
          </w:tcPr>
          <w:p>
            <w:pPr>
              <w:spacing w:after="0"/>
              <w:rPr>
                <w:sz w:val="21"/>
                <w:szCs w:val="21"/>
                <w:color w:val="auto"/>
              </w:rPr>
            </w:pPr>
          </w:p>
        </w:tc>
        <w:tc>
          <w:tcPr>
            <w:tcW w:w="860" w:type="dxa"/>
            <w:vAlign w:val="bottom"/>
            <w:shd w:val="clear" w:color="auto" w:fill="525252"/>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220" w:type="dxa"/>
            <w:vAlign w:val="bottom"/>
            <w:shd w:val="clear" w:color="auto" w:fill="525252"/>
          </w:tcPr>
          <w:p>
            <w:pPr>
              <w:spacing w:after="0"/>
              <w:rPr>
                <w:sz w:val="14"/>
                <w:szCs w:val="14"/>
                <w:color w:val="auto"/>
              </w:rPr>
            </w:pPr>
          </w:p>
        </w:tc>
        <w:tc>
          <w:tcPr>
            <w:tcW w:w="120" w:type="dxa"/>
            <w:vAlign w:val="bottom"/>
            <w:shd w:val="clear" w:color="auto" w:fill="525252"/>
          </w:tcPr>
          <w:p>
            <w:pPr>
              <w:spacing w:after="0"/>
              <w:rPr>
                <w:sz w:val="14"/>
                <w:szCs w:val="14"/>
                <w:color w:val="auto"/>
              </w:rPr>
            </w:pPr>
          </w:p>
        </w:tc>
        <w:tc>
          <w:tcPr>
            <w:tcW w:w="880" w:type="dxa"/>
            <w:vAlign w:val="bottom"/>
            <w:shd w:val="clear" w:color="auto" w:fill="525252"/>
          </w:tcPr>
          <w:p>
            <w:pPr>
              <w:spacing w:after="0"/>
              <w:rPr>
                <w:sz w:val="14"/>
                <w:szCs w:val="14"/>
                <w:color w:val="auto"/>
              </w:rPr>
            </w:pPr>
          </w:p>
        </w:tc>
        <w:tc>
          <w:tcPr>
            <w:tcW w:w="120" w:type="dxa"/>
            <w:vAlign w:val="bottom"/>
            <w:shd w:val="clear" w:color="auto" w:fill="525252"/>
          </w:tcPr>
          <w:p>
            <w:pPr>
              <w:spacing w:after="0"/>
              <w:rPr>
                <w:sz w:val="14"/>
                <w:szCs w:val="14"/>
                <w:color w:val="auto"/>
              </w:rPr>
            </w:pPr>
          </w:p>
        </w:tc>
        <w:tc>
          <w:tcPr>
            <w:tcW w:w="1000" w:type="dxa"/>
            <w:vAlign w:val="bottom"/>
            <w:shd w:val="clear" w:color="auto" w:fill="525252"/>
          </w:tcPr>
          <w:p>
            <w:pPr>
              <w:spacing w:after="0"/>
              <w:rPr>
                <w:sz w:val="14"/>
                <w:szCs w:val="14"/>
                <w:color w:val="auto"/>
              </w:rPr>
            </w:pPr>
          </w:p>
        </w:tc>
        <w:tc>
          <w:tcPr>
            <w:tcW w:w="1040" w:type="dxa"/>
            <w:vAlign w:val="bottom"/>
            <w:shd w:val="clear" w:color="auto" w:fill="525252"/>
          </w:tcPr>
          <w:p>
            <w:pPr>
              <w:spacing w:after="0"/>
              <w:rPr>
                <w:sz w:val="14"/>
                <w:szCs w:val="14"/>
                <w:color w:val="auto"/>
              </w:rPr>
            </w:pPr>
          </w:p>
        </w:tc>
        <w:tc>
          <w:tcPr>
            <w:tcW w:w="320" w:type="dxa"/>
            <w:vAlign w:val="bottom"/>
            <w:shd w:val="clear" w:color="auto" w:fill="525252"/>
          </w:tcPr>
          <w:p>
            <w:pPr>
              <w:spacing w:after="0"/>
              <w:rPr>
                <w:sz w:val="14"/>
                <w:szCs w:val="14"/>
                <w:color w:val="auto"/>
              </w:rPr>
            </w:pPr>
          </w:p>
        </w:tc>
        <w:tc>
          <w:tcPr>
            <w:tcW w:w="220" w:type="dxa"/>
            <w:vAlign w:val="bottom"/>
            <w:shd w:val="clear" w:color="auto" w:fill="525252"/>
          </w:tcPr>
          <w:p>
            <w:pPr>
              <w:spacing w:after="0"/>
              <w:rPr>
                <w:sz w:val="14"/>
                <w:szCs w:val="14"/>
                <w:color w:val="auto"/>
              </w:rPr>
            </w:pPr>
          </w:p>
        </w:tc>
        <w:tc>
          <w:tcPr>
            <w:tcW w:w="640" w:type="dxa"/>
            <w:vAlign w:val="bottom"/>
            <w:shd w:val="clear" w:color="auto" w:fill="525252"/>
          </w:tcPr>
          <w:p>
            <w:pPr>
              <w:spacing w:after="0"/>
              <w:rPr>
                <w:sz w:val="14"/>
                <w:szCs w:val="14"/>
                <w:color w:val="auto"/>
              </w:rPr>
            </w:pPr>
          </w:p>
        </w:tc>
        <w:tc>
          <w:tcPr>
            <w:tcW w:w="1180" w:type="dxa"/>
            <w:vAlign w:val="bottom"/>
            <w:shd w:val="clear" w:color="auto" w:fill="525252"/>
          </w:tcPr>
          <w:p>
            <w:pPr>
              <w:spacing w:after="0"/>
              <w:rPr>
                <w:sz w:val="14"/>
                <w:szCs w:val="14"/>
                <w:color w:val="auto"/>
              </w:rPr>
            </w:pPr>
          </w:p>
        </w:tc>
        <w:tc>
          <w:tcPr>
            <w:tcW w:w="780" w:type="dxa"/>
            <w:vAlign w:val="bottom"/>
            <w:shd w:val="clear" w:color="auto" w:fill="525252"/>
          </w:tcPr>
          <w:p>
            <w:pPr>
              <w:spacing w:after="0"/>
              <w:rPr>
                <w:sz w:val="14"/>
                <w:szCs w:val="14"/>
                <w:color w:val="auto"/>
              </w:rPr>
            </w:pPr>
          </w:p>
        </w:tc>
        <w:tc>
          <w:tcPr>
            <w:tcW w:w="420" w:type="dxa"/>
            <w:vAlign w:val="bottom"/>
            <w:shd w:val="clear" w:color="auto" w:fill="525252"/>
          </w:tcPr>
          <w:p>
            <w:pPr>
              <w:spacing w:after="0"/>
              <w:rPr>
                <w:sz w:val="14"/>
                <w:szCs w:val="14"/>
                <w:color w:val="auto"/>
              </w:rPr>
            </w:pPr>
          </w:p>
        </w:tc>
        <w:tc>
          <w:tcPr>
            <w:tcW w:w="760" w:type="dxa"/>
            <w:vAlign w:val="bottom"/>
            <w:shd w:val="clear" w:color="auto" w:fill="525252"/>
          </w:tcPr>
          <w:p>
            <w:pPr>
              <w:spacing w:after="0"/>
              <w:rPr>
                <w:sz w:val="14"/>
                <w:szCs w:val="14"/>
                <w:color w:val="auto"/>
              </w:rPr>
            </w:pPr>
          </w:p>
        </w:tc>
        <w:tc>
          <w:tcPr>
            <w:tcW w:w="100" w:type="dxa"/>
            <w:vAlign w:val="bottom"/>
            <w:shd w:val="clear" w:color="auto" w:fill="525252"/>
          </w:tcPr>
          <w:p>
            <w:pPr>
              <w:spacing w:after="0"/>
              <w:rPr>
                <w:sz w:val="14"/>
                <w:szCs w:val="14"/>
                <w:color w:val="auto"/>
              </w:rPr>
            </w:pPr>
          </w:p>
        </w:tc>
        <w:tc>
          <w:tcPr>
            <w:tcW w:w="860" w:type="dxa"/>
            <w:vAlign w:val="bottom"/>
            <w:shd w:val="clear" w:color="auto" w:fill="525252"/>
          </w:tcPr>
          <w:p>
            <w:pPr>
              <w:spacing w:after="0"/>
              <w:rPr>
                <w:sz w:val="14"/>
                <w:szCs w:val="14"/>
                <w:color w:val="auto"/>
              </w:rPr>
            </w:pPr>
          </w:p>
        </w:tc>
        <w:tc>
          <w:tcPr>
            <w:tcW w:w="320" w:type="dxa"/>
            <w:vAlign w:val="bottom"/>
            <w:shd w:val="clear" w:color="auto" w:fill="525252"/>
          </w:tcPr>
          <w:p>
            <w:pPr>
              <w:spacing w:after="0"/>
              <w:rPr>
                <w:sz w:val="14"/>
                <w:szCs w:val="14"/>
                <w:color w:val="auto"/>
              </w:rPr>
            </w:pPr>
          </w:p>
        </w:tc>
        <w:tc>
          <w:tcPr>
            <w:tcW w:w="120" w:type="dxa"/>
            <w:vAlign w:val="bottom"/>
            <w:shd w:val="clear" w:color="auto" w:fill="525252"/>
          </w:tcPr>
          <w:p>
            <w:pPr>
              <w:spacing w:after="0"/>
              <w:rPr>
                <w:sz w:val="14"/>
                <w:szCs w:val="14"/>
                <w:color w:val="auto"/>
              </w:rPr>
            </w:pPr>
          </w:p>
        </w:tc>
        <w:tc>
          <w:tcPr>
            <w:tcW w:w="860" w:type="dxa"/>
            <w:vAlign w:val="bottom"/>
            <w:shd w:val="clear" w:color="auto" w:fill="525252"/>
          </w:tcPr>
          <w:p>
            <w:pPr>
              <w:jc w:val="center"/>
              <w:spacing w:after="0"/>
              <w:rPr>
                <w:sz w:val="20"/>
                <w:szCs w:val="20"/>
                <w:color w:val="auto"/>
              </w:rPr>
            </w:pPr>
            <w:r>
              <w:rPr>
                <w:rFonts w:ascii="Arial" w:cs="Arial" w:eastAsia="Arial" w:hAnsi="Arial"/>
                <w:sz w:val="11"/>
                <w:szCs w:val="11"/>
                <w:b w:val="1"/>
                <w:bCs w:val="1"/>
                <w:color w:val="FFFFFF"/>
              </w:rPr>
              <w:t>Equity</w:t>
            </w:r>
          </w:p>
        </w:tc>
        <w:tc>
          <w:tcPr>
            <w:tcW w:w="0" w:type="dxa"/>
            <w:vAlign w:val="bottom"/>
          </w:tcPr>
          <w:p>
            <w:pPr>
              <w:spacing w:after="0"/>
              <w:rPr>
                <w:sz w:val="1"/>
                <w:szCs w:val="1"/>
                <w:color w:val="auto"/>
              </w:rPr>
            </w:pPr>
          </w:p>
        </w:tc>
      </w:tr>
      <w:tr>
        <w:trPr>
          <w:trHeight w:val="122"/>
        </w:trPr>
        <w:tc>
          <w:tcPr>
            <w:tcW w:w="1220" w:type="dxa"/>
            <w:vAlign w:val="bottom"/>
            <w:shd w:val="clear" w:color="auto" w:fill="525252"/>
          </w:tcPr>
          <w:p>
            <w:pPr>
              <w:spacing w:after="0"/>
              <w:rPr>
                <w:sz w:val="10"/>
                <w:szCs w:val="10"/>
                <w:color w:val="auto"/>
              </w:rPr>
            </w:pPr>
          </w:p>
        </w:tc>
        <w:tc>
          <w:tcPr>
            <w:tcW w:w="120" w:type="dxa"/>
            <w:vAlign w:val="bottom"/>
            <w:shd w:val="clear" w:color="auto" w:fill="525252"/>
          </w:tcPr>
          <w:p>
            <w:pPr>
              <w:spacing w:after="0"/>
              <w:rPr>
                <w:sz w:val="10"/>
                <w:szCs w:val="10"/>
                <w:color w:val="auto"/>
              </w:rPr>
            </w:pPr>
          </w:p>
        </w:tc>
        <w:tc>
          <w:tcPr>
            <w:tcW w:w="880" w:type="dxa"/>
            <w:vAlign w:val="bottom"/>
            <w:shd w:val="clear" w:color="auto" w:fill="525252"/>
          </w:tcPr>
          <w:p>
            <w:pPr>
              <w:spacing w:after="0"/>
              <w:rPr>
                <w:sz w:val="10"/>
                <w:szCs w:val="10"/>
                <w:color w:val="auto"/>
              </w:rPr>
            </w:pPr>
          </w:p>
        </w:tc>
        <w:tc>
          <w:tcPr>
            <w:tcW w:w="120" w:type="dxa"/>
            <w:vAlign w:val="bottom"/>
            <w:shd w:val="clear" w:color="auto" w:fill="525252"/>
          </w:tcPr>
          <w:p>
            <w:pPr>
              <w:spacing w:after="0"/>
              <w:rPr>
                <w:sz w:val="10"/>
                <w:szCs w:val="10"/>
                <w:color w:val="auto"/>
              </w:rPr>
            </w:pPr>
          </w:p>
        </w:tc>
        <w:tc>
          <w:tcPr>
            <w:tcW w:w="1000" w:type="dxa"/>
            <w:vAlign w:val="bottom"/>
            <w:shd w:val="clear" w:color="auto" w:fill="525252"/>
          </w:tcPr>
          <w:p>
            <w:pPr>
              <w:spacing w:after="0"/>
              <w:rPr>
                <w:sz w:val="10"/>
                <w:szCs w:val="10"/>
                <w:color w:val="auto"/>
              </w:rPr>
            </w:pPr>
          </w:p>
        </w:tc>
        <w:tc>
          <w:tcPr>
            <w:tcW w:w="1040" w:type="dxa"/>
            <w:vAlign w:val="bottom"/>
            <w:shd w:val="clear" w:color="auto" w:fill="525252"/>
          </w:tcPr>
          <w:p>
            <w:pPr>
              <w:spacing w:after="0"/>
              <w:rPr>
                <w:sz w:val="10"/>
                <w:szCs w:val="10"/>
                <w:color w:val="auto"/>
              </w:rPr>
            </w:pPr>
          </w:p>
        </w:tc>
        <w:tc>
          <w:tcPr>
            <w:tcW w:w="320" w:type="dxa"/>
            <w:vAlign w:val="bottom"/>
            <w:shd w:val="clear" w:color="auto" w:fill="525252"/>
          </w:tcPr>
          <w:p>
            <w:pPr>
              <w:spacing w:after="0"/>
              <w:rPr>
                <w:sz w:val="10"/>
                <w:szCs w:val="10"/>
                <w:color w:val="auto"/>
              </w:rPr>
            </w:pPr>
          </w:p>
        </w:tc>
        <w:tc>
          <w:tcPr>
            <w:tcW w:w="220" w:type="dxa"/>
            <w:vAlign w:val="bottom"/>
            <w:shd w:val="clear" w:color="auto" w:fill="525252"/>
          </w:tcPr>
          <w:p>
            <w:pPr>
              <w:spacing w:after="0"/>
              <w:rPr>
                <w:sz w:val="10"/>
                <w:szCs w:val="10"/>
                <w:color w:val="auto"/>
              </w:rPr>
            </w:pPr>
          </w:p>
        </w:tc>
        <w:tc>
          <w:tcPr>
            <w:tcW w:w="640" w:type="dxa"/>
            <w:vAlign w:val="bottom"/>
            <w:shd w:val="clear" w:color="auto" w:fill="525252"/>
          </w:tcPr>
          <w:p>
            <w:pPr>
              <w:spacing w:after="0"/>
              <w:rPr>
                <w:sz w:val="10"/>
                <w:szCs w:val="10"/>
                <w:color w:val="auto"/>
              </w:rPr>
            </w:pPr>
          </w:p>
        </w:tc>
        <w:tc>
          <w:tcPr>
            <w:tcW w:w="1180" w:type="dxa"/>
            <w:vAlign w:val="bottom"/>
            <w:shd w:val="clear" w:color="auto" w:fill="525252"/>
          </w:tcPr>
          <w:p>
            <w:pPr>
              <w:spacing w:after="0"/>
              <w:rPr>
                <w:sz w:val="10"/>
                <w:szCs w:val="10"/>
                <w:color w:val="auto"/>
              </w:rPr>
            </w:pPr>
          </w:p>
        </w:tc>
        <w:tc>
          <w:tcPr>
            <w:tcW w:w="780" w:type="dxa"/>
            <w:vAlign w:val="bottom"/>
            <w:shd w:val="clear" w:color="auto" w:fill="525252"/>
          </w:tcPr>
          <w:p>
            <w:pPr>
              <w:spacing w:after="0"/>
              <w:rPr>
                <w:sz w:val="10"/>
                <w:szCs w:val="10"/>
                <w:color w:val="auto"/>
              </w:rPr>
            </w:pPr>
          </w:p>
        </w:tc>
        <w:tc>
          <w:tcPr>
            <w:tcW w:w="420" w:type="dxa"/>
            <w:vAlign w:val="bottom"/>
            <w:shd w:val="clear" w:color="auto" w:fill="525252"/>
          </w:tcPr>
          <w:p>
            <w:pPr>
              <w:spacing w:after="0"/>
              <w:rPr>
                <w:sz w:val="10"/>
                <w:szCs w:val="10"/>
                <w:color w:val="auto"/>
              </w:rPr>
            </w:pPr>
          </w:p>
        </w:tc>
        <w:tc>
          <w:tcPr>
            <w:tcW w:w="760" w:type="dxa"/>
            <w:vAlign w:val="bottom"/>
            <w:shd w:val="clear" w:color="auto" w:fill="525252"/>
          </w:tcPr>
          <w:p>
            <w:pPr>
              <w:spacing w:after="0"/>
              <w:rPr>
                <w:sz w:val="10"/>
                <w:szCs w:val="10"/>
                <w:color w:val="auto"/>
              </w:rPr>
            </w:pPr>
          </w:p>
        </w:tc>
        <w:tc>
          <w:tcPr>
            <w:tcW w:w="100" w:type="dxa"/>
            <w:vAlign w:val="bottom"/>
            <w:shd w:val="clear" w:color="auto" w:fill="525252"/>
          </w:tcPr>
          <w:p>
            <w:pPr>
              <w:spacing w:after="0"/>
              <w:rPr>
                <w:sz w:val="10"/>
                <w:szCs w:val="10"/>
                <w:color w:val="auto"/>
              </w:rPr>
            </w:pPr>
          </w:p>
        </w:tc>
        <w:tc>
          <w:tcPr>
            <w:tcW w:w="860" w:type="dxa"/>
            <w:vAlign w:val="bottom"/>
            <w:shd w:val="clear" w:color="auto" w:fill="525252"/>
          </w:tcPr>
          <w:p>
            <w:pPr>
              <w:spacing w:after="0"/>
              <w:rPr>
                <w:sz w:val="10"/>
                <w:szCs w:val="10"/>
                <w:color w:val="auto"/>
              </w:rPr>
            </w:pPr>
          </w:p>
        </w:tc>
        <w:tc>
          <w:tcPr>
            <w:tcW w:w="320" w:type="dxa"/>
            <w:vAlign w:val="bottom"/>
            <w:shd w:val="clear" w:color="auto" w:fill="525252"/>
          </w:tcPr>
          <w:p>
            <w:pPr>
              <w:spacing w:after="0"/>
              <w:rPr>
                <w:sz w:val="10"/>
                <w:szCs w:val="10"/>
                <w:color w:val="auto"/>
              </w:rPr>
            </w:pPr>
          </w:p>
        </w:tc>
        <w:tc>
          <w:tcPr>
            <w:tcW w:w="120" w:type="dxa"/>
            <w:vAlign w:val="bottom"/>
            <w:shd w:val="clear" w:color="auto" w:fill="525252"/>
          </w:tcPr>
          <w:p>
            <w:pPr>
              <w:spacing w:after="0"/>
              <w:rPr>
                <w:sz w:val="10"/>
                <w:szCs w:val="10"/>
                <w:color w:val="auto"/>
              </w:rPr>
            </w:pPr>
          </w:p>
        </w:tc>
        <w:tc>
          <w:tcPr>
            <w:tcW w:w="860" w:type="dxa"/>
            <w:vAlign w:val="bottom"/>
            <w:shd w:val="clear" w:color="auto" w:fill="525252"/>
          </w:tcPr>
          <w:p>
            <w:pPr>
              <w:jc w:val="center"/>
              <w:spacing w:after="0" w:line="122" w:lineRule="exact"/>
              <w:rPr>
                <w:sz w:val="20"/>
                <w:szCs w:val="20"/>
                <w:color w:val="auto"/>
              </w:rPr>
            </w:pPr>
            <w:r>
              <w:rPr>
                <w:rFonts w:ascii="Arial" w:cs="Arial" w:eastAsia="Arial" w:hAnsi="Arial"/>
                <w:sz w:val="11"/>
                <w:szCs w:val="11"/>
                <w:b w:val="1"/>
                <w:bCs w:val="1"/>
                <w:color w:val="FFFFFF"/>
                <w:w w:val="99"/>
              </w:rPr>
              <w:t>Incentive Plan</w:t>
            </w:r>
          </w:p>
        </w:tc>
        <w:tc>
          <w:tcPr>
            <w:tcW w:w="0" w:type="dxa"/>
            <w:vAlign w:val="bottom"/>
          </w:tcPr>
          <w:p>
            <w:pPr>
              <w:spacing w:after="0"/>
              <w:rPr>
                <w:sz w:val="1"/>
                <w:szCs w:val="1"/>
                <w:color w:val="auto"/>
              </w:rPr>
            </w:pPr>
          </w:p>
        </w:tc>
      </w:tr>
      <w:tr>
        <w:trPr>
          <w:trHeight w:val="122"/>
        </w:trPr>
        <w:tc>
          <w:tcPr>
            <w:tcW w:w="1220" w:type="dxa"/>
            <w:vAlign w:val="bottom"/>
            <w:shd w:val="clear" w:color="auto" w:fill="525252"/>
          </w:tcPr>
          <w:p>
            <w:pPr>
              <w:spacing w:after="0"/>
              <w:rPr>
                <w:sz w:val="10"/>
                <w:szCs w:val="10"/>
                <w:color w:val="auto"/>
              </w:rPr>
            </w:pPr>
          </w:p>
        </w:tc>
        <w:tc>
          <w:tcPr>
            <w:tcW w:w="120" w:type="dxa"/>
            <w:vAlign w:val="bottom"/>
            <w:shd w:val="clear" w:color="auto" w:fill="525252"/>
          </w:tcPr>
          <w:p>
            <w:pPr>
              <w:spacing w:after="0"/>
              <w:rPr>
                <w:sz w:val="10"/>
                <w:szCs w:val="10"/>
                <w:color w:val="auto"/>
              </w:rPr>
            </w:pPr>
          </w:p>
        </w:tc>
        <w:tc>
          <w:tcPr>
            <w:tcW w:w="880" w:type="dxa"/>
            <w:vAlign w:val="bottom"/>
            <w:shd w:val="clear" w:color="auto" w:fill="525252"/>
          </w:tcPr>
          <w:p>
            <w:pPr>
              <w:spacing w:after="0"/>
              <w:rPr>
                <w:sz w:val="10"/>
                <w:szCs w:val="10"/>
                <w:color w:val="auto"/>
              </w:rPr>
            </w:pPr>
          </w:p>
        </w:tc>
        <w:tc>
          <w:tcPr>
            <w:tcW w:w="120" w:type="dxa"/>
            <w:vAlign w:val="bottom"/>
            <w:shd w:val="clear" w:color="auto" w:fill="525252"/>
          </w:tcPr>
          <w:p>
            <w:pPr>
              <w:spacing w:after="0"/>
              <w:rPr>
                <w:sz w:val="10"/>
                <w:szCs w:val="10"/>
                <w:color w:val="auto"/>
              </w:rPr>
            </w:pPr>
          </w:p>
        </w:tc>
        <w:tc>
          <w:tcPr>
            <w:tcW w:w="1000" w:type="dxa"/>
            <w:vAlign w:val="bottom"/>
            <w:shd w:val="clear" w:color="auto" w:fill="525252"/>
          </w:tcPr>
          <w:p>
            <w:pPr>
              <w:spacing w:after="0"/>
              <w:rPr>
                <w:sz w:val="10"/>
                <w:szCs w:val="10"/>
                <w:color w:val="auto"/>
              </w:rPr>
            </w:pPr>
          </w:p>
        </w:tc>
        <w:tc>
          <w:tcPr>
            <w:tcW w:w="1040" w:type="dxa"/>
            <w:vAlign w:val="bottom"/>
            <w:shd w:val="clear" w:color="auto" w:fill="525252"/>
          </w:tcPr>
          <w:p>
            <w:pPr>
              <w:spacing w:after="0"/>
              <w:rPr>
                <w:sz w:val="10"/>
                <w:szCs w:val="10"/>
                <w:color w:val="auto"/>
              </w:rPr>
            </w:pPr>
          </w:p>
        </w:tc>
        <w:tc>
          <w:tcPr>
            <w:tcW w:w="320" w:type="dxa"/>
            <w:vAlign w:val="bottom"/>
            <w:shd w:val="clear" w:color="auto" w:fill="525252"/>
          </w:tcPr>
          <w:p>
            <w:pPr>
              <w:spacing w:after="0"/>
              <w:rPr>
                <w:sz w:val="10"/>
                <w:szCs w:val="10"/>
                <w:color w:val="auto"/>
              </w:rPr>
            </w:pPr>
          </w:p>
        </w:tc>
        <w:tc>
          <w:tcPr>
            <w:tcW w:w="220" w:type="dxa"/>
            <w:vAlign w:val="bottom"/>
            <w:shd w:val="clear" w:color="auto" w:fill="525252"/>
          </w:tcPr>
          <w:p>
            <w:pPr>
              <w:spacing w:after="0"/>
              <w:rPr>
                <w:sz w:val="10"/>
                <w:szCs w:val="10"/>
                <w:color w:val="auto"/>
              </w:rPr>
            </w:pPr>
          </w:p>
        </w:tc>
        <w:tc>
          <w:tcPr>
            <w:tcW w:w="640" w:type="dxa"/>
            <w:vAlign w:val="bottom"/>
            <w:shd w:val="clear" w:color="auto" w:fill="525252"/>
          </w:tcPr>
          <w:p>
            <w:pPr>
              <w:spacing w:after="0"/>
              <w:rPr>
                <w:sz w:val="10"/>
                <w:szCs w:val="10"/>
                <w:color w:val="auto"/>
              </w:rPr>
            </w:pPr>
          </w:p>
        </w:tc>
        <w:tc>
          <w:tcPr>
            <w:tcW w:w="1180" w:type="dxa"/>
            <w:vAlign w:val="bottom"/>
            <w:shd w:val="clear" w:color="auto" w:fill="525252"/>
          </w:tcPr>
          <w:p>
            <w:pPr>
              <w:spacing w:after="0"/>
              <w:rPr>
                <w:sz w:val="10"/>
                <w:szCs w:val="10"/>
                <w:color w:val="auto"/>
              </w:rPr>
            </w:pPr>
          </w:p>
        </w:tc>
        <w:tc>
          <w:tcPr>
            <w:tcW w:w="780" w:type="dxa"/>
            <w:vAlign w:val="bottom"/>
            <w:shd w:val="clear" w:color="auto" w:fill="525252"/>
          </w:tcPr>
          <w:p>
            <w:pPr>
              <w:spacing w:after="0"/>
              <w:rPr>
                <w:sz w:val="10"/>
                <w:szCs w:val="10"/>
                <w:color w:val="auto"/>
              </w:rPr>
            </w:pPr>
          </w:p>
        </w:tc>
        <w:tc>
          <w:tcPr>
            <w:tcW w:w="420" w:type="dxa"/>
            <w:vAlign w:val="bottom"/>
            <w:shd w:val="clear" w:color="auto" w:fill="525252"/>
          </w:tcPr>
          <w:p>
            <w:pPr>
              <w:spacing w:after="0"/>
              <w:rPr>
                <w:sz w:val="10"/>
                <w:szCs w:val="10"/>
                <w:color w:val="auto"/>
              </w:rPr>
            </w:pPr>
          </w:p>
        </w:tc>
        <w:tc>
          <w:tcPr>
            <w:tcW w:w="760" w:type="dxa"/>
            <w:vAlign w:val="bottom"/>
            <w:shd w:val="clear" w:color="auto" w:fill="525252"/>
          </w:tcPr>
          <w:p>
            <w:pPr>
              <w:spacing w:after="0"/>
              <w:rPr>
                <w:sz w:val="10"/>
                <w:szCs w:val="10"/>
                <w:color w:val="auto"/>
              </w:rPr>
            </w:pPr>
          </w:p>
        </w:tc>
        <w:tc>
          <w:tcPr>
            <w:tcW w:w="100" w:type="dxa"/>
            <w:vAlign w:val="bottom"/>
            <w:shd w:val="clear" w:color="auto" w:fill="525252"/>
          </w:tcPr>
          <w:p>
            <w:pPr>
              <w:spacing w:after="0"/>
              <w:rPr>
                <w:sz w:val="10"/>
                <w:szCs w:val="10"/>
                <w:color w:val="auto"/>
              </w:rPr>
            </w:pPr>
          </w:p>
        </w:tc>
        <w:tc>
          <w:tcPr>
            <w:tcW w:w="860" w:type="dxa"/>
            <w:vAlign w:val="bottom"/>
            <w:shd w:val="clear" w:color="auto" w:fill="525252"/>
          </w:tcPr>
          <w:p>
            <w:pPr>
              <w:spacing w:after="0"/>
              <w:rPr>
                <w:sz w:val="10"/>
                <w:szCs w:val="10"/>
                <w:color w:val="auto"/>
              </w:rPr>
            </w:pPr>
          </w:p>
        </w:tc>
        <w:tc>
          <w:tcPr>
            <w:tcW w:w="320" w:type="dxa"/>
            <w:vAlign w:val="bottom"/>
            <w:shd w:val="clear" w:color="auto" w:fill="525252"/>
          </w:tcPr>
          <w:p>
            <w:pPr>
              <w:spacing w:after="0"/>
              <w:rPr>
                <w:sz w:val="10"/>
                <w:szCs w:val="10"/>
                <w:color w:val="auto"/>
              </w:rPr>
            </w:pPr>
          </w:p>
        </w:tc>
        <w:tc>
          <w:tcPr>
            <w:tcW w:w="120" w:type="dxa"/>
            <w:vAlign w:val="bottom"/>
            <w:shd w:val="clear" w:color="auto" w:fill="525252"/>
          </w:tcPr>
          <w:p>
            <w:pPr>
              <w:spacing w:after="0"/>
              <w:rPr>
                <w:sz w:val="10"/>
                <w:szCs w:val="10"/>
                <w:color w:val="auto"/>
              </w:rPr>
            </w:pPr>
          </w:p>
        </w:tc>
        <w:tc>
          <w:tcPr>
            <w:tcW w:w="860" w:type="dxa"/>
            <w:vAlign w:val="bottom"/>
            <w:shd w:val="clear" w:color="auto" w:fill="525252"/>
          </w:tcPr>
          <w:p>
            <w:pPr>
              <w:jc w:val="center"/>
              <w:spacing w:after="0" w:line="122" w:lineRule="exact"/>
              <w:rPr>
                <w:sz w:val="20"/>
                <w:szCs w:val="20"/>
                <w:color w:val="auto"/>
              </w:rPr>
            </w:pPr>
            <w:r>
              <w:rPr>
                <w:rFonts w:ascii="Arial" w:cs="Arial" w:eastAsia="Arial" w:hAnsi="Arial"/>
                <w:sz w:val="11"/>
                <w:szCs w:val="11"/>
                <w:b w:val="1"/>
                <w:bCs w:val="1"/>
                <w:color w:val="FFFFFF"/>
                <w:w w:val="97"/>
              </w:rPr>
              <w:t>Awards: Market</w:t>
            </w:r>
          </w:p>
        </w:tc>
        <w:tc>
          <w:tcPr>
            <w:tcW w:w="0" w:type="dxa"/>
            <w:vAlign w:val="bottom"/>
          </w:tcPr>
          <w:p>
            <w:pPr>
              <w:spacing w:after="0"/>
              <w:rPr>
                <w:sz w:val="1"/>
                <w:szCs w:val="1"/>
                <w:color w:val="auto"/>
              </w:rPr>
            </w:pPr>
          </w:p>
        </w:tc>
      </w:tr>
      <w:tr>
        <w:trPr>
          <w:trHeight w:val="122"/>
        </w:trPr>
        <w:tc>
          <w:tcPr>
            <w:tcW w:w="1220" w:type="dxa"/>
            <w:vAlign w:val="bottom"/>
            <w:shd w:val="clear" w:color="auto" w:fill="525252"/>
          </w:tcPr>
          <w:p>
            <w:pPr>
              <w:spacing w:after="0"/>
              <w:rPr>
                <w:sz w:val="10"/>
                <w:szCs w:val="10"/>
                <w:color w:val="auto"/>
              </w:rPr>
            </w:pPr>
          </w:p>
        </w:tc>
        <w:tc>
          <w:tcPr>
            <w:tcW w:w="120" w:type="dxa"/>
            <w:vAlign w:val="bottom"/>
            <w:shd w:val="clear" w:color="auto" w:fill="525252"/>
          </w:tcPr>
          <w:p>
            <w:pPr>
              <w:spacing w:after="0"/>
              <w:rPr>
                <w:sz w:val="10"/>
                <w:szCs w:val="10"/>
                <w:color w:val="auto"/>
              </w:rPr>
            </w:pPr>
          </w:p>
        </w:tc>
        <w:tc>
          <w:tcPr>
            <w:tcW w:w="880" w:type="dxa"/>
            <w:vAlign w:val="bottom"/>
            <w:shd w:val="clear" w:color="auto" w:fill="525252"/>
          </w:tcPr>
          <w:p>
            <w:pPr>
              <w:spacing w:after="0"/>
              <w:rPr>
                <w:sz w:val="10"/>
                <w:szCs w:val="10"/>
                <w:color w:val="auto"/>
              </w:rPr>
            </w:pPr>
          </w:p>
        </w:tc>
        <w:tc>
          <w:tcPr>
            <w:tcW w:w="120" w:type="dxa"/>
            <w:vAlign w:val="bottom"/>
            <w:shd w:val="clear" w:color="auto" w:fill="525252"/>
          </w:tcPr>
          <w:p>
            <w:pPr>
              <w:spacing w:after="0"/>
              <w:rPr>
                <w:sz w:val="10"/>
                <w:szCs w:val="10"/>
                <w:color w:val="auto"/>
              </w:rPr>
            </w:pPr>
          </w:p>
        </w:tc>
        <w:tc>
          <w:tcPr>
            <w:tcW w:w="1000" w:type="dxa"/>
            <w:vAlign w:val="bottom"/>
            <w:shd w:val="clear" w:color="auto" w:fill="525252"/>
          </w:tcPr>
          <w:p>
            <w:pPr>
              <w:jc w:val="center"/>
              <w:spacing w:after="0" w:line="122" w:lineRule="exact"/>
              <w:rPr>
                <w:sz w:val="20"/>
                <w:szCs w:val="20"/>
                <w:color w:val="auto"/>
              </w:rPr>
            </w:pPr>
            <w:r>
              <w:rPr>
                <w:rFonts w:ascii="Arial" w:cs="Arial" w:eastAsia="Arial" w:hAnsi="Arial"/>
                <w:sz w:val="11"/>
                <w:szCs w:val="11"/>
                <w:b w:val="1"/>
                <w:bCs w:val="1"/>
                <w:color w:val="FFFFFF"/>
                <w:w w:val="98"/>
              </w:rPr>
              <w:t>Number of</w:t>
            </w:r>
          </w:p>
        </w:tc>
        <w:tc>
          <w:tcPr>
            <w:tcW w:w="1040" w:type="dxa"/>
            <w:vAlign w:val="bottom"/>
            <w:shd w:val="clear" w:color="auto" w:fill="525252"/>
          </w:tcPr>
          <w:p>
            <w:pPr>
              <w:jc w:val="center"/>
              <w:ind w:left="403"/>
              <w:spacing w:after="0" w:line="122" w:lineRule="exact"/>
              <w:rPr>
                <w:sz w:val="20"/>
                <w:szCs w:val="20"/>
                <w:color w:val="auto"/>
              </w:rPr>
            </w:pPr>
            <w:r>
              <w:rPr>
                <w:rFonts w:ascii="Arial" w:cs="Arial" w:eastAsia="Arial" w:hAnsi="Arial"/>
                <w:sz w:val="11"/>
                <w:szCs w:val="11"/>
                <w:b w:val="1"/>
                <w:bCs w:val="1"/>
                <w:color w:val="FFFFFF"/>
                <w:w w:val="98"/>
              </w:rPr>
              <w:t>Number of</w:t>
            </w:r>
          </w:p>
        </w:tc>
        <w:tc>
          <w:tcPr>
            <w:tcW w:w="320" w:type="dxa"/>
            <w:vAlign w:val="bottom"/>
            <w:shd w:val="clear" w:color="auto" w:fill="525252"/>
          </w:tcPr>
          <w:p>
            <w:pPr>
              <w:spacing w:after="0"/>
              <w:rPr>
                <w:sz w:val="10"/>
                <w:szCs w:val="10"/>
                <w:color w:val="auto"/>
              </w:rPr>
            </w:pPr>
          </w:p>
        </w:tc>
        <w:tc>
          <w:tcPr>
            <w:tcW w:w="220" w:type="dxa"/>
            <w:vAlign w:val="bottom"/>
            <w:shd w:val="clear" w:color="auto" w:fill="525252"/>
          </w:tcPr>
          <w:p>
            <w:pPr>
              <w:spacing w:after="0"/>
              <w:rPr>
                <w:sz w:val="10"/>
                <w:szCs w:val="10"/>
                <w:color w:val="auto"/>
              </w:rPr>
            </w:pPr>
          </w:p>
        </w:tc>
        <w:tc>
          <w:tcPr>
            <w:tcW w:w="640" w:type="dxa"/>
            <w:vAlign w:val="bottom"/>
            <w:shd w:val="clear" w:color="auto" w:fill="525252"/>
          </w:tcPr>
          <w:p>
            <w:pPr>
              <w:spacing w:after="0"/>
              <w:rPr>
                <w:sz w:val="10"/>
                <w:szCs w:val="10"/>
                <w:color w:val="auto"/>
              </w:rPr>
            </w:pPr>
          </w:p>
        </w:tc>
        <w:tc>
          <w:tcPr>
            <w:tcW w:w="1180" w:type="dxa"/>
            <w:vAlign w:val="bottom"/>
            <w:shd w:val="clear" w:color="auto" w:fill="525252"/>
          </w:tcPr>
          <w:p>
            <w:pPr>
              <w:spacing w:after="0"/>
              <w:rPr>
                <w:sz w:val="10"/>
                <w:szCs w:val="10"/>
                <w:color w:val="auto"/>
              </w:rPr>
            </w:pPr>
          </w:p>
        </w:tc>
        <w:tc>
          <w:tcPr>
            <w:tcW w:w="780" w:type="dxa"/>
            <w:vAlign w:val="bottom"/>
            <w:shd w:val="clear" w:color="auto" w:fill="525252"/>
          </w:tcPr>
          <w:p>
            <w:pPr>
              <w:jc w:val="center"/>
              <w:ind w:left="179"/>
              <w:spacing w:after="0" w:line="122" w:lineRule="exact"/>
              <w:rPr>
                <w:sz w:val="20"/>
                <w:szCs w:val="20"/>
                <w:color w:val="auto"/>
              </w:rPr>
            </w:pPr>
            <w:r>
              <w:rPr>
                <w:rFonts w:ascii="Arial" w:cs="Arial" w:eastAsia="Arial" w:hAnsi="Arial"/>
                <w:sz w:val="11"/>
                <w:szCs w:val="11"/>
                <w:b w:val="1"/>
                <w:bCs w:val="1"/>
                <w:color w:val="FFFFFF"/>
                <w:w w:val="98"/>
              </w:rPr>
              <w:t>Number of</w:t>
            </w:r>
          </w:p>
        </w:tc>
        <w:tc>
          <w:tcPr>
            <w:tcW w:w="420" w:type="dxa"/>
            <w:vAlign w:val="bottom"/>
            <w:shd w:val="clear" w:color="auto" w:fill="525252"/>
          </w:tcPr>
          <w:p>
            <w:pPr>
              <w:spacing w:after="0"/>
              <w:rPr>
                <w:sz w:val="10"/>
                <w:szCs w:val="10"/>
                <w:color w:val="auto"/>
              </w:rPr>
            </w:pPr>
          </w:p>
        </w:tc>
        <w:tc>
          <w:tcPr>
            <w:tcW w:w="760" w:type="dxa"/>
            <w:vAlign w:val="bottom"/>
            <w:shd w:val="clear" w:color="auto" w:fill="525252"/>
          </w:tcPr>
          <w:p>
            <w:pPr>
              <w:spacing w:after="0"/>
              <w:rPr>
                <w:sz w:val="10"/>
                <w:szCs w:val="10"/>
                <w:color w:val="auto"/>
              </w:rPr>
            </w:pPr>
          </w:p>
        </w:tc>
        <w:tc>
          <w:tcPr>
            <w:tcW w:w="100" w:type="dxa"/>
            <w:vAlign w:val="bottom"/>
            <w:shd w:val="clear" w:color="auto" w:fill="525252"/>
          </w:tcPr>
          <w:p>
            <w:pPr>
              <w:spacing w:after="0"/>
              <w:rPr>
                <w:sz w:val="10"/>
                <w:szCs w:val="10"/>
                <w:color w:val="auto"/>
              </w:rPr>
            </w:pPr>
          </w:p>
        </w:tc>
        <w:tc>
          <w:tcPr>
            <w:tcW w:w="860" w:type="dxa"/>
            <w:vAlign w:val="bottom"/>
            <w:shd w:val="clear" w:color="auto" w:fill="525252"/>
          </w:tcPr>
          <w:p>
            <w:pPr>
              <w:spacing w:after="0"/>
              <w:rPr>
                <w:sz w:val="10"/>
                <w:szCs w:val="10"/>
                <w:color w:val="auto"/>
              </w:rPr>
            </w:pPr>
          </w:p>
        </w:tc>
        <w:tc>
          <w:tcPr>
            <w:tcW w:w="320" w:type="dxa"/>
            <w:vAlign w:val="bottom"/>
            <w:shd w:val="clear" w:color="auto" w:fill="525252"/>
          </w:tcPr>
          <w:p>
            <w:pPr>
              <w:spacing w:after="0"/>
              <w:rPr>
                <w:sz w:val="10"/>
                <w:szCs w:val="10"/>
                <w:color w:val="auto"/>
              </w:rPr>
            </w:pPr>
          </w:p>
        </w:tc>
        <w:tc>
          <w:tcPr>
            <w:tcW w:w="120" w:type="dxa"/>
            <w:vAlign w:val="bottom"/>
            <w:shd w:val="clear" w:color="auto" w:fill="525252"/>
          </w:tcPr>
          <w:p>
            <w:pPr>
              <w:spacing w:after="0"/>
              <w:rPr>
                <w:sz w:val="10"/>
                <w:szCs w:val="10"/>
                <w:color w:val="auto"/>
              </w:rPr>
            </w:pPr>
          </w:p>
        </w:tc>
        <w:tc>
          <w:tcPr>
            <w:tcW w:w="860" w:type="dxa"/>
            <w:vAlign w:val="bottom"/>
            <w:shd w:val="clear" w:color="auto" w:fill="525252"/>
          </w:tcPr>
          <w:p>
            <w:pPr>
              <w:jc w:val="center"/>
              <w:spacing w:after="0" w:line="122" w:lineRule="exact"/>
              <w:rPr>
                <w:sz w:val="20"/>
                <w:szCs w:val="20"/>
                <w:color w:val="auto"/>
              </w:rPr>
            </w:pPr>
            <w:r>
              <w:rPr>
                <w:rFonts w:ascii="Arial" w:cs="Arial" w:eastAsia="Arial" w:hAnsi="Arial"/>
                <w:sz w:val="11"/>
                <w:szCs w:val="11"/>
                <w:b w:val="1"/>
                <w:bCs w:val="1"/>
                <w:color w:val="FFFFFF"/>
                <w:w w:val="98"/>
              </w:rPr>
              <w:t>or Payout Value</w:t>
            </w:r>
          </w:p>
        </w:tc>
        <w:tc>
          <w:tcPr>
            <w:tcW w:w="0" w:type="dxa"/>
            <w:vAlign w:val="bottom"/>
          </w:tcPr>
          <w:p>
            <w:pPr>
              <w:spacing w:after="0"/>
              <w:rPr>
                <w:sz w:val="1"/>
                <w:szCs w:val="1"/>
                <w:color w:val="auto"/>
              </w:rPr>
            </w:pPr>
          </w:p>
        </w:tc>
      </w:tr>
      <w:tr>
        <w:trPr>
          <w:trHeight w:val="122"/>
        </w:trPr>
        <w:tc>
          <w:tcPr>
            <w:tcW w:w="1220" w:type="dxa"/>
            <w:vAlign w:val="bottom"/>
            <w:shd w:val="clear" w:color="auto" w:fill="525252"/>
          </w:tcPr>
          <w:p>
            <w:pPr>
              <w:spacing w:after="0"/>
              <w:rPr>
                <w:sz w:val="10"/>
                <w:szCs w:val="10"/>
                <w:color w:val="auto"/>
              </w:rPr>
            </w:pPr>
          </w:p>
        </w:tc>
        <w:tc>
          <w:tcPr>
            <w:tcW w:w="120" w:type="dxa"/>
            <w:vAlign w:val="bottom"/>
            <w:shd w:val="clear" w:color="auto" w:fill="525252"/>
          </w:tcPr>
          <w:p>
            <w:pPr>
              <w:spacing w:after="0"/>
              <w:rPr>
                <w:sz w:val="10"/>
                <w:szCs w:val="10"/>
                <w:color w:val="auto"/>
              </w:rPr>
            </w:pPr>
          </w:p>
        </w:tc>
        <w:tc>
          <w:tcPr>
            <w:tcW w:w="880" w:type="dxa"/>
            <w:vAlign w:val="bottom"/>
            <w:shd w:val="clear" w:color="auto" w:fill="525252"/>
          </w:tcPr>
          <w:p>
            <w:pPr>
              <w:spacing w:after="0"/>
              <w:rPr>
                <w:sz w:val="10"/>
                <w:szCs w:val="10"/>
                <w:color w:val="auto"/>
              </w:rPr>
            </w:pPr>
          </w:p>
        </w:tc>
        <w:tc>
          <w:tcPr>
            <w:tcW w:w="120" w:type="dxa"/>
            <w:vAlign w:val="bottom"/>
            <w:shd w:val="clear" w:color="auto" w:fill="525252"/>
          </w:tcPr>
          <w:p>
            <w:pPr>
              <w:spacing w:after="0"/>
              <w:rPr>
                <w:sz w:val="10"/>
                <w:szCs w:val="10"/>
                <w:color w:val="auto"/>
              </w:rPr>
            </w:pPr>
          </w:p>
        </w:tc>
        <w:tc>
          <w:tcPr>
            <w:tcW w:w="1000" w:type="dxa"/>
            <w:vAlign w:val="bottom"/>
            <w:shd w:val="clear" w:color="auto" w:fill="525252"/>
          </w:tcPr>
          <w:p>
            <w:pPr>
              <w:jc w:val="center"/>
              <w:spacing w:after="0" w:line="122" w:lineRule="exact"/>
              <w:rPr>
                <w:sz w:val="20"/>
                <w:szCs w:val="20"/>
                <w:color w:val="auto"/>
              </w:rPr>
            </w:pPr>
            <w:r>
              <w:rPr>
                <w:rFonts w:ascii="Arial" w:cs="Arial" w:eastAsia="Arial" w:hAnsi="Arial"/>
                <w:sz w:val="11"/>
                <w:szCs w:val="11"/>
                <w:b w:val="1"/>
                <w:bCs w:val="1"/>
                <w:color w:val="FFFFFF"/>
                <w:w w:val="98"/>
              </w:rPr>
              <w:t>Securities</w:t>
            </w:r>
          </w:p>
        </w:tc>
        <w:tc>
          <w:tcPr>
            <w:tcW w:w="1040" w:type="dxa"/>
            <w:vAlign w:val="bottom"/>
            <w:shd w:val="clear" w:color="auto" w:fill="525252"/>
          </w:tcPr>
          <w:p>
            <w:pPr>
              <w:jc w:val="center"/>
              <w:ind w:left="423"/>
              <w:spacing w:after="0" w:line="122" w:lineRule="exact"/>
              <w:rPr>
                <w:sz w:val="20"/>
                <w:szCs w:val="20"/>
                <w:color w:val="auto"/>
              </w:rPr>
            </w:pPr>
            <w:r>
              <w:rPr>
                <w:rFonts w:ascii="Arial" w:cs="Arial" w:eastAsia="Arial" w:hAnsi="Arial"/>
                <w:sz w:val="11"/>
                <w:szCs w:val="11"/>
                <w:b w:val="1"/>
                <w:bCs w:val="1"/>
                <w:color w:val="FFFFFF"/>
                <w:w w:val="98"/>
              </w:rPr>
              <w:t>Securities</w:t>
            </w:r>
          </w:p>
        </w:tc>
        <w:tc>
          <w:tcPr>
            <w:tcW w:w="320" w:type="dxa"/>
            <w:vAlign w:val="bottom"/>
            <w:shd w:val="clear" w:color="auto" w:fill="525252"/>
          </w:tcPr>
          <w:p>
            <w:pPr>
              <w:spacing w:after="0"/>
              <w:rPr>
                <w:sz w:val="10"/>
                <w:szCs w:val="10"/>
                <w:color w:val="auto"/>
              </w:rPr>
            </w:pPr>
          </w:p>
        </w:tc>
        <w:tc>
          <w:tcPr>
            <w:tcW w:w="220" w:type="dxa"/>
            <w:vAlign w:val="bottom"/>
            <w:shd w:val="clear" w:color="auto" w:fill="525252"/>
          </w:tcPr>
          <w:p>
            <w:pPr>
              <w:spacing w:after="0"/>
              <w:rPr>
                <w:sz w:val="10"/>
                <w:szCs w:val="10"/>
                <w:color w:val="auto"/>
              </w:rPr>
            </w:pPr>
          </w:p>
        </w:tc>
        <w:tc>
          <w:tcPr>
            <w:tcW w:w="640" w:type="dxa"/>
            <w:vAlign w:val="bottom"/>
            <w:shd w:val="clear" w:color="auto" w:fill="525252"/>
          </w:tcPr>
          <w:p>
            <w:pPr>
              <w:spacing w:after="0"/>
              <w:rPr>
                <w:sz w:val="10"/>
                <w:szCs w:val="10"/>
                <w:color w:val="auto"/>
              </w:rPr>
            </w:pPr>
          </w:p>
        </w:tc>
        <w:tc>
          <w:tcPr>
            <w:tcW w:w="1180" w:type="dxa"/>
            <w:vAlign w:val="bottom"/>
            <w:shd w:val="clear" w:color="auto" w:fill="525252"/>
          </w:tcPr>
          <w:p>
            <w:pPr>
              <w:spacing w:after="0"/>
              <w:rPr>
                <w:sz w:val="10"/>
                <w:szCs w:val="10"/>
                <w:color w:val="auto"/>
              </w:rPr>
            </w:pPr>
          </w:p>
        </w:tc>
        <w:tc>
          <w:tcPr>
            <w:tcW w:w="780" w:type="dxa"/>
            <w:vAlign w:val="bottom"/>
            <w:shd w:val="clear" w:color="auto" w:fill="525252"/>
          </w:tcPr>
          <w:p>
            <w:pPr>
              <w:jc w:val="center"/>
              <w:ind w:left="179"/>
              <w:spacing w:after="0" w:line="122" w:lineRule="exact"/>
              <w:rPr>
                <w:sz w:val="20"/>
                <w:szCs w:val="20"/>
                <w:color w:val="auto"/>
              </w:rPr>
            </w:pPr>
            <w:r>
              <w:rPr>
                <w:rFonts w:ascii="Arial" w:cs="Arial" w:eastAsia="Arial" w:hAnsi="Arial"/>
                <w:sz w:val="11"/>
                <w:szCs w:val="11"/>
                <w:b w:val="1"/>
                <w:bCs w:val="1"/>
                <w:color w:val="FFFFFF"/>
                <w:w w:val="98"/>
              </w:rPr>
              <w:t>Shares or</w:t>
            </w:r>
          </w:p>
        </w:tc>
        <w:tc>
          <w:tcPr>
            <w:tcW w:w="420" w:type="dxa"/>
            <w:vAlign w:val="bottom"/>
            <w:shd w:val="clear" w:color="auto" w:fill="525252"/>
          </w:tcPr>
          <w:p>
            <w:pPr>
              <w:spacing w:after="0"/>
              <w:rPr>
                <w:sz w:val="10"/>
                <w:szCs w:val="10"/>
                <w:color w:val="auto"/>
              </w:rPr>
            </w:pPr>
          </w:p>
        </w:tc>
        <w:tc>
          <w:tcPr>
            <w:tcW w:w="860" w:type="dxa"/>
            <w:vAlign w:val="bottom"/>
            <w:gridSpan w:val="2"/>
            <w:shd w:val="clear" w:color="auto" w:fill="525252"/>
          </w:tcPr>
          <w:p>
            <w:pPr>
              <w:jc w:val="center"/>
              <w:spacing w:after="0" w:line="122" w:lineRule="exact"/>
              <w:rPr>
                <w:sz w:val="20"/>
                <w:szCs w:val="20"/>
                <w:color w:val="auto"/>
              </w:rPr>
            </w:pPr>
            <w:r>
              <w:rPr>
                <w:rFonts w:ascii="Arial" w:cs="Arial" w:eastAsia="Arial" w:hAnsi="Arial"/>
                <w:sz w:val="11"/>
                <w:szCs w:val="11"/>
                <w:b w:val="1"/>
                <w:bCs w:val="1"/>
                <w:color w:val="FFFFFF"/>
                <w:w w:val="95"/>
              </w:rPr>
              <w:t>Market Value of</w:t>
            </w:r>
          </w:p>
        </w:tc>
        <w:tc>
          <w:tcPr>
            <w:tcW w:w="1180" w:type="dxa"/>
            <w:vAlign w:val="bottom"/>
            <w:gridSpan w:val="2"/>
            <w:shd w:val="clear" w:color="auto" w:fill="525252"/>
          </w:tcPr>
          <w:p>
            <w:pPr>
              <w:jc w:val="center"/>
              <w:spacing w:after="0" w:line="122" w:lineRule="exact"/>
              <w:rPr>
                <w:sz w:val="20"/>
                <w:szCs w:val="20"/>
                <w:color w:val="auto"/>
              </w:rPr>
            </w:pPr>
            <w:r>
              <w:rPr>
                <w:rFonts w:ascii="Arial" w:cs="Arial" w:eastAsia="Arial" w:hAnsi="Arial"/>
                <w:sz w:val="11"/>
                <w:szCs w:val="11"/>
                <w:b w:val="1"/>
                <w:bCs w:val="1"/>
                <w:color w:val="FFFFFF"/>
                <w:w w:val="97"/>
              </w:rPr>
              <w:t>Equity Incentive Plan</w:t>
            </w:r>
          </w:p>
        </w:tc>
        <w:tc>
          <w:tcPr>
            <w:tcW w:w="120" w:type="dxa"/>
            <w:vAlign w:val="bottom"/>
            <w:shd w:val="clear" w:color="auto" w:fill="525252"/>
          </w:tcPr>
          <w:p>
            <w:pPr>
              <w:spacing w:after="0"/>
              <w:rPr>
                <w:sz w:val="10"/>
                <w:szCs w:val="10"/>
                <w:color w:val="auto"/>
              </w:rPr>
            </w:pPr>
          </w:p>
        </w:tc>
        <w:tc>
          <w:tcPr>
            <w:tcW w:w="860" w:type="dxa"/>
            <w:vAlign w:val="bottom"/>
            <w:shd w:val="clear" w:color="auto" w:fill="525252"/>
          </w:tcPr>
          <w:p>
            <w:pPr>
              <w:jc w:val="center"/>
              <w:spacing w:after="0" w:line="122" w:lineRule="exact"/>
              <w:rPr>
                <w:sz w:val="20"/>
                <w:szCs w:val="20"/>
                <w:color w:val="auto"/>
              </w:rPr>
            </w:pPr>
            <w:r>
              <w:rPr>
                <w:rFonts w:ascii="Arial" w:cs="Arial" w:eastAsia="Arial" w:hAnsi="Arial"/>
                <w:sz w:val="11"/>
                <w:szCs w:val="11"/>
                <w:b w:val="1"/>
                <w:bCs w:val="1"/>
                <w:color w:val="FFFFFF"/>
                <w:w w:val="96"/>
              </w:rPr>
              <w:t>of Unearned</w:t>
            </w:r>
          </w:p>
        </w:tc>
        <w:tc>
          <w:tcPr>
            <w:tcW w:w="0" w:type="dxa"/>
            <w:vAlign w:val="bottom"/>
          </w:tcPr>
          <w:p>
            <w:pPr>
              <w:spacing w:after="0"/>
              <w:rPr>
                <w:sz w:val="1"/>
                <w:szCs w:val="1"/>
                <w:color w:val="auto"/>
              </w:rPr>
            </w:pPr>
          </w:p>
        </w:tc>
      </w:tr>
      <w:tr>
        <w:trPr>
          <w:trHeight w:val="122"/>
        </w:trPr>
        <w:tc>
          <w:tcPr>
            <w:tcW w:w="1220" w:type="dxa"/>
            <w:vAlign w:val="bottom"/>
            <w:shd w:val="clear" w:color="auto" w:fill="525252"/>
          </w:tcPr>
          <w:p>
            <w:pPr>
              <w:spacing w:after="0"/>
              <w:rPr>
                <w:sz w:val="10"/>
                <w:szCs w:val="10"/>
                <w:color w:val="auto"/>
              </w:rPr>
            </w:pPr>
          </w:p>
        </w:tc>
        <w:tc>
          <w:tcPr>
            <w:tcW w:w="120" w:type="dxa"/>
            <w:vAlign w:val="bottom"/>
            <w:shd w:val="clear" w:color="auto" w:fill="525252"/>
          </w:tcPr>
          <w:p>
            <w:pPr>
              <w:spacing w:after="0"/>
              <w:rPr>
                <w:sz w:val="10"/>
                <w:szCs w:val="10"/>
                <w:color w:val="auto"/>
              </w:rPr>
            </w:pPr>
          </w:p>
        </w:tc>
        <w:tc>
          <w:tcPr>
            <w:tcW w:w="880" w:type="dxa"/>
            <w:vAlign w:val="bottom"/>
            <w:shd w:val="clear" w:color="auto" w:fill="525252"/>
          </w:tcPr>
          <w:p>
            <w:pPr>
              <w:spacing w:after="0"/>
              <w:rPr>
                <w:sz w:val="10"/>
                <w:szCs w:val="10"/>
                <w:color w:val="auto"/>
              </w:rPr>
            </w:pPr>
          </w:p>
        </w:tc>
        <w:tc>
          <w:tcPr>
            <w:tcW w:w="120" w:type="dxa"/>
            <w:vAlign w:val="bottom"/>
            <w:shd w:val="clear" w:color="auto" w:fill="525252"/>
          </w:tcPr>
          <w:p>
            <w:pPr>
              <w:spacing w:after="0"/>
              <w:rPr>
                <w:sz w:val="10"/>
                <w:szCs w:val="10"/>
                <w:color w:val="auto"/>
              </w:rPr>
            </w:pPr>
          </w:p>
        </w:tc>
        <w:tc>
          <w:tcPr>
            <w:tcW w:w="1000" w:type="dxa"/>
            <w:vAlign w:val="bottom"/>
            <w:shd w:val="clear" w:color="auto" w:fill="525252"/>
          </w:tcPr>
          <w:p>
            <w:pPr>
              <w:jc w:val="center"/>
              <w:spacing w:after="0" w:line="122" w:lineRule="exact"/>
              <w:rPr>
                <w:sz w:val="20"/>
                <w:szCs w:val="20"/>
                <w:color w:val="auto"/>
              </w:rPr>
            </w:pPr>
            <w:r>
              <w:rPr>
                <w:rFonts w:ascii="Arial" w:cs="Arial" w:eastAsia="Arial" w:hAnsi="Arial"/>
                <w:sz w:val="11"/>
                <w:szCs w:val="11"/>
                <w:b w:val="1"/>
                <w:bCs w:val="1"/>
                <w:color w:val="FFFFFF"/>
                <w:w w:val="97"/>
              </w:rPr>
              <w:t>Underlying</w:t>
            </w:r>
          </w:p>
        </w:tc>
        <w:tc>
          <w:tcPr>
            <w:tcW w:w="1040" w:type="dxa"/>
            <w:vAlign w:val="bottom"/>
            <w:shd w:val="clear" w:color="auto" w:fill="525252"/>
          </w:tcPr>
          <w:p>
            <w:pPr>
              <w:jc w:val="center"/>
              <w:ind w:left="423"/>
              <w:spacing w:after="0" w:line="122" w:lineRule="exact"/>
              <w:rPr>
                <w:sz w:val="20"/>
                <w:szCs w:val="20"/>
                <w:color w:val="auto"/>
              </w:rPr>
            </w:pPr>
            <w:r>
              <w:rPr>
                <w:rFonts w:ascii="Arial" w:cs="Arial" w:eastAsia="Arial" w:hAnsi="Arial"/>
                <w:sz w:val="11"/>
                <w:szCs w:val="11"/>
                <w:b w:val="1"/>
                <w:bCs w:val="1"/>
                <w:color w:val="FFFFFF"/>
                <w:w w:val="97"/>
              </w:rPr>
              <w:t>Underlying</w:t>
            </w:r>
          </w:p>
        </w:tc>
        <w:tc>
          <w:tcPr>
            <w:tcW w:w="320" w:type="dxa"/>
            <w:vAlign w:val="bottom"/>
            <w:shd w:val="clear" w:color="auto" w:fill="525252"/>
          </w:tcPr>
          <w:p>
            <w:pPr>
              <w:spacing w:after="0"/>
              <w:rPr>
                <w:sz w:val="10"/>
                <w:szCs w:val="10"/>
                <w:color w:val="auto"/>
              </w:rPr>
            </w:pPr>
          </w:p>
        </w:tc>
        <w:tc>
          <w:tcPr>
            <w:tcW w:w="220" w:type="dxa"/>
            <w:vAlign w:val="bottom"/>
            <w:shd w:val="clear" w:color="auto" w:fill="525252"/>
          </w:tcPr>
          <w:p>
            <w:pPr>
              <w:spacing w:after="0"/>
              <w:rPr>
                <w:sz w:val="10"/>
                <w:szCs w:val="10"/>
                <w:color w:val="auto"/>
              </w:rPr>
            </w:pPr>
          </w:p>
        </w:tc>
        <w:tc>
          <w:tcPr>
            <w:tcW w:w="640" w:type="dxa"/>
            <w:vAlign w:val="bottom"/>
            <w:shd w:val="clear" w:color="auto" w:fill="525252"/>
          </w:tcPr>
          <w:p>
            <w:pPr>
              <w:spacing w:after="0"/>
              <w:rPr>
                <w:sz w:val="10"/>
                <w:szCs w:val="10"/>
                <w:color w:val="auto"/>
              </w:rPr>
            </w:pPr>
          </w:p>
        </w:tc>
        <w:tc>
          <w:tcPr>
            <w:tcW w:w="1180" w:type="dxa"/>
            <w:vAlign w:val="bottom"/>
            <w:shd w:val="clear" w:color="auto" w:fill="525252"/>
          </w:tcPr>
          <w:p>
            <w:pPr>
              <w:spacing w:after="0"/>
              <w:rPr>
                <w:sz w:val="10"/>
                <w:szCs w:val="10"/>
                <w:color w:val="auto"/>
              </w:rPr>
            </w:pPr>
          </w:p>
        </w:tc>
        <w:tc>
          <w:tcPr>
            <w:tcW w:w="780" w:type="dxa"/>
            <w:vAlign w:val="bottom"/>
            <w:shd w:val="clear" w:color="auto" w:fill="525252"/>
          </w:tcPr>
          <w:p>
            <w:pPr>
              <w:jc w:val="center"/>
              <w:ind w:left="159"/>
              <w:spacing w:after="0" w:line="122" w:lineRule="exact"/>
              <w:rPr>
                <w:sz w:val="20"/>
                <w:szCs w:val="20"/>
                <w:color w:val="auto"/>
              </w:rPr>
            </w:pPr>
            <w:r>
              <w:rPr>
                <w:rFonts w:ascii="Arial" w:cs="Arial" w:eastAsia="Arial" w:hAnsi="Arial"/>
                <w:sz w:val="11"/>
                <w:szCs w:val="11"/>
                <w:b w:val="1"/>
                <w:bCs w:val="1"/>
                <w:color w:val="FFFFFF"/>
                <w:w w:val="97"/>
              </w:rPr>
              <w:t>Units of</w:t>
            </w:r>
          </w:p>
        </w:tc>
        <w:tc>
          <w:tcPr>
            <w:tcW w:w="420" w:type="dxa"/>
            <w:vAlign w:val="bottom"/>
            <w:shd w:val="clear" w:color="auto" w:fill="525252"/>
          </w:tcPr>
          <w:p>
            <w:pPr>
              <w:spacing w:after="0"/>
              <w:rPr>
                <w:sz w:val="10"/>
                <w:szCs w:val="10"/>
                <w:color w:val="auto"/>
              </w:rPr>
            </w:pPr>
          </w:p>
        </w:tc>
        <w:tc>
          <w:tcPr>
            <w:tcW w:w="860" w:type="dxa"/>
            <w:vAlign w:val="bottom"/>
            <w:gridSpan w:val="2"/>
            <w:shd w:val="clear" w:color="auto" w:fill="525252"/>
          </w:tcPr>
          <w:p>
            <w:pPr>
              <w:jc w:val="center"/>
              <w:ind w:right="20"/>
              <w:spacing w:after="0" w:line="122" w:lineRule="exact"/>
              <w:rPr>
                <w:sz w:val="20"/>
                <w:szCs w:val="20"/>
                <w:color w:val="auto"/>
              </w:rPr>
            </w:pPr>
            <w:r>
              <w:rPr>
                <w:rFonts w:ascii="Arial" w:cs="Arial" w:eastAsia="Arial" w:hAnsi="Arial"/>
                <w:sz w:val="11"/>
                <w:szCs w:val="11"/>
                <w:b w:val="1"/>
                <w:bCs w:val="1"/>
                <w:color w:val="FFFFFF"/>
                <w:w w:val="98"/>
              </w:rPr>
              <w:t>Shares or Units</w:t>
            </w:r>
          </w:p>
        </w:tc>
        <w:tc>
          <w:tcPr>
            <w:tcW w:w="1180" w:type="dxa"/>
            <w:vAlign w:val="bottom"/>
            <w:gridSpan w:val="2"/>
            <w:shd w:val="clear" w:color="auto" w:fill="525252"/>
          </w:tcPr>
          <w:p>
            <w:pPr>
              <w:jc w:val="center"/>
              <w:spacing w:after="0" w:line="122" w:lineRule="exact"/>
              <w:rPr>
                <w:sz w:val="20"/>
                <w:szCs w:val="20"/>
                <w:color w:val="auto"/>
              </w:rPr>
            </w:pPr>
            <w:r>
              <w:rPr>
                <w:rFonts w:ascii="Arial" w:cs="Arial" w:eastAsia="Arial" w:hAnsi="Arial"/>
                <w:sz w:val="11"/>
                <w:szCs w:val="11"/>
                <w:b w:val="1"/>
                <w:bCs w:val="1"/>
                <w:color w:val="FFFFFF"/>
                <w:w w:val="98"/>
              </w:rPr>
              <w:t>Awards: Number of</w:t>
            </w:r>
          </w:p>
        </w:tc>
        <w:tc>
          <w:tcPr>
            <w:tcW w:w="120" w:type="dxa"/>
            <w:vAlign w:val="bottom"/>
            <w:shd w:val="clear" w:color="auto" w:fill="525252"/>
          </w:tcPr>
          <w:p>
            <w:pPr>
              <w:spacing w:after="0"/>
              <w:rPr>
                <w:sz w:val="10"/>
                <w:szCs w:val="10"/>
                <w:color w:val="auto"/>
              </w:rPr>
            </w:pPr>
          </w:p>
        </w:tc>
        <w:tc>
          <w:tcPr>
            <w:tcW w:w="860" w:type="dxa"/>
            <w:vAlign w:val="bottom"/>
            <w:shd w:val="clear" w:color="auto" w:fill="525252"/>
          </w:tcPr>
          <w:p>
            <w:pPr>
              <w:jc w:val="center"/>
              <w:spacing w:after="0" w:line="122" w:lineRule="exact"/>
              <w:rPr>
                <w:sz w:val="20"/>
                <w:szCs w:val="20"/>
                <w:color w:val="auto"/>
              </w:rPr>
            </w:pPr>
            <w:r>
              <w:rPr>
                <w:rFonts w:ascii="Arial" w:cs="Arial" w:eastAsia="Arial" w:hAnsi="Arial"/>
                <w:sz w:val="11"/>
                <w:szCs w:val="11"/>
                <w:b w:val="1"/>
                <w:bCs w:val="1"/>
                <w:color w:val="FFFFFF"/>
                <w:w w:val="99"/>
              </w:rPr>
              <w:t>Shares, Units</w:t>
            </w:r>
          </w:p>
        </w:tc>
        <w:tc>
          <w:tcPr>
            <w:tcW w:w="0" w:type="dxa"/>
            <w:vAlign w:val="bottom"/>
          </w:tcPr>
          <w:p>
            <w:pPr>
              <w:spacing w:after="0"/>
              <w:rPr>
                <w:sz w:val="1"/>
                <w:szCs w:val="1"/>
                <w:color w:val="auto"/>
              </w:rPr>
            </w:pPr>
          </w:p>
        </w:tc>
      </w:tr>
      <w:tr>
        <w:trPr>
          <w:trHeight w:val="122"/>
        </w:trPr>
        <w:tc>
          <w:tcPr>
            <w:tcW w:w="1220" w:type="dxa"/>
            <w:vAlign w:val="bottom"/>
            <w:shd w:val="clear" w:color="auto" w:fill="525252"/>
          </w:tcPr>
          <w:p>
            <w:pPr>
              <w:spacing w:after="0"/>
              <w:rPr>
                <w:sz w:val="10"/>
                <w:szCs w:val="10"/>
                <w:color w:val="auto"/>
              </w:rPr>
            </w:pPr>
          </w:p>
        </w:tc>
        <w:tc>
          <w:tcPr>
            <w:tcW w:w="120" w:type="dxa"/>
            <w:vAlign w:val="bottom"/>
            <w:shd w:val="clear" w:color="auto" w:fill="525252"/>
          </w:tcPr>
          <w:p>
            <w:pPr>
              <w:spacing w:after="0"/>
              <w:rPr>
                <w:sz w:val="10"/>
                <w:szCs w:val="10"/>
                <w:color w:val="auto"/>
              </w:rPr>
            </w:pPr>
          </w:p>
        </w:tc>
        <w:tc>
          <w:tcPr>
            <w:tcW w:w="880" w:type="dxa"/>
            <w:vAlign w:val="bottom"/>
            <w:shd w:val="clear" w:color="auto" w:fill="525252"/>
          </w:tcPr>
          <w:p>
            <w:pPr>
              <w:spacing w:after="0"/>
              <w:rPr>
                <w:sz w:val="10"/>
                <w:szCs w:val="10"/>
                <w:color w:val="auto"/>
              </w:rPr>
            </w:pPr>
          </w:p>
        </w:tc>
        <w:tc>
          <w:tcPr>
            <w:tcW w:w="120" w:type="dxa"/>
            <w:vAlign w:val="bottom"/>
            <w:shd w:val="clear" w:color="auto" w:fill="525252"/>
          </w:tcPr>
          <w:p>
            <w:pPr>
              <w:spacing w:after="0"/>
              <w:rPr>
                <w:sz w:val="10"/>
                <w:szCs w:val="10"/>
                <w:color w:val="auto"/>
              </w:rPr>
            </w:pPr>
          </w:p>
        </w:tc>
        <w:tc>
          <w:tcPr>
            <w:tcW w:w="1000" w:type="dxa"/>
            <w:vAlign w:val="bottom"/>
            <w:shd w:val="clear" w:color="auto" w:fill="525252"/>
          </w:tcPr>
          <w:p>
            <w:pPr>
              <w:jc w:val="center"/>
              <w:spacing w:after="0" w:line="122" w:lineRule="exact"/>
              <w:rPr>
                <w:sz w:val="20"/>
                <w:szCs w:val="20"/>
                <w:color w:val="auto"/>
              </w:rPr>
            </w:pPr>
            <w:r>
              <w:rPr>
                <w:rFonts w:ascii="Arial" w:cs="Arial" w:eastAsia="Arial" w:hAnsi="Arial"/>
                <w:sz w:val="11"/>
                <w:szCs w:val="11"/>
                <w:b w:val="1"/>
                <w:bCs w:val="1"/>
                <w:color w:val="FFFFFF"/>
                <w:w w:val="97"/>
              </w:rPr>
              <w:t>Unexercised</w:t>
            </w:r>
          </w:p>
        </w:tc>
        <w:tc>
          <w:tcPr>
            <w:tcW w:w="1360" w:type="dxa"/>
            <w:vAlign w:val="bottom"/>
            <w:gridSpan w:val="2"/>
            <w:shd w:val="clear" w:color="auto" w:fill="525252"/>
          </w:tcPr>
          <w:p>
            <w:pPr>
              <w:jc w:val="center"/>
              <w:ind w:left="103"/>
              <w:spacing w:after="0" w:line="122" w:lineRule="exact"/>
              <w:rPr>
                <w:sz w:val="20"/>
                <w:szCs w:val="20"/>
                <w:color w:val="auto"/>
              </w:rPr>
            </w:pPr>
            <w:r>
              <w:rPr>
                <w:rFonts w:ascii="Arial" w:cs="Arial" w:eastAsia="Arial" w:hAnsi="Arial"/>
                <w:sz w:val="11"/>
                <w:szCs w:val="11"/>
                <w:b w:val="1"/>
                <w:bCs w:val="1"/>
                <w:color w:val="FFFFFF"/>
                <w:w w:val="97"/>
              </w:rPr>
              <w:t>Unexercised</w:t>
            </w:r>
          </w:p>
        </w:tc>
        <w:tc>
          <w:tcPr>
            <w:tcW w:w="220" w:type="dxa"/>
            <w:vAlign w:val="bottom"/>
            <w:shd w:val="clear" w:color="auto" w:fill="525252"/>
          </w:tcPr>
          <w:p>
            <w:pPr>
              <w:spacing w:after="0"/>
              <w:rPr>
                <w:sz w:val="10"/>
                <w:szCs w:val="10"/>
                <w:color w:val="auto"/>
              </w:rPr>
            </w:pPr>
          </w:p>
        </w:tc>
        <w:tc>
          <w:tcPr>
            <w:tcW w:w="640" w:type="dxa"/>
            <w:vAlign w:val="bottom"/>
            <w:shd w:val="clear" w:color="auto" w:fill="525252"/>
          </w:tcPr>
          <w:p>
            <w:pPr>
              <w:jc w:val="center"/>
              <w:ind w:right="61"/>
              <w:spacing w:after="0" w:line="122" w:lineRule="exact"/>
              <w:rPr>
                <w:sz w:val="20"/>
                <w:szCs w:val="20"/>
                <w:color w:val="auto"/>
              </w:rPr>
            </w:pPr>
            <w:r>
              <w:rPr>
                <w:rFonts w:ascii="Arial" w:cs="Arial" w:eastAsia="Arial" w:hAnsi="Arial"/>
                <w:sz w:val="11"/>
                <w:szCs w:val="11"/>
                <w:b w:val="1"/>
                <w:bCs w:val="1"/>
                <w:color w:val="FFFFFF"/>
              </w:rPr>
              <w:t>Option</w:t>
            </w:r>
          </w:p>
        </w:tc>
        <w:tc>
          <w:tcPr>
            <w:tcW w:w="1180" w:type="dxa"/>
            <w:vAlign w:val="bottom"/>
            <w:shd w:val="clear" w:color="auto" w:fill="525252"/>
          </w:tcPr>
          <w:p>
            <w:pPr>
              <w:jc w:val="center"/>
              <w:ind w:right="41"/>
              <w:spacing w:after="0" w:line="122" w:lineRule="exact"/>
              <w:rPr>
                <w:sz w:val="20"/>
                <w:szCs w:val="20"/>
                <w:color w:val="auto"/>
              </w:rPr>
            </w:pPr>
            <w:r>
              <w:rPr>
                <w:rFonts w:ascii="Arial" w:cs="Arial" w:eastAsia="Arial" w:hAnsi="Arial"/>
                <w:sz w:val="11"/>
                <w:szCs w:val="11"/>
                <w:b w:val="1"/>
                <w:bCs w:val="1"/>
                <w:color w:val="FFFFFF"/>
              </w:rPr>
              <w:t>Option</w:t>
            </w:r>
          </w:p>
        </w:tc>
        <w:tc>
          <w:tcPr>
            <w:tcW w:w="780" w:type="dxa"/>
            <w:vAlign w:val="bottom"/>
            <w:shd w:val="clear" w:color="auto" w:fill="525252"/>
          </w:tcPr>
          <w:p>
            <w:pPr>
              <w:jc w:val="center"/>
              <w:ind w:left="179"/>
              <w:spacing w:after="0" w:line="122" w:lineRule="exact"/>
              <w:rPr>
                <w:sz w:val="20"/>
                <w:szCs w:val="20"/>
                <w:color w:val="auto"/>
              </w:rPr>
            </w:pPr>
            <w:r>
              <w:rPr>
                <w:rFonts w:ascii="Arial" w:cs="Arial" w:eastAsia="Arial" w:hAnsi="Arial"/>
                <w:sz w:val="11"/>
                <w:szCs w:val="11"/>
                <w:b w:val="1"/>
                <w:bCs w:val="1"/>
                <w:color w:val="FFFFFF"/>
                <w:w w:val="95"/>
              </w:rPr>
              <w:t>Stock That</w:t>
            </w:r>
          </w:p>
        </w:tc>
        <w:tc>
          <w:tcPr>
            <w:tcW w:w="420" w:type="dxa"/>
            <w:vAlign w:val="bottom"/>
            <w:shd w:val="clear" w:color="auto" w:fill="525252"/>
          </w:tcPr>
          <w:p>
            <w:pPr>
              <w:spacing w:after="0"/>
              <w:rPr>
                <w:sz w:val="10"/>
                <w:szCs w:val="10"/>
                <w:color w:val="auto"/>
              </w:rPr>
            </w:pPr>
          </w:p>
        </w:tc>
        <w:tc>
          <w:tcPr>
            <w:tcW w:w="860" w:type="dxa"/>
            <w:vAlign w:val="bottom"/>
            <w:gridSpan w:val="2"/>
            <w:shd w:val="clear" w:color="auto" w:fill="525252"/>
          </w:tcPr>
          <w:p>
            <w:pPr>
              <w:jc w:val="center"/>
              <w:spacing w:after="0" w:line="122" w:lineRule="exact"/>
              <w:rPr>
                <w:sz w:val="20"/>
                <w:szCs w:val="20"/>
                <w:color w:val="auto"/>
              </w:rPr>
            </w:pPr>
            <w:r>
              <w:rPr>
                <w:rFonts w:ascii="Arial" w:cs="Arial" w:eastAsia="Arial" w:hAnsi="Arial"/>
                <w:sz w:val="11"/>
                <w:szCs w:val="11"/>
                <w:b w:val="1"/>
                <w:bCs w:val="1"/>
                <w:color w:val="FFFFFF"/>
              </w:rPr>
              <w:t>of Stock That</w:t>
            </w:r>
          </w:p>
        </w:tc>
        <w:tc>
          <w:tcPr>
            <w:tcW w:w="1180" w:type="dxa"/>
            <w:vAlign w:val="bottom"/>
            <w:gridSpan w:val="2"/>
            <w:shd w:val="clear" w:color="auto" w:fill="525252"/>
          </w:tcPr>
          <w:p>
            <w:pPr>
              <w:jc w:val="center"/>
              <w:spacing w:after="0" w:line="122" w:lineRule="exact"/>
              <w:rPr>
                <w:sz w:val="20"/>
                <w:szCs w:val="20"/>
                <w:color w:val="auto"/>
              </w:rPr>
            </w:pPr>
            <w:r>
              <w:rPr>
                <w:rFonts w:ascii="Arial" w:cs="Arial" w:eastAsia="Arial" w:hAnsi="Arial"/>
                <w:sz w:val="11"/>
                <w:szCs w:val="11"/>
                <w:b w:val="1"/>
                <w:bCs w:val="1"/>
                <w:color w:val="FFFFFF"/>
                <w:w w:val="98"/>
              </w:rPr>
              <w:t>Unearned Shares,</w:t>
            </w:r>
          </w:p>
        </w:tc>
        <w:tc>
          <w:tcPr>
            <w:tcW w:w="120" w:type="dxa"/>
            <w:vAlign w:val="bottom"/>
            <w:shd w:val="clear" w:color="auto" w:fill="525252"/>
          </w:tcPr>
          <w:p>
            <w:pPr>
              <w:spacing w:after="0"/>
              <w:rPr>
                <w:sz w:val="10"/>
                <w:szCs w:val="10"/>
                <w:color w:val="auto"/>
              </w:rPr>
            </w:pPr>
          </w:p>
        </w:tc>
        <w:tc>
          <w:tcPr>
            <w:tcW w:w="860" w:type="dxa"/>
            <w:vAlign w:val="bottom"/>
            <w:shd w:val="clear" w:color="auto" w:fill="525252"/>
          </w:tcPr>
          <w:p>
            <w:pPr>
              <w:jc w:val="center"/>
              <w:spacing w:after="0" w:line="122" w:lineRule="exact"/>
              <w:rPr>
                <w:sz w:val="20"/>
                <w:szCs w:val="20"/>
                <w:color w:val="auto"/>
              </w:rPr>
            </w:pPr>
            <w:r>
              <w:rPr>
                <w:rFonts w:ascii="Arial" w:cs="Arial" w:eastAsia="Arial" w:hAnsi="Arial"/>
                <w:sz w:val="11"/>
                <w:szCs w:val="11"/>
                <w:b w:val="1"/>
                <w:bCs w:val="1"/>
                <w:color w:val="FFFFFF"/>
                <w:w w:val="96"/>
              </w:rPr>
              <w:t>or Other Rights</w:t>
            </w:r>
          </w:p>
        </w:tc>
        <w:tc>
          <w:tcPr>
            <w:tcW w:w="0" w:type="dxa"/>
            <w:vAlign w:val="bottom"/>
          </w:tcPr>
          <w:p>
            <w:pPr>
              <w:spacing w:after="0"/>
              <w:rPr>
                <w:sz w:val="1"/>
                <w:szCs w:val="1"/>
                <w:color w:val="auto"/>
              </w:rPr>
            </w:pPr>
          </w:p>
        </w:tc>
      </w:tr>
      <w:tr>
        <w:trPr>
          <w:trHeight w:val="122"/>
        </w:trPr>
        <w:tc>
          <w:tcPr>
            <w:tcW w:w="1220" w:type="dxa"/>
            <w:vAlign w:val="bottom"/>
            <w:shd w:val="clear" w:color="auto" w:fill="525252"/>
          </w:tcPr>
          <w:p>
            <w:pPr>
              <w:spacing w:after="0"/>
              <w:rPr>
                <w:sz w:val="10"/>
                <w:szCs w:val="10"/>
                <w:color w:val="auto"/>
              </w:rPr>
            </w:pPr>
          </w:p>
        </w:tc>
        <w:tc>
          <w:tcPr>
            <w:tcW w:w="120" w:type="dxa"/>
            <w:vAlign w:val="bottom"/>
            <w:shd w:val="clear" w:color="auto" w:fill="525252"/>
          </w:tcPr>
          <w:p>
            <w:pPr>
              <w:spacing w:after="0"/>
              <w:rPr>
                <w:sz w:val="10"/>
                <w:szCs w:val="10"/>
                <w:color w:val="auto"/>
              </w:rPr>
            </w:pPr>
          </w:p>
        </w:tc>
        <w:tc>
          <w:tcPr>
            <w:tcW w:w="880" w:type="dxa"/>
            <w:vAlign w:val="bottom"/>
            <w:shd w:val="clear" w:color="auto" w:fill="525252"/>
          </w:tcPr>
          <w:p>
            <w:pPr>
              <w:jc w:val="right"/>
              <w:ind w:right="238"/>
              <w:spacing w:after="0" w:line="122" w:lineRule="exact"/>
              <w:rPr>
                <w:sz w:val="20"/>
                <w:szCs w:val="20"/>
                <w:color w:val="auto"/>
              </w:rPr>
            </w:pPr>
            <w:r>
              <w:rPr>
                <w:rFonts w:ascii="Arial" w:cs="Arial" w:eastAsia="Arial" w:hAnsi="Arial"/>
                <w:sz w:val="11"/>
                <w:szCs w:val="11"/>
                <w:b w:val="1"/>
                <w:bCs w:val="1"/>
                <w:color w:val="FFFFFF"/>
              </w:rPr>
              <w:t>Grant</w:t>
            </w:r>
          </w:p>
        </w:tc>
        <w:tc>
          <w:tcPr>
            <w:tcW w:w="120" w:type="dxa"/>
            <w:vAlign w:val="bottom"/>
            <w:shd w:val="clear" w:color="auto" w:fill="525252"/>
          </w:tcPr>
          <w:p>
            <w:pPr>
              <w:spacing w:after="0"/>
              <w:rPr>
                <w:sz w:val="10"/>
                <w:szCs w:val="10"/>
                <w:color w:val="auto"/>
              </w:rPr>
            </w:pPr>
          </w:p>
        </w:tc>
        <w:tc>
          <w:tcPr>
            <w:tcW w:w="1000" w:type="dxa"/>
            <w:vAlign w:val="bottom"/>
            <w:shd w:val="clear" w:color="auto" w:fill="525252"/>
          </w:tcPr>
          <w:p>
            <w:pPr>
              <w:jc w:val="center"/>
              <w:spacing w:after="0" w:line="122" w:lineRule="exact"/>
              <w:rPr>
                <w:sz w:val="20"/>
                <w:szCs w:val="20"/>
                <w:color w:val="auto"/>
              </w:rPr>
            </w:pPr>
            <w:r>
              <w:rPr>
                <w:rFonts w:ascii="Arial" w:cs="Arial" w:eastAsia="Arial" w:hAnsi="Arial"/>
                <w:sz w:val="11"/>
                <w:szCs w:val="11"/>
                <w:b w:val="1"/>
                <w:bCs w:val="1"/>
                <w:color w:val="FFFFFF"/>
                <w:w w:val="96"/>
              </w:rPr>
              <w:t>Options</w:t>
            </w:r>
          </w:p>
        </w:tc>
        <w:tc>
          <w:tcPr>
            <w:tcW w:w="1040" w:type="dxa"/>
            <w:vAlign w:val="bottom"/>
            <w:shd w:val="clear" w:color="auto" w:fill="525252"/>
          </w:tcPr>
          <w:p>
            <w:pPr>
              <w:jc w:val="center"/>
              <w:ind w:left="403"/>
              <w:spacing w:after="0" w:line="122" w:lineRule="exact"/>
              <w:rPr>
                <w:sz w:val="20"/>
                <w:szCs w:val="20"/>
                <w:color w:val="auto"/>
              </w:rPr>
            </w:pPr>
            <w:r>
              <w:rPr>
                <w:rFonts w:ascii="Arial" w:cs="Arial" w:eastAsia="Arial" w:hAnsi="Arial"/>
                <w:sz w:val="11"/>
                <w:szCs w:val="11"/>
                <w:b w:val="1"/>
                <w:bCs w:val="1"/>
                <w:color w:val="FFFFFF"/>
              </w:rPr>
              <w:t>Options</w:t>
            </w:r>
          </w:p>
        </w:tc>
        <w:tc>
          <w:tcPr>
            <w:tcW w:w="320" w:type="dxa"/>
            <w:vAlign w:val="bottom"/>
            <w:shd w:val="clear" w:color="auto" w:fill="525252"/>
          </w:tcPr>
          <w:p>
            <w:pPr>
              <w:spacing w:after="0"/>
              <w:rPr>
                <w:sz w:val="10"/>
                <w:szCs w:val="10"/>
                <w:color w:val="auto"/>
              </w:rPr>
            </w:pPr>
          </w:p>
        </w:tc>
        <w:tc>
          <w:tcPr>
            <w:tcW w:w="220" w:type="dxa"/>
            <w:vAlign w:val="bottom"/>
            <w:shd w:val="clear" w:color="auto" w:fill="525252"/>
          </w:tcPr>
          <w:p>
            <w:pPr>
              <w:spacing w:after="0"/>
              <w:rPr>
                <w:sz w:val="10"/>
                <w:szCs w:val="10"/>
                <w:color w:val="auto"/>
              </w:rPr>
            </w:pPr>
          </w:p>
        </w:tc>
        <w:tc>
          <w:tcPr>
            <w:tcW w:w="640" w:type="dxa"/>
            <w:vAlign w:val="bottom"/>
            <w:shd w:val="clear" w:color="auto" w:fill="525252"/>
          </w:tcPr>
          <w:p>
            <w:pPr>
              <w:jc w:val="center"/>
              <w:ind w:right="61"/>
              <w:spacing w:after="0" w:line="122" w:lineRule="exact"/>
              <w:rPr>
                <w:sz w:val="20"/>
                <w:szCs w:val="20"/>
                <w:color w:val="auto"/>
              </w:rPr>
            </w:pPr>
            <w:r>
              <w:rPr>
                <w:rFonts w:ascii="Arial" w:cs="Arial" w:eastAsia="Arial" w:hAnsi="Arial"/>
                <w:sz w:val="11"/>
                <w:szCs w:val="11"/>
                <w:b w:val="1"/>
                <w:bCs w:val="1"/>
                <w:color w:val="FFFFFF"/>
                <w:w w:val="97"/>
              </w:rPr>
              <w:t>Exercise</w:t>
            </w:r>
          </w:p>
        </w:tc>
        <w:tc>
          <w:tcPr>
            <w:tcW w:w="1180" w:type="dxa"/>
            <w:vAlign w:val="bottom"/>
            <w:shd w:val="clear" w:color="auto" w:fill="525252"/>
          </w:tcPr>
          <w:p>
            <w:pPr>
              <w:jc w:val="center"/>
              <w:ind w:right="41"/>
              <w:spacing w:after="0" w:line="122" w:lineRule="exact"/>
              <w:rPr>
                <w:sz w:val="20"/>
                <w:szCs w:val="20"/>
                <w:color w:val="auto"/>
              </w:rPr>
            </w:pPr>
            <w:r>
              <w:rPr>
                <w:rFonts w:ascii="Arial" w:cs="Arial" w:eastAsia="Arial" w:hAnsi="Arial"/>
                <w:sz w:val="11"/>
                <w:szCs w:val="11"/>
                <w:b w:val="1"/>
                <w:bCs w:val="1"/>
                <w:color w:val="FFFFFF"/>
                <w:w w:val="96"/>
              </w:rPr>
              <w:t>Expiration</w:t>
            </w:r>
          </w:p>
        </w:tc>
        <w:tc>
          <w:tcPr>
            <w:tcW w:w="780" w:type="dxa"/>
            <w:vAlign w:val="bottom"/>
            <w:shd w:val="clear" w:color="auto" w:fill="525252"/>
          </w:tcPr>
          <w:p>
            <w:pPr>
              <w:jc w:val="center"/>
              <w:ind w:left="179"/>
              <w:spacing w:after="0" w:line="122" w:lineRule="exact"/>
              <w:rPr>
                <w:sz w:val="20"/>
                <w:szCs w:val="20"/>
                <w:color w:val="auto"/>
              </w:rPr>
            </w:pPr>
            <w:r>
              <w:rPr>
                <w:rFonts w:ascii="Arial" w:cs="Arial" w:eastAsia="Arial" w:hAnsi="Arial"/>
                <w:sz w:val="11"/>
                <w:szCs w:val="11"/>
                <w:b w:val="1"/>
                <w:bCs w:val="1"/>
                <w:color w:val="FFFFFF"/>
                <w:w w:val="96"/>
              </w:rPr>
              <w:t>Have Not</w:t>
            </w:r>
          </w:p>
        </w:tc>
        <w:tc>
          <w:tcPr>
            <w:tcW w:w="420" w:type="dxa"/>
            <w:vAlign w:val="bottom"/>
            <w:shd w:val="clear" w:color="auto" w:fill="525252"/>
          </w:tcPr>
          <w:p>
            <w:pPr>
              <w:spacing w:after="0"/>
              <w:rPr>
                <w:sz w:val="10"/>
                <w:szCs w:val="10"/>
                <w:color w:val="auto"/>
              </w:rPr>
            </w:pPr>
          </w:p>
        </w:tc>
        <w:tc>
          <w:tcPr>
            <w:tcW w:w="860" w:type="dxa"/>
            <w:vAlign w:val="bottom"/>
            <w:gridSpan w:val="2"/>
            <w:shd w:val="clear" w:color="auto" w:fill="525252"/>
          </w:tcPr>
          <w:p>
            <w:pPr>
              <w:jc w:val="center"/>
              <w:spacing w:after="0" w:line="122" w:lineRule="exact"/>
              <w:rPr>
                <w:sz w:val="20"/>
                <w:szCs w:val="20"/>
                <w:color w:val="auto"/>
              </w:rPr>
            </w:pPr>
            <w:r>
              <w:rPr>
                <w:rFonts w:ascii="Arial" w:cs="Arial" w:eastAsia="Arial" w:hAnsi="Arial"/>
                <w:sz w:val="11"/>
                <w:szCs w:val="11"/>
                <w:b w:val="1"/>
                <w:bCs w:val="1"/>
                <w:color w:val="FFFFFF"/>
                <w:w w:val="96"/>
              </w:rPr>
              <w:t>Have Not</w:t>
            </w:r>
          </w:p>
        </w:tc>
        <w:tc>
          <w:tcPr>
            <w:tcW w:w="1180" w:type="dxa"/>
            <w:vAlign w:val="bottom"/>
            <w:gridSpan w:val="2"/>
            <w:shd w:val="clear" w:color="auto" w:fill="525252"/>
          </w:tcPr>
          <w:p>
            <w:pPr>
              <w:jc w:val="center"/>
              <w:spacing w:after="0" w:line="122" w:lineRule="exact"/>
              <w:rPr>
                <w:sz w:val="20"/>
                <w:szCs w:val="20"/>
                <w:color w:val="auto"/>
              </w:rPr>
            </w:pPr>
            <w:r>
              <w:rPr>
                <w:rFonts w:ascii="Arial" w:cs="Arial" w:eastAsia="Arial" w:hAnsi="Arial"/>
                <w:sz w:val="11"/>
                <w:szCs w:val="11"/>
                <w:b w:val="1"/>
                <w:bCs w:val="1"/>
                <w:color w:val="FFFFFF"/>
                <w:w w:val="98"/>
              </w:rPr>
              <w:t>Units or Other Rights</w:t>
            </w:r>
          </w:p>
        </w:tc>
        <w:tc>
          <w:tcPr>
            <w:tcW w:w="120" w:type="dxa"/>
            <w:vAlign w:val="bottom"/>
            <w:shd w:val="clear" w:color="auto" w:fill="525252"/>
          </w:tcPr>
          <w:p>
            <w:pPr>
              <w:spacing w:after="0"/>
              <w:rPr>
                <w:sz w:val="10"/>
                <w:szCs w:val="10"/>
                <w:color w:val="auto"/>
              </w:rPr>
            </w:pPr>
          </w:p>
        </w:tc>
        <w:tc>
          <w:tcPr>
            <w:tcW w:w="860" w:type="dxa"/>
            <w:vAlign w:val="bottom"/>
            <w:shd w:val="clear" w:color="auto" w:fill="525252"/>
          </w:tcPr>
          <w:p>
            <w:pPr>
              <w:jc w:val="center"/>
              <w:spacing w:after="0" w:line="122" w:lineRule="exact"/>
              <w:rPr>
                <w:sz w:val="20"/>
                <w:szCs w:val="20"/>
                <w:color w:val="auto"/>
              </w:rPr>
            </w:pPr>
            <w:r>
              <w:rPr>
                <w:rFonts w:ascii="Arial" w:cs="Arial" w:eastAsia="Arial" w:hAnsi="Arial"/>
                <w:sz w:val="11"/>
                <w:szCs w:val="11"/>
                <w:b w:val="1"/>
                <w:bCs w:val="1"/>
                <w:color w:val="FFFFFF"/>
                <w:w w:val="99"/>
              </w:rPr>
              <w:t>That Have Not</w:t>
            </w:r>
          </w:p>
        </w:tc>
        <w:tc>
          <w:tcPr>
            <w:tcW w:w="0" w:type="dxa"/>
            <w:vAlign w:val="bottom"/>
          </w:tcPr>
          <w:p>
            <w:pPr>
              <w:spacing w:after="0"/>
              <w:rPr>
                <w:sz w:val="1"/>
                <w:szCs w:val="1"/>
                <w:color w:val="auto"/>
              </w:rPr>
            </w:pPr>
          </w:p>
        </w:tc>
      </w:tr>
      <w:tr>
        <w:trPr>
          <w:trHeight w:val="144"/>
        </w:trPr>
        <w:tc>
          <w:tcPr>
            <w:tcW w:w="1220" w:type="dxa"/>
            <w:vAlign w:val="bottom"/>
            <w:tcBorders>
              <w:bottom w:val="single" w:sz="8" w:color="525252"/>
            </w:tcBorders>
            <w:shd w:val="clear" w:color="auto" w:fill="525252"/>
          </w:tcPr>
          <w:p>
            <w:pPr>
              <w:ind w:left="40"/>
              <w:spacing w:after="0"/>
              <w:rPr>
                <w:sz w:val="20"/>
                <w:szCs w:val="20"/>
                <w:color w:val="auto"/>
              </w:rPr>
            </w:pPr>
            <w:r>
              <w:rPr>
                <w:rFonts w:ascii="Arial" w:cs="Arial" w:eastAsia="Arial" w:hAnsi="Arial"/>
                <w:sz w:val="11"/>
                <w:szCs w:val="11"/>
                <w:b w:val="1"/>
                <w:bCs w:val="1"/>
                <w:color w:val="FFFFFF"/>
              </w:rPr>
              <w:t>Name</w:t>
            </w:r>
          </w:p>
        </w:tc>
        <w:tc>
          <w:tcPr>
            <w:tcW w:w="120" w:type="dxa"/>
            <w:vAlign w:val="bottom"/>
            <w:tcBorders>
              <w:bottom w:val="single" w:sz="8" w:color="525252"/>
            </w:tcBorders>
            <w:shd w:val="clear" w:color="auto" w:fill="525252"/>
          </w:tcPr>
          <w:p>
            <w:pPr>
              <w:spacing w:after="0"/>
              <w:rPr>
                <w:sz w:val="12"/>
                <w:szCs w:val="12"/>
                <w:color w:val="auto"/>
              </w:rPr>
            </w:pPr>
          </w:p>
        </w:tc>
        <w:tc>
          <w:tcPr>
            <w:tcW w:w="880" w:type="dxa"/>
            <w:vAlign w:val="bottom"/>
            <w:tcBorders>
              <w:bottom w:val="single" w:sz="8" w:color="525252"/>
            </w:tcBorders>
            <w:shd w:val="clear" w:color="auto" w:fill="525252"/>
          </w:tcPr>
          <w:p>
            <w:pPr>
              <w:jc w:val="right"/>
              <w:ind w:right="258"/>
              <w:spacing w:after="0"/>
              <w:rPr>
                <w:sz w:val="20"/>
                <w:szCs w:val="20"/>
                <w:color w:val="auto"/>
              </w:rPr>
            </w:pPr>
            <w:r>
              <w:rPr>
                <w:rFonts w:ascii="Arial" w:cs="Arial" w:eastAsia="Arial" w:hAnsi="Arial"/>
                <w:sz w:val="11"/>
                <w:szCs w:val="11"/>
                <w:b w:val="1"/>
                <w:bCs w:val="1"/>
                <w:color w:val="FFFFFF"/>
              </w:rPr>
              <w:t>Date</w:t>
            </w:r>
          </w:p>
        </w:tc>
        <w:tc>
          <w:tcPr>
            <w:tcW w:w="120" w:type="dxa"/>
            <w:vAlign w:val="bottom"/>
            <w:tcBorders>
              <w:bottom w:val="single" w:sz="8" w:color="525252"/>
            </w:tcBorders>
            <w:shd w:val="clear" w:color="auto" w:fill="525252"/>
          </w:tcPr>
          <w:p>
            <w:pPr>
              <w:spacing w:after="0"/>
              <w:rPr>
                <w:sz w:val="12"/>
                <w:szCs w:val="12"/>
                <w:color w:val="auto"/>
              </w:rPr>
            </w:pPr>
          </w:p>
        </w:tc>
        <w:tc>
          <w:tcPr>
            <w:tcW w:w="1000" w:type="dxa"/>
            <w:vAlign w:val="bottom"/>
            <w:tcBorders>
              <w:bottom w:val="single" w:sz="8" w:color="525252"/>
            </w:tcBorders>
            <w:shd w:val="clear" w:color="auto" w:fill="525252"/>
          </w:tcPr>
          <w:p>
            <w:pPr>
              <w:jc w:val="center"/>
              <w:spacing w:after="0"/>
              <w:rPr>
                <w:sz w:val="20"/>
                <w:szCs w:val="20"/>
                <w:color w:val="auto"/>
              </w:rPr>
            </w:pPr>
            <w:r>
              <w:rPr>
                <w:rFonts w:ascii="Arial" w:cs="Arial" w:eastAsia="Arial" w:hAnsi="Arial"/>
                <w:sz w:val="11"/>
                <w:szCs w:val="11"/>
                <w:b w:val="1"/>
                <w:bCs w:val="1"/>
                <w:color w:val="FFFFFF"/>
                <w:w w:val="98"/>
              </w:rPr>
              <w:t>Exercisable</w:t>
            </w:r>
          </w:p>
        </w:tc>
        <w:tc>
          <w:tcPr>
            <w:tcW w:w="1360" w:type="dxa"/>
            <w:vAlign w:val="bottom"/>
            <w:tcBorders>
              <w:bottom w:val="single" w:sz="8" w:color="525252"/>
            </w:tcBorders>
            <w:gridSpan w:val="2"/>
            <w:shd w:val="clear" w:color="auto" w:fill="525252"/>
          </w:tcPr>
          <w:p>
            <w:pPr>
              <w:jc w:val="center"/>
              <w:ind w:left="83"/>
              <w:spacing w:after="0"/>
              <w:rPr>
                <w:sz w:val="20"/>
                <w:szCs w:val="20"/>
                <w:color w:val="auto"/>
              </w:rPr>
            </w:pPr>
            <w:r>
              <w:rPr>
                <w:rFonts w:ascii="Arial" w:cs="Arial" w:eastAsia="Arial" w:hAnsi="Arial"/>
                <w:sz w:val="11"/>
                <w:szCs w:val="11"/>
                <w:b w:val="1"/>
                <w:bCs w:val="1"/>
                <w:color w:val="FFFFFF"/>
                <w:w w:val="99"/>
              </w:rPr>
              <w:t>Unexercisable</w:t>
            </w:r>
          </w:p>
        </w:tc>
        <w:tc>
          <w:tcPr>
            <w:tcW w:w="220" w:type="dxa"/>
            <w:vAlign w:val="bottom"/>
            <w:tcBorders>
              <w:bottom w:val="single" w:sz="8" w:color="525252"/>
            </w:tcBorders>
            <w:shd w:val="clear" w:color="auto" w:fill="525252"/>
          </w:tcPr>
          <w:p>
            <w:pPr>
              <w:spacing w:after="0"/>
              <w:rPr>
                <w:sz w:val="12"/>
                <w:szCs w:val="12"/>
                <w:color w:val="auto"/>
              </w:rPr>
            </w:pPr>
          </w:p>
        </w:tc>
        <w:tc>
          <w:tcPr>
            <w:tcW w:w="640" w:type="dxa"/>
            <w:vAlign w:val="bottom"/>
            <w:tcBorders>
              <w:bottom w:val="single" w:sz="8" w:color="525252"/>
            </w:tcBorders>
            <w:shd w:val="clear" w:color="auto" w:fill="525252"/>
          </w:tcPr>
          <w:p>
            <w:pPr>
              <w:jc w:val="center"/>
              <w:ind w:right="61"/>
              <w:spacing w:after="0"/>
              <w:rPr>
                <w:sz w:val="20"/>
                <w:szCs w:val="20"/>
                <w:color w:val="auto"/>
              </w:rPr>
            </w:pPr>
            <w:r>
              <w:rPr>
                <w:rFonts w:ascii="Arial" w:cs="Arial" w:eastAsia="Arial" w:hAnsi="Arial"/>
                <w:sz w:val="11"/>
                <w:szCs w:val="11"/>
                <w:b w:val="1"/>
                <w:bCs w:val="1"/>
                <w:color w:val="FFFFFF"/>
              </w:rPr>
              <w:t>Price</w:t>
            </w:r>
          </w:p>
        </w:tc>
        <w:tc>
          <w:tcPr>
            <w:tcW w:w="1180" w:type="dxa"/>
            <w:vAlign w:val="bottom"/>
            <w:tcBorders>
              <w:bottom w:val="single" w:sz="8" w:color="525252"/>
            </w:tcBorders>
            <w:shd w:val="clear" w:color="auto" w:fill="525252"/>
          </w:tcPr>
          <w:p>
            <w:pPr>
              <w:jc w:val="center"/>
              <w:ind w:right="41"/>
              <w:spacing w:after="0"/>
              <w:rPr>
                <w:sz w:val="20"/>
                <w:szCs w:val="20"/>
                <w:color w:val="auto"/>
              </w:rPr>
            </w:pPr>
            <w:r>
              <w:rPr>
                <w:rFonts w:ascii="Arial" w:cs="Arial" w:eastAsia="Arial" w:hAnsi="Arial"/>
                <w:sz w:val="11"/>
                <w:szCs w:val="11"/>
                <w:b w:val="1"/>
                <w:bCs w:val="1"/>
                <w:color w:val="FFFFFF"/>
              </w:rPr>
              <w:t>Date</w:t>
            </w:r>
          </w:p>
        </w:tc>
        <w:tc>
          <w:tcPr>
            <w:tcW w:w="780" w:type="dxa"/>
            <w:vAlign w:val="bottom"/>
            <w:tcBorders>
              <w:bottom w:val="single" w:sz="8" w:color="525252"/>
            </w:tcBorders>
            <w:shd w:val="clear" w:color="auto" w:fill="525252"/>
          </w:tcPr>
          <w:p>
            <w:pPr>
              <w:jc w:val="center"/>
              <w:ind w:left="179"/>
              <w:spacing w:after="0"/>
              <w:rPr>
                <w:sz w:val="20"/>
                <w:szCs w:val="20"/>
                <w:color w:val="auto"/>
              </w:rPr>
            </w:pPr>
            <w:r>
              <w:rPr>
                <w:rFonts w:ascii="Arial" w:cs="Arial" w:eastAsia="Arial" w:hAnsi="Arial"/>
                <w:sz w:val="11"/>
                <w:szCs w:val="11"/>
                <w:b w:val="1"/>
                <w:bCs w:val="1"/>
                <w:color w:val="FFFFFF"/>
                <w:w w:val="94"/>
              </w:rPr>
              <w:t>Vested</w:t>
            </w:r>
          </w:p>
        </w:tc>
        <w:tc>
          <w:tcPr>
            <w:tcW w:w="420" w:type="dxa"/>
            <w:vAlign w:val="bottom"/>
            <w:tcBorders>
              <w:bottom w:val="single" w:sz="8" w:color="525252"/>
            </w:tcBorders>
            <w:shd w:val="clear" w:color="auto" w:fill="525252"/>
          </w:tcPr>
          <w:p>
            <w:pPr>
              <w:spacing w:after="0"/>
              <w:rPr>
                <w:sz w:val="12"/>
                <w:szCs w:val="12"/>
                <w:color w:val="auto"/>
              </w:rPr>
            </w:pPr>
          </w:p>
        </w:tc>
        <w:tc>
          <w:tcPr>
            <w:tcW w:w="860" w:type="dxa"/>
            <w:vAlign w:val="bottom"/>
            <w:tcBorders>
              <w:bottom w:val="single" w:sz="8" w:color="525252"/>
            </w:tcBorders>
            <w:gridSpan w:val="2"/>
            <w:shd w:val="clear" w:color="auto" w:fill="525252"/>
          </w:tcPr>
          <w:p>
            <w:pPr>
              <w:jc w:val="center"/>
              <w:spacing w:after="0"/>
              <w:rPr>
                <w:sz w:val="20"/>
                <w:szCs w:val="20"/>
                <w:color w:val="auto"/>
              </w:rPr>
            </w:pPr>
            <w:r>
              <w:rPr>
                <w:rFonts w:ascii="Arial" w:cs="Arial" w:eastAsia="Arial" w:hAnsi="Arial"/>
                <w:sz w:val="11"/>
                <w:szCs w:val="11"/>
                <w:b w:val="1"/>
                <w:bCs w:val="1"/>
                <w:color w:val="FFFFFF"/>
                <w:w w:val="96"/>
              </w:rPr>
              <w:t xml:space="preserve">Vested </w:t>
            </w:r>
            <w:r>
              <w:rPr>
                <w:rFonts w:ascii="Arial" w:cs="Arial" w:eastAsia="Arial" w:hAnsi="Arial"/>
                <w:sz w:val="7"/>
                <w:szCs w:val="7"/>
                <w:b w:val="1"/>
                <w:bCs w:val="1"/>
                <w:color w:val="FFFFFF"/>
                <w:w w:val="96"/>
              </w:rPr>
              <w:t>(3)</w:t>
            </w:r>
          </w:p>
        </w:tc>
        <w:tc>
          <w:tcPr>
            <w:tcW w:w="1180" w:type="dxa"/>
            <w:vAlign w:val="bottom"/>
            <w:tcBorders>
              <w:bottom w:val="single" w:sz="8" w:color="525252"/>
            </w:tcBorders>
            <w:gridSpan w:val="2"/>
            <w:shd w:val="clear" w:color="auto" w:fill="525252"/>
          </w:tcPr>
          <w:p>
            <w:pPr>
              <w:jc w:val="center"/>
              <w:spacing w:after="0"/>
              <w:rPr>
                <w:sz w:val="20"/>
                <w:szCs w:val="20"/>
                <w:color w:val="auto"/>
              </w:rPr>
            </w:pPr>
            <w:r>
              <w:rPr>
                <w:rFonts w:ascii="Arial" w:cs="Arial" w:eastAsia="Arial" w:hAnsi="Arial"/>
                <w:sz w:val="11"/>
                <w:szCs w:val="11"/>
                <w:b w:val="1"/>
                <w:bCs w:val="1"/>
                <w:color w:val="FFFFFF"/>
                <w:w w:val="97"/>
              </w:rPr>
              <w:t>That Have Not Vested</w:t>
            </w:r>
          </w:p>
        </w:tc>
        <w:tc>
          <w:tcPr>
            <w:tcW w:w="120" w:type="dxa"/>
            <w:vAlign w:val="bottom"/>
            <w:tcBorders>
              <w:bottom w:val="single" w:sz="8" w:color="525252"/>
            </w:tcBorders>
            <w:shd w:val="clear" w:color="auto" w:fill="525252"/>
          </w:tcPr>
          <w:p>
            <w:pPr>
              <w:spacing w:after="0"/>
              <w:rPr>
                <w:sz w:val="12"/>
                <w:szCs w:val="12"/>
                <w:color w:val="auto"/>
              </w:rPr>
            </w:pPr>
          </w:p>
        </w:tc>
        <w:tc>
          <w:tcPr>
            <w:tcW w:w="860" w:type="dxa"/>
            <w:vAlign w:val="bottom"/>
            <w:tcBorders>
              <w:bottom w:val="single" w:sz="8" w:color="525252"/>
            </w:tcBorders>
            <w:shd w:val="clear" w:color="auto" w:fill="525252"/>
          </w:tcPr>
          <w:p>
            <w:pPr>
              <w:jc w:val="center"/>
              <w:spacing w:after="0"/>
              <w:rPr>
                <w:sz w:val="20"/>
                <w:szCs w:val="20"/>
                <w:color w:val="auto"/>
              </w:rPr>
            </w:pPr>
            <w:r>
              <w:rPr>
                <w:rFonts w:ascii="Arial" w:cs="Arial" w:eastAsia="Arial" w:hAnsi="Arial"/>
                <w:sz w:val="11"/>
                <w:szCs w:val="11"/>
                <w:b w:val="1"/>
                <w:bCs w:val="1"/>
                <w:color w:val="FFFFFF"/>
                <w:w w:val="94"/>
              </w:rPr>
              <w:t>Vested</w:t>
            </w:r>
            <w:r>
              <w:rPr>
                <w:rFonts w:ascii="Arial" w:cs="Arial" w:eastAsia="Arial" w:hAnsi="Arial"/>
                <w:sz w:val="7"/>
                <w:szCs w:val="7"/>
                <w:b w:val="1"/>
                <w:bCs w:val="1"/>
                <w:color w:val="FFFFFF"/>
                <w:w w:val="94"/>
              </w:rPr>
              <w:t>(3)</w:t>
            </w:r>
          </w:p>
        </w:tc>
        <w:tc>
          <w:tcPr>
            <w:tcW w:w="0" w:type="dxa"/>
            <w:vAlign w:val="bottom"/>
          </w:tcPr>
          <w:p>
            <w:pPr>
              <w:spacing w:after="0"/>
              <w:rPr>
                <w:sz w:val="1"/>
                <w:szCs w:val="1"/>
                <w:color w:val="auto"/>
              </w:rPr>
            </w:pPr>
          </w:p>
        </w:tc>
      </w:tr>
      <w:tr>
        <w:trPr>
          <w:trHeight w:val="173"/>
        </w:trPr>
        <w:tc>
          <w:tcPr>
            <w:tcW w:w="1220" w:type="dxa"/>
            <w:vAlign w:val="bottom"/>
          </w:tcPr>
          <w:p>
            <w:pPr>
              <w:ind w:left="40"/>
              <w:spacing w:after="0"/>
              <w:rPr>
                <w:sz w:val="20"/>
                <w:szCs w:val="20"/>
                <w:color w:val="auto"/>
              </w:rPr>
            </w:pPr>
            <w:r>
              <w:rPr>
                <w:rFonts w:ascii="Arial" w:cs="Arial" w:eastAsia="Arial" w:hAnsi="Arial"/>
                <w:sz w:val="13"/>
                <w:szCs w:val="13"/>
                <w:b w:val="1"/>
                <w:bCs w:val="1"/>
                <w:color w:val="auto"/>
              </w:rPr>
              <w:t>Rex D. Geveden</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220" w:type="dxa"/>
            <w:vAlign w:val="bottom"/>
          </w:tcPr>
          <w:p>
            <w:pPr>
              <w:ind w:left="40"/>
              <w:spacing w:after="0"/>
              <w:rPr>
                <w:sz w:val="20"/>
                <w:szCs w:val="20"/>
                <w:color w:val="auto"/>
              </w:rPr>
            </w:pPr>
            <w:r>
              <w:rPr>
                <w:rFonts w:ascii="Arial" w:cs="Arial" w:eastAsia="Arial" w:hAnsi="Arial"/>
                <w:sz w:val="13"/>
                <w:szCs w:val="13"/>
                <w:color w:val="auto"/>
              </w:rPr>
              <w:t>RSU</w:t>
            </w:r>
          </w:p>
        </w:tc>
        <w:tc>
          <w:tcPr>
            <w:tcW w:w="1000" w:type="dxa"/>
            <w:vAlign w:val="bottom"/>
            <w:gridSpan w:val="2"/>
            <w:vMerge w:val="restart"/>
          </w:tcPr>
          <w:p>
            <w:pPr>
              <w:jc w:val="right"/>
              <w:ind w:right="218"/>
              <w:spacing w:after="0"/>
              <w:rPr>
                <w:sz w:val="20"/>
                <w:szCs w:val="20"/>
                <w:color w:val="auto"/>
              </w:rPr>
            </w:pPr>
            <w:r>
              <w:rPr>
                <w:rFonts w:ascii="Arial" w:cs="Arial" w:eastAsia="Arial" w:hAnsi="Arial"/>
                <w:sz w:val="13"/>
                <w:szCs w:val="13"/>
                <w:color w:val="auto"/>
              </w:rPr>
              <w:t>11/9/2015</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80" w:type="dxa"/>
            <w:vAlign w:val="bottom"/>
            <w:vMerge w:val="restart"/>
          </w:tcPr>
          <w:p>
            <w:pPr>
              <w:jc w:val="right"/>
              <w:ind w:right="59"/>
              <w:spacing w:after="0"/>
              <w:rPr>
                <w:sz w:val="20"/>
                <w:szCs w:val="20"/>
                <w:color w:val="auto"/>
              </w:rPr>
            </w:pPr>
            <w:r>
              <w:rPr>
                <w:rFonts w:ascii="Arial" w:cs="Arial" w:eastAsia="Arial" w:hAnsi="Arial"/>
                <w:sz w:val="13"/>
                <w:szCs w:val="13"/>
                <w:color w:val="auto"/>
              </w:rPr>
              <w:t>6,716</w:t>
            </w:r>
          </w:p>
        </w:tc>
        <w:tc>
          <w:tcPr>
            <w:tcW w:w="420" w:type="dxa"/>
            <w:vAlign w:val="bottom"/>
            <w:vMerge w:val="restart"/>
          </w:tcPr>
          <w:p>
            <w:pPr>
              <w:ind w:left="20"/>
              <w:spacing w:after="0"/>
              <w:rPr>
                <w:sz w:val="20"/>
                <w:szCs w:val="20"/>
                <w:color w:val="auto"/>
              </w:rPr>
            </w:pPr>
            <w:r>
              <w:rPr>
                <w:rFonts w:ascii="Arial" w:cs="Arial" w:eastAsia="Arial" w:hAnsi="Arial"/>
                <w:sz w:val="9"/>
                <w:szCs w:val="9"/>
                <w:b w:val="1"/>
                <w:bCs w:val="1"/>
                <w:color w:val="auto"/>
              </w:rPr>
              <w:t>(6)</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   406,251</w:t>
            </w: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12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40"/>
              <w:spacing w:after="0"/>
              <w:rPr>
                <w:sz w:val="20"/>
                <w:szCs w:val="20"/>
                <w:color w:val="auto"/>
              </w:rPr>
            </w:pPr>
            <w:r>
              <w:rPr>
                <w:rFonts w:ascii="Arial" w:cs="Arial" w:eastAsia="Arial" w:hAnsi="Arial"/>
                <w:sz w:val="13"/>
                <w:szCs w:val="13"/>
                <w:color w:val="auto"/>
              </w:rPr>
              <w:t>RSU</w:t>
            </w:r>
          </w:p>
        </w:tc>
        <w:tc>
          <w:tcPr>
            <w:tcW w:w="1000" w:type="dxa"/>
            <w:vAlign w:val="bottom"/>
            <w:gridSpan w:val="2"/>
            <w:vMerge w:val="restart"/>
          </w:tcPr>
          <w:p>
            <w:pPr>
              <w:jc w:val="right"/>
              <w:ind w:right="218"/>
              <w:spacing w:after="0"/>
              <w:rPr>
                <w:sz w:val="20"/>
                <w:szCs w:val="20"/>
                <w:color w:val="auto"/>
              </w:rPr>
            </w:pPr>
            <w:r>
              <w:rPr>
                <w:rFonts w:ascii="Arial" w:cs="Arial" w:eastAsia="Arial" w:hAnsi="Arial"/>
                <w:sz w:val="13"/>
                <w:szCs w:val="13"/>
                <w:color w:val="auto"/>
              </w:rPr>
              <w:t>2/29/2016</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vMerge w:val="restart"/>
          </w:tcPr>
          <w:p>
            <w:pPr>
              <w:jc w:val="right"/>
              <w:ind w:right="59"/>
              <w:spacing w:after="0"/>
              <w:rPr>
                <w:sz w:val="20"/>
                <w:szCs w:val="20"/>
                <w:color w:val="auto"/>
              </w:rPr>
            </w:pPr>
            <w:r>
              <w:rPr>
                <w:rFonts w:ascii="Arial" w:cs="Arial" w:eastAsia="Arial" w:hAnsi="Arial"/>
                <w:sz w:val="13"/>
                <w:szCs w:val="13"/>
                <w:color w:val="auto"/>
              </w:rPr>
              <w:t>10,894</w:t>
            </w:r>
          </w:p>
        </w:tc>
        <w:tc>
          <w:tcPr>
            <w:tcW w:w="420" w:type="dxa"/>
            <w:vAlign w:val="bottom"/>
            <w:vMerge w:val="restart"/>
          </w:tcPr>
          <w:p>
            <w:pPr>
              <w:ind w:left="20"/>
              <w:spacing w:after="0"/>
              <w:rPr>
                <w:sz w:val="20"/>
                <w:szCs w:val="20"/>
                <w:color w:val="auto"/>
              </w:rPr>
            </w:pPr>
            <w:r>
              <w:rPr>
                <w:rFonts w:ascii="Arial" w:cs="Arial" w:eastAsia="Arial" w:hAnsi="Arial"/>
                <w:sz w:val="9"/>
                <w:szCs w:val="9"/>
                <w:b w:val="1"/>
                <w:bCs w:val="1"/>
                <w:color w:val="auto"/>
              </w:rPr>
              <w:t>(7)</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658,978</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2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40"/>
              <w:spacing w:after="0"/>
              <w:rPr>
                <w:sz w:val="20"/>
                <w:szCs w:val="20"/>
                <w:color w:val="auto"/>
              </w:rPr>
            </w:pPr>
            <w:r>
              <w:rPr>
                <w:rFonts w:ascii="Arial" w:cs="Arial" w:eastAsia="Arial" w:hAnsi="Arial"/>
                <w:sz w:val="13"/>
                <w:szCs w:val="13"/>
                <w:color w:val="auto"/>
              </w:rPr>
              <w:t>Performance RSU</w:t>
            </w:r>
          </w:p>
        </w:tc>
        <w:tc>
          <w:tcPr>
            <w:tcW w:w="1000" w:type="dxa"/>
            <w:vAlign w:val="bottom"/>
            <w:gridSpan w:val="2"/>
            <w:vMerge w:val="restart"/>
          </w:tcPr>
          <w:p>
            <w:pPr>
              <w:jc w:val="right"/>
              <w:ind w:right="218"/>
              <w:spacing w:after="0"/>
              <w:rPr>
                <w:sz w:val="20"/>
                <w:szCs w:val="20"/>
                <w:color w:val="auto"/>
              </w:rPr>
            </w:pPr>
            <w:r>
              <w:rPr>
                <w:rFonts w:ascii="Arial" w:cs="Arial" w:eastAsia="Arial" w:hAnsi="Arial"/>
                <w:sz w:val="13"/>
                <w:szCs w:val="13"/>
                <w:color w:val="auto"/>
              </w:rPr>
              <w:t>2/29/2016</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23,705</w:t>
            </w:r>
          </w:p>
        </w:tc>
        <w:tc>
          <w:tcPr>
            <w:tcW w:w="320" w:type="dxa"/>
            <w:vAlign w:val="bottom"/>
            <w:vMerge w:val="restart"/>
          </w:tcPr>
          <w:p>
            <w:pPr>
              <w:jc w:val="right"/>
              <w:ind w:right="15"/>
              <w:spacing w:after="0"/>
              <w:rPr>
                <w:sz w:val="20"/>
                <w:szCs w:val="20"/>
                <w:color w:val="auto"/>
              </w:rPr>
            </w:pPr>
            <w:r>
              <w:rPr>
                <w:rFonts w:ascii="Arial" w:cs="Arial" w:eastAsia="Arial" w:hAnsi="Arial"/>
                <w:sz w:val="9"/>
                <w:szCs w:val="9"/>
                <w:b w:val="1"/>
                <w:bCs w:val="1"/>
                <w:color w:val="auto"/>
              </w:rPr>
              <w:t>(13 )</w:t>
            </w:r>
          </w:p>
        </w:tc>
        <w:tc>
          <w:tcPr>
            <w:tcW w:w="980" w:type="dxa"/>
            <w:vAlign w:val="bottom"/>
            <w:gridSpan w:val="2"/>
            <w:vMerge w:val="restart"/>
          </w:tcPr>
          <w:p>
            <w:pPr>
              <w:jc w:val="right"/>
              <w:ind w:right="44"/>
              <w:spacing w:after="0"/>
              <w:rPr>
                <w:sz w:val="20"/>
                <w:szCs w:val="20"/>
                <w:color w:val="auto"/>
              </w:rPr>
            </w:pPr>
            <w:r>
              <w:rPr>
                <w:rFonts w:ascii="Arial" w:cs="Arial" w:eastAsia="Arial" w:hAnsi="Arial"/>
                <w:sz w:val="13"/>
                <w:szCs w:val="13"/>
                <w:color w:val="auto"/>
              </w:rPr>
              <w:t>$  1,433,915</w:t>
            </w:r>
          </w:p>
        </w:tc>
        <w:tc>
          <w:tcPr>
            <w:tcW w:w="0" w:type="dxa"/>
            <w:vAlign w:val="bottom"/>
          </w:tcPr>
          <w:p>
            <w:pPr>
              <w:spacing w:after="0"/>
              <w:rPr>
                <w:sz w:val="1"/>
                <w:szCs w:val="1"/>
                <w:color w:val="auto"/>
              </w:rPr>
            </w:pPr>
          </w:p>
        </w:tc>
      </w:tr>
      <w:tr>
        <w:trPr>
          <w:trHeight w:val="81"/>
        </w:trPr>
        <w:tc>
          <w:tcPr>
            <w:tcW w:w="12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40"/>
              <w:spacing w:after="0"/>
              <w:rPr>
                <w:sz w:val="20"/>
                <w:szCs w:val="20"/>
                <w:color w:val="auto"/>
              </w:rPr>
            </w:pPr>
            <w:r>
              <w:rPr>
                <w:rFonts w:ascii="Arial" w:cs="Arial" w:eastAsia="Arial" w:hAnsi="Arial"/>
                <w:sz w:val="13"/>
                <w:szCs w:val="13"/>
                <w:color w:val="auto"/>
              </w:rPr>
              <w:t>RSU</w:t>
            </w:r>
          </w:p>
        </w:tc>
        <w:tc>
          <w:tcPr>
            <w:tcW w:w="1000" w:type="dxa"/>
            <w:vAlign w:val="bottom"/>
            <w:gridSpan w:val="2"/>
            <w:vMerge w:val="restart"/>
          </w:tcPr>
          <w:p>
            <w:pPr>
              <w:jc w:val="right"/>
              <w:spacing w:after="0"/>
              <w:rPr>
                <w:sz w:val="20"/>
                <w:szCs w:val="20"/>
                <w:color w:val="auto"/>
              </w:rPr>
            </w:pPr>
            <w:r>
              <w:rPr>
                <w:rFonts w:ascii="Arial" w:cs="Arial" w:eastAsia="Arial" w:hAnsi="Arial"/>
                <w:sz w:val="13"/>
                <w:szCs w:val="13"/>
                <w:color w:val="auto"/>
              </w:rPr>
              <w:t>3/2/2017</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vMerge w:val="restart"/>
          </w:tcPr>
          <w:p>
            <w:pPr>
              <w:jc w:val="right"/>
              <w:ind w:right="59"/>
              <w:spacing w:after="0"/>
              <w:rPr>
                <w:sz w:val="20"/>
                <w:szCs w:val="20"/>
                <w:color w:val="auto"/>
              </w:rPr>
            </w:pPr>
            <w:r>
              <w:rPr>
                <w:rFonts w:ascii="Arial" w:cs="Arial" w:eastAsia="Arial" w:hAnsi="Arial"/>
                <w:sz w:val="13"/>
                <w:szCs w:val="13"/>
                <w:color w:val="auto"/>
              </w:rPr>
              <w:t>21,222</w:t>
            </w:r>
          </w:p>
        </w:tc>
        <w:tc>
          <w:tcPr>
            <w:tcW w:w="420" w:type="dxa"/>
            <w:vAlign w:val="bottom"/>
            <w:vMerge w:val="restart"/>
          </w:tcPr>
          <w:p>
            <w:pPr>
              <w:ind w:left="20"/>
              <w:spacing w:after="0"/>
              <w:rPr>
                <w:sz w:val="20"/>
                <w:szCs w:val="20"/>
                <w:color w:val="auto"/>
              </w:rPr>
            </w:pPr>
            <w:r>
              <w:rPr>
                <w:rFonts w:ascii="Arial" w:cs="Arial" w:eastAsia="Arial" w:hAnsi="Arial"/>
                <w:sz w:val="9"/>
                <w:szCs w:val="9"/>
                <w:b w:val="1"/>
                <w:bCs w:val="1"/>
                <w:color w:val="auto"/>
              </w:rPr>
              <w:t>(8)</w:t>
            </w: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1,283,719</w:t>
            </w: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2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40"/>
              <w:spacing w:after="0"/>
              <w:rPr>
                <w:sz w:val="20"/>
                <w:szCs w:val="20"/>
                <w:color w:val="auto"/>
              </w:rPr>
            </w:pPr>
            <w:r>
              <w:rPr>
                <w:rFonts w:ascii="Arial" w:cs="Arial" w:eastAsia="Arial" w:hAnsi="Arial"/>
                <w:sz w:val="13"/>
                <w:szCs w:val="13"/>
                <w:color w:val="auto"/>
              </w:rPr>
              <w:t>Performance RSU</w:t>
            </w:r>
          </w:p>
        </w:tc>
        <w:tc>
          <w:tcPr>
            <w:tcW w:w="1000" w:type="dxa"/>
            <w:vAlign w:val="bottom"/>
            <w:gridSpan w:val="2"/>
            <w:vMerge w:val="restart"/>
          </w:tcPr>
          <w:p>
            <w:pPr>
              <w:jc w:val="right"/>
              <w:spacing w:after="0"/>
              <w:rPr>
                <w:sz w:val="20"/>
                <w:szCs w:val="20"/>
                <w:color w:val="auto"/>
              </w:rPr>
            </w:pPr>
            <w:r>
              <w:rPr>
                <w:rFonts w:ascii="Arial" w:cs="Arial" w:eastAsia="Arial" w:hAnsi="Arial"/>
                <w:sz w:val="13"/>
                <w:szCs w:val="13"/>
                <w:color w:val="auto"/>
              </w:rPr>
              <w:t>3/2/2017</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30,309</w:t>
            </w:r>
          </w:p>
        </w:tc>
        <w:tc>
          <w:tcPr>
            <w:tcW w:w="320" w:type="dxa"/>
            <w:vAlign w:val="bottom"/>
            <w:vMerge w:val="restart"/>
          </w:tcPr>
          <w:p>
            <w:pPr>
              <w:jc w:val="right"/>
              <w:ind w:right="15"/>
              <w:spacing w:after="0"/>
              <w:rPr>
                <w:sz w:val="20"/>
                <w:szCs w:val="20"/>
                <w:color w:val="auto"/>
              </w:rPr>
            </w:pPr>
            <w:r>
              <w:rPr>
                <w:rFonts w:ascii="Arial" w:cs="Arial" w:eastAsia="Arial" w:hAnsi="Arial"/>
                <w:sz w:val="9"/>
                <w:szCs w:val="9"/>
                <w:b w:val="1"/>
                <w:bCs w:val="1"/>
                <w:color w:val="auto"/>
              </w:rPr>
              <w:t>(14 )</w:t>
            </w:r>
          </w:p>
        </w:tc>
        <w:tc>
          <w:tcPr>
            <w:tcW w:w="980" w:type="dxa"/>
            <w:vAlign w:val="bottom"/>
            <w:gridSpan w:val="2"/>
            <w:vMerge w:val="restart"/>
          </w:tcPr>
          <w:p>
            <w:pPr>
              <w:jc w:val="right"/>
              <w:ind w:right="44"/>
              <w:spacing w:after="0"/>
              <w:rPr>
                <w:sz w:val="20"/>
                <w:szCs w:val="20"/>
                <w:color w:val="auto"/>
              </w:rPr>
            </w:pPr>
            <w:r>
              <w:rPr>
                <w:rFonts w:ascii="Arial" w:cs="Arial" w:eastAsia="Arial" w:hAnsi="Arial"/>
                <w:sz w:val="13"/>
                <w:szCs w:val="13"/>
                <w:color w:val="auto"/>
              </w:rPr>
              <w:t>1,833,391</w:t>
            </w:r>
          </w:p>
        </w:tc>
        <w:tc>
          <w:tcPr>
            <w:tcW w:w="0" w:type="dxa"/>
            <w:vAlign w:val="bottom"/>
          </w:tcPr>
          <w:p>
            <w:pPr>
              <w:spacing w:after="0"/>
              <w:rPr>
                <w:sz w:val="1"/>
                <w:szCs w:val="1"/>
                <w:color w:val="auto"/>
              </w:rPr>
            </w:pPr>
          </w:p>
        </w:tc>
      </w:tr>
      <w:tr>
        <w:trPr>
          <w:trHeight w:val="81"/>
        </w:trPr>
        <w:tc>
          <w:tcPr>
            <w:tcW w:w="12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220" w:type="dxa"/>
            <w:vAlign w:val="bottom"/>
            <w:shd w:val="clear" w:color="auto" w:fill="E5E5E5"/>
          </w:tcPr>
          <w:p>
            <w:pPr>
              <w:ind w:left="40"/>
              <w:spacing w:after="0"/>
              <w:rPr>
                <w:sz w:val="20"/>
                <w:szCs w:val="20"/>
                <w:color w:val="auto"/>
              </w:rPr>
            </w:pPr>
            <w:r>
              <w:rPr>
                <w:rFonts w:ascii="Arial" w:cs="Arial" w:eastAsia="Arial" w:hAnsi="Arial"/>
                <w:sz w:val="13"/>
                <w:szCs w:val="13"/>
                <w:b w:val="1"/>
                <w:bCs w:val="1"/>
                <w:color w:val="auto"/>
              </w:rPr>
              <w:t>David S. Black</w:t>
            </w:r>
          </w:p>
        </w:tc>
        <w:tc>
          <w:tcPr>
            <w:tcW w:w="120" w:type="dxa"/>
            <w:vAlign w:val="bottom"/>
            <w:shd w:val="clear" w:color="auto" w:fill="E5E5E5"/>
          </w:tcPr>
          <w:p>
            <w:pPr>
              <w:spacing w:after="0"/>
              <w:rPr>
                <w:sz w:val="15"/>
                <w:szCs w:val="15"/>
                <w:color w:val="auto"/>
              </w:rPr>
            </w:pPr>
          </w:p>
        </w:tc>
        <w:tc>
          <w:tcPr>
            <w:tcW w:w="88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000" w:type="dxa"/>
            <w:vAlign w:val="bottom"/>
            <w:shd w:val="clear" w:color="auto" w:fill="E5E5E5"/>
          </w:tcPr>
          <w:p>
            <w:pPr>
              <w:spacing w:after="0"/>
              <w:rPr>
                <w:sz w:val="15"/>
                <w:szCs w:val="15"/>
                <w:color w:val="auto"/>
              </w:rPr>
            </w:pPr>
          </w:p>
        </w:tc>
        <w:tc>
          <w:tcPr>
            <w:tcW w:w="104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640" w:type="dxa"/>
            <w:vAlign w:val="bottom"/>
            <w:shd w:val="clear" w:color="auto" w:fill="E5E5E5"/>
          </w:tcPr>
          <w:p>
            <w:pPr>
              <w:spacing w:after="0"/>
              <w:rPr>
                <w:sz w:val="15"/>
                <w:szCs w:val="15"/>
                <w:color w:val="auto"/>
              </w:rPr>
            </w:pPr>
          </w:p>
        </w:tc>
        <w:tc>
          <w:tcPr>
            <w:tcW w:w="1180" w:type="dxa"/>
            <w:vAlign w:val="bottom"/>
            <w:shd w:val="clear" w:color="auto" w:fill="E5E5E5"/>
          </w:tcPr>
          <w:p>
            <w:pPr>
              <w:spacing w:after="0"/>
              <w:rPr>
                <w:sz w:val="15"/>
                <w:szCs w:val="15"/>
                <w:color w:val="auto"/>
              </w:rPr>
            </w:pPr>
          </w:p>
        </w:tc>
        <w:tc>
          <w:tcPr>
            <w:tcW w:w="780" w:type="dxa"/>
            <w:vAlign w:val="bottom"/>
            <w:shd w:val="clear" w:color="auto" w:fill="E5E5E5"/>
          </w:tcPr>
          <w:p>
            <w:pPr>
              <w:spacing w:after="0"/>
              <w:rPr>
                <w:sz w:val="15"/>
                <w:szCs w:val="15"/>
                <w:color w:val="auto"/>
              </w:rPr>
            </w:pPr>
          </w:p>
        </w:tc>
        <w:tc>
          <w:tcPr>
            <w:tcW w:w="42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220" w:type="dxa"/>
            <w:vAlign w:val="bottom"/>
            <w:shd w:val="clear" w:color="auto" w:fill="E5E5E5"/>
          </w:tcPr>
          <w:p>
            <w:pPr>
              <w:ind w:left="40"/>
              <w:spacing w:after="0"/>
              <w:rPr>
                <w:sz w:val="20"/>
                <w:szCs w:val="20"/>
                <w:color w:val="auto"/>
              </w:rPr>
            </w:pPr>
            <w:r>
              <w:rPr>
                <w:rFonts w:ascii="Arial" w:cs="Arial" w:eastAsia="Arial" w:hAnsi="Arial"/>
                <w:sz w:val="13"/>
                <w:szCs w:val="13"/>
                <w:color w:val="auto"/>
              </w:rPr>
              <w:t>Stock Options</w:t>
            </w:r>
          </w:p>
        </w:tc>
        <w:tc>
          <w:tcPr>
            <w:tcW w:w="120" w:type="dxa"/>
            <w:vAlign w:val="bottom"/>
            <w:shd w:val="clear" w:color="auto" w:fill="E5E5E5"/>
          </w:tcPr>
          <w:p>
            <w:pPr>
              <w:spacing w:after="0"/>
              <w:rPr>
                <w:sz w:val="23"/>
                <w:szCs w:val="23"/>
                <w:color w:val="auto"/>
              </w:rPr>
            </w:pPr>
          </w:p>
        </w:tc>
        <w:tc>
          <w:tcPr>
            <w:tcW w:w="88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3/2/2015</w:t>
            </w:r>
          </w:p>
        </w:tc>
        <w:tc>
          <w:tcPr>
            <w:tcW w:w="120" w:type="dxa"/>
            <w:vAlign w:val="bottom"/>
            <w:shd w:val="clear" w:color="auto" w:fill="E5E5E5"/>
          </w:tcPr>
          <w:p>
            <w:pPr>
              <w:spacing w:after="0"/>
              <w:rPr>
                <w:sz w:val="23"/>
                <w:szCs w:val="23"/>
                <w:color w:val="auto"/>
              </w:rPr>
            </w:pPr>
          </w:p>
        </w:tc>
        <w:tc>
          <w:tcPr>
            <w:tcW w:w="1000" w:type="dxa"/>
            <w:vAlign w:val="bottom"/>
            <w:vMerge w:val="restart"/>
            <w:shd w:val="clear" w:color="auto" w:fill="E5E5E5"/>
          </w:tcPr>
          <w:p>
            <w:pPr>
              <w:jc w:val="right"/>
              <w:ind w:right="63"/>
              <w:spacing w:after="0"/>
              <w:rPr>
                <w:sz w:val="20"/>
                <w:szCs w:val="20"/>
                <w:color w:val="auto"/>
              </w:rPr>
            </w:pPr>
            <w:r>
              <w:rPr>
                <w:rFonts w:ascii="Arial" w:cs="Arial" w:eastAsia="Arial" w:hAnsi="Arial"/>
                <w:sz w:val="13"/>
                <w:szCs w:val="13"/>
                <w:color w:val="auto"/>
              </w:rPr>
              <w:t>—</w:t>
            </w:r>
          </w:p>
        </w:tc>
        <w:tc>
          <w:tcPr>
            <w:tcW w:w="1040" w:type="dxa"/>
            <w:vAlign w:val="bottom"/>
            <w:vMerge w:val="restart"/>
            <w:shd w:val="clear" w:color="auto" w:fill="E5E5E5"/>
          </w:tcPr>
          <w:p>
            <w:pPr>
              <w:jc w:val="right"/>
              <w:ind w:right="83"/>
              <w:spacing w:after="0"/>
              <w:rPr>
                <w:sz w:val="20"/>
                <w:szCs w:val="20"/>
                <w:color w:val="auto"/>
              </w:rPr>
            </w:pPr>
            <w:r>
              <w:rPr>
                <w:rFonts w:ascii="Arial" w:cs="Arial" w:eastAsia="Arial" w:hAnsi="Arial"/>
                <w:sz w:val="13"/>
                <w:szCs w:val="13"/>
                <w:color w:val="auto"/>
              </w:rPr>
              <w:t>7,323</w:t>
            </w:r>
          </w:p>
        </w:tc>
        <w:tc>
          <w:tcPr>
            <w:tcW w:w="320" w:type="dxa"/>
            <w:vAlign w:val="bottom"/>
            <w:vMerge w:val="restart"/>
            <w:shd w:val="clear" w:color="auto" w:fill="E5E5E5"/>
          </w:tcPr>
          <w:p>
            <w:pPr>
              <w:jc w:val="center"/>
              <w:ind w:right="155"/>
              <w:spacing w:after="0"/>
              <w:rPr>
                <w:sz w:val="20"/>
                <w:szCs w:val="20"/>
                <w:color w:val="auto"/>
              </w:rPr>
            </w:pPr>
            <w:r>
              <w:rPr>
                <w:rFonts w:ascii="Arial" w:cs="Arial" w:eastAsia="Arial" w:hAnsi="Arial"/>
                <w:sz w:val="9"/>
                <w:szCs w:val="9"/>
                <w:b w:val="1"/>
                <w:bCs w:val="1"/>
                <w:color w:val="auto"/>
              </w:rPr>
              <w:t>(4)</w:t>
            </w:r>
          </w:p>
        </w:tc>
        <w:tc>
          <w:tcPr>
            <w:tcW w:w="22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E5E5E5"/>
          </w:tcPr>
          <w:p>
            <w:pPr>
              <w:jc w:val="right"/>
              <w:ind w:right="41"/>
              <w:spacing w:after="0"/>
              <w:rPr>
                <w:sz w:val="20"/>
                <w:szCs w:val="20"/>
                <w:color w:val="auto"/>
              </w:rPr>
            </w:pPr>
            <w:r>
              <w:rPr>
                <w:rFonts w:ascii="Arial" w:cs="Arial" w:eastAsia="Arial" w:hAnsi="Arial"/>
                <w:sz w:val="13"/>
                <w:szCs w:val="13"/>
                <w:color w:val="auto"/>
              </w:rPr>
              <w:t>23.62</w:t>
            </w:r>
          </w:p>
        </w:tc>
        <w:tc>
          <w:tcPr>
            <w:tcW w:w="1180" w:type="dxa"/>
            <w:vAlign w:val="bottom"/>
            <w:vMerge w:val="restart"/>
            <w:shd w:val="clear" w:color="auto" w:fill="E5E5E5"/>
          </w:tcPr>
          <w:p>
            <w:pPr>
              <w:jc w:val="right"/>
              <w:ind w:right="181"/>
              <w:spacing w:after="0"/>
              <w:rPr>
                <w:sz w:val="20"/>
                <w:szCs w:val="20"/>
                <w:color w:val="auto"/>
              </w:rPr>
            </w:pPr>
            <w:r>
              <w:rPr>
                <w:rFonts w:ascii="Arial" w:cs="Arial" w:eastAsia="Arial" w:hAnsi="Arial"/>
                <w:sz w:val="13"/>
                <w:szCs w:val="13"/>
                <w:color w:val="auto"/>
              </w:rPr>
              <w:t>3/2/2025</w:t>
            </w:r>
          </w:p>
        </w:tc>
        <w:tc>
          <w:tcPr>
            <w:tcW w:w="780" w:type="dxa"/>
            <w:vAlign w:val="bottom"/>
            <w:shd w:val="clear" w:color="auto" w:fill="E5E5E5"/>
          </w:tcPr>
          <w:p>
            <w:pPr>
              <w:spacing w:after="0"/>
              <w:rPr>
                <w:sz w:val="23"/>
                <w:szCs w:val="23"/>
                <w:color w:val="auto"/>
              </w:rPr>
            </w:pPr>
          </w:p>
        </w:tc>
        <w:tc>
          <w:tcPr>
            <w:tcW w:w="420" w:type="dxa"/>
            <w:vAlign w:val="bottom"/>
            <w:shd w:val="clear" w:color="auto" w:fill="E5E5E5"/>
          </w:tcPr>
          <w:p>
            <w:pPr>
              <w:spacing w:after="0"/>
              <w:rPr>
                <w:sz w:val="23"/>
                <w:szCs w:val="23"/>
                <w:color w:val="auto"/>
              </w:rPr>
            </w:pPr>
          </w:p>
        </w:tc>
        <w:tc>
          <w:tcPr>
            <w:tcW w:w="760" w:type="dxa"/>
            <w:vAlign w:val="bottom"/>
            <w:shd w:val="clear" w:color="auto" w:fill="E5E5E5"/>
          </w:tcPr>
          <w:p>
            <w:pPr>
              <w:spacing w:after="0"/>
              <w:rPr>
                <w:sz w:val="23"/>
                <w:szCs w:val="23"/>
                <w:color w:val="auto"/>
              </w:rPr>
            </w:pPr>
          </w:p>
        </w:tc>
        <w:tc>
          <w:tcPr>
            <w:tcW w:w="100" w:type="dxa"/>
            <w:vAlign w:val="bottom"/>
            <w:shd w:val="clear" w:color="auto" w:fill="E5E5E5"/>
          </w:tcPr>
          <w:p>
            <w:pPr>
              <w:spacing w:after="0"/>
              <w:rPr>
                <w:sz w:val="23"/>
                <w:szCs w:val="23"/>
                <w:color w:val="auto"/>
              </w:rPr>
            </w:pPr>
          </w:p>
        </w:tc>
        <w:tc>
          <w:tcPr>
            <w:tcW w:w="860" w:type="dxa"/>
            <w:vAlign w:val="bottom"/>
            <w:shd w:val="clear" w:color="auto" w:fill="E5E5E5"/>
          </w:tcPr>
          <w:p>
            <w:pPr>
              <w:spacing w:after="0"/>
              <w:rPr>
                <w:sz w:val="23"/>
                <w:szCs w:val="23"/>
                <w:color w:val="auto"/>
              </w:rPr>
            </w:pPr>
          </w:p>
        </w:tc>
        <w:tc>
          <w:tcPr>
            <w:tcW w:w="32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860" w:type="dxa"/>
            <w:vAlign w:val="bottom"/>
            <w:shd w:val="clear" w:color="auto" w:fill="E5E5E5"/>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1220" w:type="dxa"/>
            <w:vAlign w:val="bottom"/>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880" w:type="dxa"/>
            <w:vAlign w:val="bottom"/>
            <w:vMerge w:val="continue"/>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1000" w:type="dxa"/>
            <w:vAlign w:val="bottom"/>
            <w:vMerge w:val="continue"/>
            <w:shd w:val="clear" w:color="auto" w:fill="E5E5E5"/>
          </w:tcPr>
          <w:p>
            <w:pPr>
              <w:spacing w:after="0"/>
              <w:rPr>
                <w:sz w:val="7"/>
                <w:szCs w:val="7"/>
                <w:color w:val="auto"/>
              </w:rPr>
            </w:pPr>
          </w:p>
        </w:tc>
        <w:tc>
          <w:tcPr>
            <w:tcW w:w="1040" w:type="dxa"/>
            <w:vAlign w:val="bottom"/>
            <w:vMerge w:val="continue"/>
            <w:shd w:val="clear" w:color="auto" w:fill="E5E5E5"/>
          </w:tcPr>
          <w:p>
            <w:pPr>
              <w:spacing w:after="0"/>
              <w:rPr>
                <w:sz w:val="7"/>
                <w:szCs w:val="7"/>
                <w:color w:val="auto"/>
              </w:rPr>
            </w:pPr>
          </w:p>
        </w:tc>
        <w:tc>
          <w:tcPr>
            <w:tcW w:w="320" w:type="dxa"/>
            <w:vAlign w:val="bottom"/>
            <w:vMerge w:val="continue"/>
            <w:shd w:val="clear" w:color="auto" w:fill="E5E5E5"/>
          </w:tcPr>
          <w:p>
            <w:pPr>
              <w:spacing w:after="0"/>
              <w:rPr>
                <w:sz w:val="7"/>
                <w:szCs w:val="7"/>
                <w:color w:val="auto"/>
              </w:rPr>
            </w:pPr>
          </w:p>
        </w:tc>
        <w:tc>
          <w:tcPr>
            <w:tcW w:w="220" w:type="dxa"/>
            <w:vAlign w:val="bottom"/>
            <w:vMerge w:val="continue"/>
            <w:shd w:val="clear" w:color="auto" w:fill="E5E5E5"/>
          </w:tcPr>
          <w:p>
            <w:pPr>
              <w:spacing w:after="0"/>
              <w:rPr>
                <w:sz w:val="7"/>
                <w:szCs w:val="7"/>
                <w:color w:val="auto"/>
              </w:rPr>
            </w:pPr>
          </w:p>
        </w:tc>
        <w:tc>
          <w:tcPr>
            <w:tcW w:w="640" w:type="dxa"/>
            <w:vAlign w:val="bottom"/>
            <w:vMerge w:val="continue"/>
            <w:shd w:val="clear" w:color="auto" w:fill="E5E5E5"/>
          </w:tcPr>
          <w:p>
            <w:pPr>
              <w:spacing w:after="0"/>
              <w:rPr>
                <w:sz w:val="7"/>
                <w:szCs w:val="7"/>
                <w:color w:val="auto"/>
              </w:rPr>
            </w:pPr>
          </w:p>
        </w:tc>
        <w:tc>
          <w:tcPr>
            <w:tcW w:w="1180" w:type="dxa"/>
            <w:vAlign w:val="bottom"/>
            <w:vMerge w:val="continue"/>
            <w:shd w:val="clear" w:color="auto" w:fill="E5E5E5"/>
          </w:tcPr>
          <w:p>
            <w:pPr>
              <w:spacing w:after="0"/>
              <w:rPr>
                <w:sz w:val="7"/>
                <w:szCs w:val="7"/>
                <w:color w:val="auto"/>
              </w:rPr>
            </w:pPr>
          </w:p>
        </w:tc>
        <w:tc>
          <w:tcPr>
            <w:tcW w:w="780" w:type="dxa"/>
            <w:vAlign w:val="bottom"/>
            <w:shd w:val="clear" w:color="auto" w:fill="E5E5E5"/>
          </w:tcPr>
          <w:p>
            <w:pPr>
              <w:spacing w:after="0"/>
              <w:rPr>
                <w:sz w:val="7"/>
                <w:szCs w:val="7"/>
                <w:color w:val="auto"/>
              </w:rPr>
            </w:pPr>
          </w:p>
        </w:tc>
        <w:tc>
          <w:tcPr>
            <w:tcW w:w="420" w:type="dxa"/>
            <w:vAlign w:val="bottom"/>
            <w:shd w:val="clear" w:color="auto" w:fill="E5E5E5"/>
          </w:tcPr>
          <w:p>
            <w:pPr>
              <w:spacing w:after="0"/>
              <w:rPr>
                <w:sz w:val="7"/>
                <w:szCs w:val="7"/>
                <w:color w:val="auto"/>
              </w:rPr>
            </w:pPr>
          </w:p>
        </w:tc>
        <w:tc>
          <w:tcPr>
            <w:tcW w:w="760" w:type="dxa"/>
            <w:vAlign w:val="bottom"/>
            <w:shd w:val="clear" w:color="auto" w:fill="E5E5E5"/>
          </w:tcPr>
          <w:p>
            <w:pPr>
              <w:spacing w:after="0"/>
              <w:rPr>
                <w:sz w:val="7"/>
                <w:szCs w:val="7"/>
                <w:color w:val="auto"/>
              </w:rPr>
            </w:pPr>
          </w:p>
        </w:tc>
        <w:tc>
          <w:tcPr>
            <w:tcW w:w="100" w:type="dxa"/>
            <w:vAlign w:val="bottom"/>
            <w:shd w:val="clear" w:color="auto" w:fill="E5E5E5"/>
          </w:tcPr>
          <w:p>
            <w:pPr>
              <w:spacing w:after="0"/>
              <w:rPr>
                <w:sz w:val="7"/>
                <w:szCs w:val="7"/>
                <w:color w:val="auto"/>
              </w:rPr>
            </w:pPr>
          </w:p>
        </w:tc>
        <w:tc>
          <w:tcPr>
            <w:tcW w:w="860" w:type="dxa"/>
            <w:vAlign w:val="bottom"/>
            <w:shd w:val="clear" w:color="auto" w:fill="E5E5E5"/>
          </w:tcPr>
          <w:p>
            <w:pPr>
              <w:spacing w:after="0"/>
              <w:rPr>
                <w:sz w:val="7"/>
                <w:szCs w:val="7"/>
                <w:color w:val="auto"/>
              </w:rPr>
            </w:pPr>
          </w:p>
        </w:tc>
        <w:tc>
          <w:tcPr>
            <w:tcW w:w="320" w:type="dxa"/>
            <w:vAlign w:val="bottom"/>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860" w:type="dxa"/>
            <w:vAlign w:val="bottom"/>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E5E5E5"/>
          </w:tcPr>
          <w:p>
            <w:pPr>
              <w:ind w:left="40"/>
              <w:spacing w:after="0"/>
              <w:rPr>
                <w:sz w:val="20"/>
                <w:szCs w:val="20"/>
                <w:color w:val="auto"/>
              </w:rPr>
            </w:pPr>
            <w:r>
              <w:rPr>
                <w:rFonts w:ascii="Arial" w:cs="Arial" w:eastAsia="Arial" w:hAnsi="Arial"/>
                <w:sz w:val="13"/>
                <w:szCs w:val="13"/>
                <w:color w:val="auto"/>
              </w:rPr>
              <w:t>Stock Options</w:t>
            </w:r>
          </w:p>
        </w:tc>
        <w:tc>
          <w:tcPr>
            <w:tcW w:w="120" w:type="dxa"/>
            <w:vAlign w:val="bottom"/>
            <w:shd w:val="clear" w:color="auto" w:fill="E5E5E5"/>
          </w:tcPr>
          <w:p>
            <w:pPr>
              <w:spacing w:after="0"/>
              <w:rPr>
                <w:sz w:val="16"/>
                <w:szCs w:val="16"/>
                <w:color w:val="auto"/>
              </w:rPr>
            </w:pPr>
          </w:p>
        </w:tc>
        <w:tc>
          <w:tcPr>
            <w:tcW w:w="88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7/1/2015</w:t>
            </w:r>
          </w:p>
        </w:tc>
        <w:tc>
          <w:tcPr>
            <w:tcW w:w="1120" w:type="dxa"/>
            <w:vAlign w:val="bottom"/>
            <w:gridSpan w:val="2"/>
            <w:vMerge w:val="restart"/>
            <w:shd w:val="clear" w:color="auto" w:fill="E5E5E5"/>
          </w:tcPr>
          <w:p>
            <w:pPr>
              <w:jc w:val="right"/>
              <w:ind w:right="63"/>
              <w:spacing w:after="0"/>
              <w:rPr>
                <w:sz w:val="20"/>
                <w:szCs w:val="20"/>
                <w:color w:val="auto"/>
              </w:rPr>
            </w:pPr>
            <w:r>
              <w:rPr>
                <w:rFonts w:ascii="Arial" w:cs="Arial" w:eastAsia="Arial" w:hAnsi="Arial"/>
                <w:sz w:val="13"/>
                <w:szCs w:val="13"/>
                <w:color w:val="auto"/>
              </w:rPr>
              <w:t>5,052</w:t>
            </w:r>
          </w:p>
        </w:tc>
        <w:tc>
          <w:tcPr>
            <w:tcW w:w="1040" w:type="dxa"/>
            <w:vAlign w:val="bottom"/>
            <w:vMerge w:val="restart"/>
            <w:shd w:val="clear" w:color="auto" w:fill="E5E5E5"/>
          </w:tcPr>
          <w:p>
            <w:pPr>
              <w:jc w:val="right"/>
              <w:ind w:right="83"/>
              <w:spacing w:after="0"/>
              <w:rPr>
                <w:sz w:val="20"/>
                <w:szCs w:val="20"/>
                <w:color w:val="auto"/>
              </w:rPr>
            </w:pPr>
            <w:r>
              <w:rPr>
                <w:rFonts w:ascii="Arial" w:cs="Arial" w:eastAsia="Arial" w:hAnsi="Arial"/>
                <w:sz w:val="13"/>
                <w:szCs w:val="13"/>
                <w:color w:val="auto"/>
              </w:rPr>
              <w:t>5,052</w:t>
            </w:r>
          </w:p>
        </w:tc>
        <w:tc>
          <w:tcPr>
            <w:tcW w:w="320" w:type="dxa"/>
            <w:vAlign w:val="bottom"/>
            <w:vMerge w:val="restart"/>
            <w:shd w:val="clear" w:color="auto" w:fill="E5E5E5"/>
          </w:tcPr>
          <w:p>
            <w:pPr>
              <w:jc w:val="center"/>
              <w:ind w:right="155"/>
              <w:spacing w:after="0"/>
              <w:rPr>
                <w:sz w:val="20"/>
                <w:szCs w:val="20"/>
                <w:color w:val="auto"/>
              </w:rPr>
            </w:pPr>
            <w:r>
              <w:rPr>
                <w:rFonts w:ascii="Arial" w:cs="Arial" w:eastAsia="Arial" w:hAnsi="Arial"/>
                <w:sz w:val="9"/>
                <w:szCs w:val="9"/>
                <w:b w:val="1"/>
                <w:bCs w:val="1"/>
                <w:color w:val="auto"/>
              </w:rPr>
              <w:t>(5)</w:t>
            </w:r>
          </w:p>
        </w:tc>
        <w:tc>
          <w:tcPr>
            <w:tcW w:w="220" w:type="dxa"/>
            <w:vAlign w:val="bottom"/>
            <w:shd w:val="clear" w:color="auto" w:fill="E5E5E5"/>
          </w:tcPr>
          <w:p>
            <w:pPr>
              <w:spacing w:after="0"/>
              <w:rPr>
                <w:sz w:val="16"/>
                <w:szCs w:val="16"/>
                <w:color w:val="auto"/>
              </w:rPr>
            </w:pPr>
          </w:p>
        </w:tc>
        <w:tc>
          <w:tcPr>
            <w:tcW w:w="640" w:type="dxa"/>
            <w:vAlign w:val="bottom"/>
            <w:vMerge w:val="restart"/>
            <w:shd w:val="clear" w:color="auto" w:fill="E5E5E5"/>
          </w:tcPr>
          <w:p>
            <w:pPr>
              <w:jc w:val="right"/>
              <w:ind w:right="41"/>
              <w:spacing w:after="0"/>
              <w:rPr>
                <w:sz w:val="20"/>
                <w:szCs w:val="20"/>
                <w:color w:val="auto"/>
              </w:rPr>
            </w:pPr>
            <w:r>
              <w:rPr>
                <w:rFonts w:ascii="Arial" w:cs="Arial" w:eastAsia="Arial" w:hAnsi="Arial"/>
                <w:sz w:val="13"/>
                <w:szCs w:val="13"/>
                <w:color w:val="auto"/>
              </w:rPr>
              <w:t>24.45</w:t>
            </w:r>
          </w:p>
        </w:tc>
        <w:tc>
          <w:tcPr>
            <w:tcW w:w="1180" w:type="dxa"/>
            <w:vAlign w:val="bottom"/>
            <w:vMerge w:val="restart"/>
            <w:shd w:val="clear" w:color="auto" w:fill="E5E5E5"/>
          </w:tcPr>
          <w:p>
            <w:pPr>
              <w:jc w:val="right"/>
              <w:ind w:right="181"/>
              <w:spacing w:after="0"/>
              <w:rPr>
                <w:sz w:val="20"/>
                <w:szCs w:val="20"/>
                <w:color w:val="auto"/>
              </w:rPr>
            </w:pPr>
            <w:r>
              <w:rPr>
                <w:rFonts w:ascii="Arial" w:cs="Arial" w:eastAsia="Arial" w:hAnsi="Arial"/>
                <w:sz w:val="13"/>
                <w:szCs w:val="13"/>
                <w:color w:val="auto"/>
              </w:rPr>
              <w:t>7/1/2025</w:t>
            </w:r>
          </w:p>
        </w:tc>
        <w:tc>
          <w:tcPr>
            <w:tcW w:w="78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220" w:type="dxa"/>
            <w:vAlign w:val="bottom"/>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880" w:type="dxa"/>
            <w:vAlign w:val="bottom"/>
            <w:vMerge w:val="continue"/>
            <w:shd w:val="clear" w:color="auto" w:fill="E5E5E5"/>
          </w:tcPr>
          <w:p>
            <w:pPr>
              <w:spacing w:after="0"/>
              <w:rPr>
                <w:sz w:val="7"/>
                <w:szCs w:val="7"/>
                <w:color w:val="auto"/>
              </w:rPr>
            </w:pPr>
          </w:p>
        </w:tc>
        <w:tc>
          <w:tcPr>
            <w:tcW w:w="1120" w:type="dxa"/>
            <w:vAlign w:val="bottom"/>
            <w:gridSpan w:val="2"/>
            <w:vMerge w:val="continue"/>
            <w:shd w:val="clear" w:color="auto" w:fill="E5E5E5"/>
          </w:tcPr>
          <w:p>
            <w:pPr>
              <w:spacing w:after="0"/>
              <w:rPr>
                <w:sz w:val="7"/>
                <w:szCs w:val="7"/>
                <w:color w:val="auto"/>
              </w:rPr>
            </w:pPr>
          </w:p>
        </w:tc>
        <w:tc>
          <w:tcPr>
            <w:tcW w:w="1040" w:type="dxa"/>
            <w:vAlign w:val="bottom"/>
            <w:vMerge w:val="continue"/>
            <w:shd w:val="clear" w:color="auto" w:fill="E5E5E5"/>
          </w:tcPr>
          <w:p>
            <w:pPr>
              <w:spacing w:after="0"/>
              <w:rPr>
                <w:sz w:val="7"/>
                <w:szCs w:val="7"/>
                <w:color w:val="auto"/>
              </w:rPr>
            </w:pPr>
          </w:p>
        </w:tc>
        <w:tc>
          <w:tcPr>
            <w:tcW w:w="320" w:type="dxa"/>
            <w:vAlign w:val="bottom"/>
            <w:vMerge w:val="continue"/>
            <w:shd w:val="clear" w:color="auto" w:fill="E5E5E5"/>
          </w:tcPr>
          <w:p>
            <w:pPr>
              <w:spacing w:after="0"/>
              <w:rPr>
                <w:sz w:val="7"/>
                <w:szCs w:val="7"/>
                <w:color w:val="auto"/>
              </w:rPr>
            </w:pPr>
          </w:p>
        </w:tc>
        <w:tc>
          <w:tcPr>
            <w:tcW w:w="220" w:type="dxa"/>
            <w:vAlign w:val="bottom"/>
            <w:shd w:val="clear" w:color="auto" w:fill="E5E5E5"/>
          </w:tcPr>
          <w:p>
            <w:pPr>
              <w:spacing w:after="0"/>
              <w:rPr>
                <w:sz w:val="7"/>
                <w:szCs w:val="7"/>
                <w:color w:val="auto"/>
              </w:rPr>
            </w:pPr>
          </w:p>
        </w:tc>
        <w:tc>
          <w:tcPr>
            <w:tcW w:w="640" w:type="dxa"/>
            <w:vAlign w:val="bottom"/>
            <w:vMerge w:val="continue"/>
            <w:shd w:val="clear" w:color="auto" w:fill="E5E5E5"/>
          </w:tcPr>
          <w:p>
            <w:pPr>
              <w:spacing w:after="0"/>
              <w:rPr>
                <w:sz w:val="7"/>
                <w:szCs w:val="7"/>
                <w:color w:val="auto"/>
              </w:rPr>
            </w:pPr>
          </w:p>
        </w:tc>
        <w:tc>
          <w:tcPr>
            <w:tcW w:w="1180" w:type="dxa"/>
            <w:vAlign w:val="bottom"/>
            <w:vMerge w:val="continue"/>
            <w:shd w:val="clear" w:color="auto" w:fill="E5E5E5"/>
          </w:tcPr>
          <w:p>
            <w:pPr>
              <w:spacing w:after="0"/>
              <w:rPr>
                <w:sz w:val="7"/>
                <w:szCs w:val="7"/>
                <w:color w:val="auto"/>
              </w:rPr>
            </w:pPr>
          </w:p>
        </w:tc>
        <w:tc>
          <w:tcPr>
            <w:tcW w:w="780" w:type="dxa"/>
            <w:vAlign w:val="bottom"/>
            <w:shd w:val="clear" w:color="auto" w:fill="E5E5E5"/>
          </w:tcPr>
          <w:p>
            <w:pPr>
              <w:spacing w:after="0"/>
              <w:rPr>
                <w:sz w:val="7"/>
                <w:szCs w:val="7"/>
                <w:color w:val="auto"/>
              </w:rPr>
            </w:pPr>
          </w:p>
        </w:tc>
        <w:tc>
          <w:tcPr>
            <w:tcW w:w="420" w:type="dxa"/>
            <w:vAlign w:val="bottom"/>
            <w:shd w:val="clear" w:color="auto" w:fill="E5E5E5"/>
          </w:tcPr>
          <w:p>
            <w:pPr>
              <w:spacing w:after="0"/>
              <w:rPr>
                <w:sz w:val="7"/>
                <w:szCs w:val="7"/>
                <w:color w:val="auto"/>
              </w:rPr>
            </w:pPr>
          </w:p>
        </w:tc>
        <w:tc>
          <w:tcPr>
            <w:tcW w:w="760" w:type="dxa"/>
            <w:vAlign w:val="bottom"/>
            <w:shd w:val="clear" w:color="auto" w:fill="E5E5E5"/>
          </w:tcPr>
          <w:p>
            <w:pPr>
              <w:spacing w:after="0"/>
              <w:rPr>
                <w:sz w:val="7"/>
                <w:szCs w:val="7"/>
                <w:color w:val="auto"/>
              </w:rPr>
            </w:pPr>
          </w:p>
        </w:tc>
        <w:tc>
          <w:tcPr>
            <w:tcW w:w="100" w:type="dxa"/>
            <w:vAlign w:val="bottom"/>
            <w:shd w:val="clear" w:color="auto" w:fill="E5E5E5"/>
          </w:tcPr>
          <w:p>
            <w:pPr>
              <w:spacing w:after="0"/>
              <w:rPr>
                <w:sz w:val="7"/>
                <w:szCs w:val="7"/>
                <w:color w:val="auto"/>
              </w:rPr>
            </w:pPr>
          </w:p>
        </w:tc>
        <w:tc>
          <w:tcPr>
            <w:tcW w:w="860" w:type="dxa"/>
            <w:vAlign w:val="bottom"/>
            <w:shd w:val="clear" w:color="auto" w:fill="E5E5E5"/>
          </w:tcPr>
          <w:p>
            <w:pPr>
              <w:spacing w:after="0"/>
              <w:rPr>
                <w:sz w:val="7"/>
                <w:szCs w:val="7"/>
                <w:color w:val="auto"/>
              </w:rPr>
            </w:pPr>
          </w:p>
        </w:tc>
        <w:tc>
          <w:tcPr>
            <w:tcW w:w="320" w:type="dxa"/>
            <w:vAlign w:val="bottom"/>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860" w:type="dxa"/>
            <w:vAlign w:val="bottom"/>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E5E5E5"/>
          </w:tcPr>
          <w:p>
            <w:pPr>
              <w:ind w:left="40"/>
              <w:spacing w:after="0"/>
              <w:rPr>
                <w:sz w:val="20"/>
                <w:szCs w:val="20"/>
                <w:color w:val="auto"/>
              </w:rPr>
            </w:pPr>
            <w:r>
              <w:rPr>
                <w:rFonts w:ascii="Arial" w:cs="Arial" w:eastAsia="Arial" w:hAnsi="Arial"/>
                <w:sz w:val="13"/>
                <w:szCs w:val="13"/>
                <w:color w:val="auto"/>
              </w:rPr>
              <w:t>RSU</w:t>
            </w:r>
          </w:p>
        </w:tc>
        <w:tc>
          <w:tcPr>
            <w:tcW w:w="120" w:type="dxa"/>
            <w:vAlign w:val="bottom"/>
            <w:shd w:val="clear" w:color="auto" w:fill="E5E5E5"/>
          </w:tcPr>
          <w:p>
            <w:pPr>
              <w:spacing w:after="0"/>
              <w:rPr>
                <w:sz w:val="16"/>
                <w:szCs w:val="16"/>
                <w:color w:val="auto"/>
              </w:rPr>
            </w:pPr>
          </w:p>
        </w:tc>
        <w:tc>
          <w:tcPr>
            <w:tcW w:w="88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3/2/2015</w:t>
            </w:r>
          </w:p>
        </w:tc>
        <w:tc>
          <w:tcPr>
            <w:tcW w:w="12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104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640" w:type="dxa"/>
            <w:vAlign w:val="bottom"/>
            <w:shd w:val="clear" w:color="auto" w:fill="E5E5E5"/>
          </w:tcPr>
          <w:p>
            <w:pPr>
              <w:spacing w:after="0"/>
              <w:rPr>
                <w:sz w:val="16"/>
                <w:szCs w:val="16"/>
                <w:color w:val="auto"/>
              </w:rPr>
            </w:pPr>
          </w:p>
        </w:tc>
        <w:tc>
          <w:tcPr>
            <w:tcW w:w="1180" w:type="dxa"/>
            <w:vAlign w:val="bottom"/>
            <w:shd w:val="clear" w:color="auto" w:fill="E5E5E5"/>
          </w:tcPr>
          <w:p>
            <w:pPr>
              <w:spacing w:after="0"/>
              <w:rPr>
                <w:sz w:val="16"/>
                <w:szCs w:val="16"/>
                <w:color w:val="auto"/>
              </w:rPr>
            </w:pPr>
          </w:p>
        </w:tc>
        <w:tc>
          <w:tcPr>
            <w:tcW w:w="780" w:type="dxa"/>
            <w:vAlign w:val="bottom"/>
            <w:vMerge w:val="restart"/>
            <w:shd w:val="clear" w:color="auto" w:fill="E5E5E5"/>
          </w:tcPr>
          <w:p>
            <w:pPr>
              <w:jc w:val="right"/>
              <w:ind w:right="59"/>
              <w:spacing w:after="0"/>
              <w:rPr>
                <w:sz w:val="20"/>
                <w:szCs w:val="20"/>
                <w:color w:val="auto"/>
              </w:rPr>
            </w:pPr>
            <w:r>
              <w:rPr>
                <w:rFonts w:ascii="Arial" w:cs="Arial" w:eastAsia="Arial" w:hAnsi="Arial"/>
                <w:sz w:val="13"/>
                <w:szCs w:val="13"/>
                <w:color w:val="auto"/>
              </w:rPr>
              <w:t>4,069</w:t>
            </w:r>
          </w:p>
        </w:tc>
        <w:tc>
          <w:tcPr>
            <w:tcW w:w="420" w:type="dxa"/>
            <w:vAlign w:val="bottom"/>
            <w:vMerge w:val="restart"/>
            <w:shd w:val="clear" w:color="auto" w:fill="E5E5E5"/>
          </w:tcPr>
          <w:p>
            <w:pPr>
              <w:ind w:left="20"/>
              <w:spacing w:after="0"/>
              <w:rPr>
                <w:sz w:val="20"/>
                <w:szCs w:val="20"/>
                <w:color w:val="auto"/>
              </w:rPr>
            </w:pPr>
            <w:r>
              <w:rPr>
                <w:rFonts w:ascii="Arial" w:cs="Arial" w:eastAsia="Arial" w:hAnsi="Arial"/>
                <w:sz w:val="9"/>
                <w:szCs w:val="9"/>
                <w:b w:val="1"/>
                <w:bCs w:val="1"/>
                <w:color w:val="auto"/>
              </w:rPr>
              <w:t>(9)</w:t>
            </w:r>
          </w:p>
        </w:tc>
        <w:tc>
          <w:tcPr>
            <w:tcW w:w="76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246,134</w:t>
            </w:r>
          </w:p>
        </w:tc>
        <w:tc>
          <w:tcPr>
            <w:tcW w:w="10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220" w:type="dxa"/>
            <w:vAlign w:val="bottom"/>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880" w:type="dxa"/>
            <w:vAlign w:val="bottom"/>
            <w:vMerge w:val="continue"/>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1000" w:type="dxa"/>
            <w:vAlign w:val="bottom"/>
            <w:shd w:val="clear" w:color="auto" w:fill="E5E5E5"/>
          </w:tcPr>
          <w:p>
            <w:pPr>
              <w:spacing w:after="0"/>
              <w:rPr>
                <w:sz w:val="7"/>
                <w:szCs w:val="7"/>
                <w:color w:val="auto"/>
              </w:rPr>
            </w:pPr>
          </w:p>
        </w:tc>
        <w:tc>
          <w:tcPr>
            <w:tcW w:w="1040" w:type="dxa"/>
            <w:vAlign w:val="bottom"/>
            <w:shd w:val="clear" w:color="auto" w:fill="E5E5E5"/>
          </w:tcPr>
          <w:p>
            <w:pPr>
              <w:spacing w:after="0"/>
              <w:rPr>
                <w:sz w:val="7"/>
                <w:szCs w:val="7"/>
                <w:color w:val="auto"/>
              </w:rPr>
            </w:pPr>
          </w:p>
        </w:tc>
        <w:tc>
          <w:tcPr>
            <w:tcW w:w="320" w:type="dxa"/>
            <w:vAlign w:val="bottom"/>
            <w:shd w:val="clear" w:color="auto" w:fill="E5E5E5"/>
          </w:tcPr>
          <w:p>
            <w:pPr>
              <w:spacing w:after="0"/>
              <w:rPr>
                <w:sz w:val="7"/>
                <w:szCs w:val="7"/>
                <w:color w:val="auto"/>
              </w:rPr>
            </w:pPr>
          </w:p>
        </w:tc>
        <w:tc>
          <w:tcPr>
            <w:tcW w:w="220" w:type="dxa"/>
            <w:vAlign w:val="bottom"/>
            <w:shd w:val="clear" w:color="auto" w:fill="E5E5E5"/>
          </w:tcPr>
          <w:p>
            <w:pPr>
              <w:spacing w:after="0"/>
              <w:rPr>
                <w:sz w:val="7"/>
                <w:szCs w:val="7"/>
                <w:color w:val="auto"/>
              </w:rPr>
            </w:pPr>
          </w:p>
        </w:tc>
        <w:tc>
          <w:tcPr>
            <w:tcW w:w="640" w:type="dxa"/>
            <w:vAlign w:val="bottom"/>
            <w:shd w:val="clear" w:color="auto" w:fill="E5E5E5"/>
          </w:tcPr>
          <w:p>
            <w:pPr>
              <w:spacing w:after="0"/>
              <w:rPr>
                <w:sz w:val="7"/>
                <w:szCs w:val="7"/>
                <w:color w:val="auto"/>
              </w:rPr>
            </w:pPr>
          </w:p>
        </w:tc>
        <w:tc>
          <w:tcPr>
            <w:tcW w:w="1180" w:type="dxa"/>
            <w:vAlign w:val="bottom"/>
            <w:shd w:val="clear" w:color="auto" w:fill="E5E5E5"/>
          </w:tcPr>
          <w:p>
            <w:pPr>
              <w:spacing w:after="0"/>
              <w:rPr>
                <w:sz w:val="7"/>
                <w:szCs w:val="7"/>
                <w:color w:val="auto"/>
              </w:rPr>
            </w:pPr>
          </w:p>
        </w:tc>
        <w:tc>
          <w:tcPr>
            <w:tcW w:w="780" w:type="dxa"/>
            <w:vAlign w:val="bottom"/>
            <w:vMerge w:val="continue"/>
            <w:shd w:val="clear" w:color="auto" w:fill="E5E5E5"/>
          </w:tcPr>
          <w:p>
            <w:pPr>
              <w:spacing w:after="0"/>
              <w:rPr>
                <w:sz w:val="7"/>
                <w:szCs w:val="7"/>
                <w:color w:val="auto"/>
              </w:rPr>
            </w:pPr>
          </w:p>
        </w:tc>
        <w:tc>
          <w:tcPr>
            <w:tcW w:w="420" w:type="dxa"/>
            <w:vAlign w:val="bottom"/>
            <w:vMerge w:val="continue"/>
            <w:shd w:val="clear" w:color="auto" w:fill="E5E5E5"/>
          </w:tcPr>
          <w:p>
            <w:pPr>
              <w:spacing w:after="0"/>
              <w:rPr>
                <w:sz w:val="7"/>
                <w:szCs w:val="7"/>
                <w:color w:val="auto"/>
              </w:rPr>
            </w:pPr>
          </w:p>
        </w:tc>
        <w:tc>
          <w:tcPr>
            <w:tcW w:w="760" w:type="dxa"/>
            <w:vAlign w:val="bottom"/>
            <w:vMerge w:val="continue"/>
            <w:shd w:val="clear" w:color="auto" w:fill="E5E5E5"/>
          </w:tcPr>
          <w:p>
            <w:pPr>
              <w:spacing w:after="0"/>
              <w:rPr>
                <w:sz w:val="7"/>
                <w:szCs w:val="7"/>
                <w:color w:val="auto"/>
              </w:rPr>
            </w:pPr>
          </w:p>
        </w:tc>
        <w:tc>
          <w:tcPr>
            <w:tcW w:w="100" w:type="dxa"/>
            <w:vAlign w:val="bottom"/>
            <w:shd w:val="clear" w:color="auto" w:fill="E5E5E5"/>
          </w:tcPr>
          <w:p>
            <w:pPr>
              <w:spacing w:after="0"/>
              <w:rPr>
                <w:sz w:val="7"/>
                <w:szCs w:val="7"/>
                <w:color w:val="auto"/>
              </w:rPr>
            </w:pPr>
          </w:p>
        </w:tc>
        <w:tc>
          <w:tcPr>
            <w:tcW w:w="860" w:type="dxa"/>
            <w:vAlign w:val="bottom"/>
            <w:shd w:val="clear" w:color="auto" w:fill="E5E5E5"/>
          </w:tcPr>
          <w:p>
            <w:pPr>
              <w:spacing w:after="0"/>
              <w:rPr>
                <w:sz w:val="7"/>
                <w:szCs w:val="7"/>
                <w:color w:val="auto"/>
              </w:rPr>
            </w:pPr>
          </w:p>
        </w:tc>
        <w:tc>
          <w:tcPr>
            <w:tcW w:w="320" w:type="dxa"/>
            <w:vAlign w:val="bottom"/>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860" w:type="dxa"/>
            <w:vAlign w:val="bottom"/>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E5E5E5"/>
          </w:tcPr>
          <w:p>
            <w:pPr>
              <w:ind w:left="40"/>
              <w:spacing w:after="0"/>
              <w:rPr>
                <w:sz w:val="20"/>
                <w:szCs w:val="20"/>
                <w:color w:val="auto"/>
              </w:rPr>
            </w:pPr>
            <w:r>
              <w:rPr>
                <w:rFonts w:ascii="Arial" w:cs="Arial" w:eastAsia="Arial" w:hAnsi="Arial"/>
                <w:sz w:val="13"/>
                <w:szCs w:val="13"/>
                <w:color w:val="auto"/>
              </w:rPr>
              <w:t>RSU</w:t>
            </w:r>
          </w:p>
        </w:tc>
        <w:tc>
          <w:tcPr>
            <w:tcW w:w="120" w:type="dxa"/>
            <w:vAlign w:val="bottom"/>
            <w:shd w:val="clear" w:color="auto" w:fill="E5E5E5"/>
          </w:tcPr>
          <w:p>
            <w:pPr>
              <w:spacing w:after="0"/>
              <w:rPr>
                <w:sz w:val="16"/>
                <w:szCs w:val="16"/>
                <w:color w:val="auto"/>
              </w:rPr>
            </w:pPr>
          </w:p>
        </w:tc>
        <w:tc>
          <w:tcPr>
            <w:tcW w:w="88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3/2/2015</w:t>
            </w:r>
          </w:p>
        </w:tc>
        <w:tc>
          <w:tcPr>
            <w:tcW w:w="12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104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640" w:type="dxa"/>
            <w:vAlign w:val="bottom"/>
            <w:shd w:val="clear" w:color="auto" w:fill="E5E5E5"/>
          </w:tcPr>
          <w:p>
            <w:pPr>
              <w:spacing w:after="0"/>
              <w:rPr>
                <w:sz w:val="16"/>
                <w:szCs w:val="16"/>
                <w:color w:val="auto"/>
              </w:rPr>
            </w:pPr>
          </w:p>
        </w:tc>
        <w:tc>
          <w:tcPr>
            <w:tcW w:w="1180" w:type="dxa"/>
            <w:vAlign w:val="bottom"/>
            <w:shd w:val="clear" w:color="auto" w:fill="E5E5E5"/>
          </w:tcPr>
          <w:p>
            <w:pPr>
              <w:spacing w:after="0"/>
              <w:rPr>
                <w:sz w:val="16"/>
                <w:szCs w:val="16"/>
                <w:color w:val="auto"/>
              </w:rPr>
            </w:pPr>
          </w:p>
        </w:tc>
        <w:tc>
          <w:tcPr>
            <w:tcW w:w="780" w:type="dxa"/>
            <w:vAlign w:val="bottom"/>
            <w:vMerge w:val="restart"/>
            <w:shd w:val="clear" w:color="auto" w:fill="E5E5E5"/>
          </w:tcPr>
          <w:p>
            <w:pPr>
              <w:jc w:val="right"/>
              <w:ind w:right="59"/>
              <w:spacing w:after="0"/>
              <w:rPr>
                <w:sz w:val="20"/>
                <w:szCs w:val="20"/>
                <w:color w:val="auto"/>
              </w:rPr>
            </w:pPr>
            <w:r>
              <w:rPr>
                <w:rFonts w:ascii="Arial" w:cs="Arial" w:eastAsia="Arial" w:hAnsi="Arial"/>
                <w:sz w:val="13"/>
                <w:szCs w:val="13"/>
                <w:color w:val="auto"/>
              </w:rPr>
              <w:t>1,315</w:t>
            </w:r>
          </w:p>
        </w:tc>
        <w:tc>
          <w:tcPr>
            <w:tcW w:w="420" w:type="dxa"/>
            <w:vAlign w:val="bottom"/>
            <w:vMerge w:val="restart"/>
            <w:shd w:val="clear" w:color="auto" w:fill="E5E5E5"/>
          </w:tcPr>
          <w:p>
            <w:pPr>
              <w:ind w:left="20"/>
              <w:spacing w:after="0"/>
              <w:rPr>
                <w:sz w:val="20"/>
                <w:szCs w:val="20"/>
                <w:color w:val="auto"/>
              </w:rPr>
            </w:pPr>
            <w:r>
              <w:rPr>
                <w:rFonts w:ascii="Arial" w:cs="Arial" w:eastAsia="Arial" w:hAnsi="Arial"/>
                <w:sz w:val="9"/>
                <w:szCs w:val="9"/>
                <w:b w:val="1"/>
                <w:bCs w:val="1"/>
                <w:color w:val="auto"/>
              </w:rPr>
              <w:t>(10)</w:t>
            </w:r>
          </w:p>
        </w:tc>
        <w:tc>
          <w:tcPr>
            <w:tcW w:w="860" w:type="dxa"/>
            <w:vAlign w:val="bottom"/>
            <w:gridSpan w:val="2"/>
            <w:vMerge w:val="restart"/>
            <w:shd w:val="clear" w:color="auto" w:fill="E5E5E5"/>
          </w:tcPr>
          <w:p>
            <w:pPr>
              <w:jc w:val="right"/>
              <w:ind w:right="100"/>
              <w:spacing w:after="0"/>
              <w:rPr>
                <w:sz w:val="20"/>
                <w:szCs w:val="20"/>
                <w:color w:val="auto"/>
              </w:rPr>
            </w:pPr>
            <w:r>
              <w:rPr>
                <w:rFonts w:ascii="Arial" w:cs="Arial" w:eastAsia="Arial" w:hAnsi="Arial"/>
                <w:sz w:val="13"/>
                <w:szCs w:val="13"/>
                <w:color w:val="auto"/>
              </w:rPr>
              <w:t>79,544</w:t>
            </w:r>
          </w:p>
        </w:tc>
        <w:tc>
          <w:tcPr>
            <w:tcW w:w="86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220" w:type="dxa"/>
            <w:vAlign w:val="bottom"/>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880" w:type="dxa"/>
            <w:vAlign w:val="bottom"/>
            <w:vMerge w:val="continue"/>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1000" w:type="dxa"/>
            <w:vAlign w:val="bottom"/>
            <w:shd w:val="clear" w:color="auto" w:fill="E5E5E5"/>
          </w:tcPr>
          <w:p>
            <w:pPr>
              <w:spacing w:after="0"/>
              <w:rPr>
                <w:sz w:val="7"/>
                <w:szCs w:val="7"/>
                <w:color w:val="auto"/>
              </w:rPr>
            </w:pPr>
          </w:p>
        </w:tc>
        <w:tc>
          <w:tcPr>
            <w:tcW w:w="1040" w:type="dxa"/>
            <w:vAlign w:val="bottom"/>
            <w:shd w:val="clear" w:color="auto" w:fill="E5E5E5"/>
          </w:tcPr>
          <w:p>
            <w:pPr>
              <w:spacing w:after="0"/>
              <w:rPr>
                <w:sz w:val="7"/>
                <w:szCs w:val="7"/>
                <w:color w:val="auto"/>
              </w:rPr>
            </w:pPr>
          </w:p>
        </w:tc>
        <w:tc>
          <w:tcPr>
            <w:tcW w:w="320" w:type="dxa"/>
            <w:vAlign w:val="bottom"/>
            <w:shd w:val="clear" w:color="auto" w:fill="E5E5E5"/>
          </w:tcPr>
          <w:p>
            <w:pPr>
              <w:spacing w:after="0"/>
              <w:rPr>
                <w:sz w:val="7"/>
                <w:szCs w:val="7"/>
                <w:color w:val="auto"/>
              </w:rPr>
            </w:pPr>
          </w:p>
        </w:tc>
        <w:tc>
          <w:tcPr>
            <w:tcW w:w="220" w:type="dxa"/>
            <w:vAlign w:val="bottom"/>
            <w:shd w:val="clear" w:color="auto" w:fill="E5E5E5"/>
          </w:tcPr>
          <w:p>
            <w:pPr>
              <w:spacing w:after="0"/>
              <w:rPr>
                <w:sz w:val="7"/>
                <w:szCs w:val="7"/>
                <w:color w:val="auto"/>
              </w:rPr>
            </w:pPr>
          </w:p>
        </w:tc>
        <w:tc>
          <w:tcPr>
            <w:tcW w:w="640" w:type="dxa"/>
            <w:vAlign w:val="bottom"/>
            <w:shd w:val="clear" w:color="auto" w:fill="E5E5E5"/>
          </w:tcPr>
          <w:p>
            <w:pPr>
              <w:spacing w:after="0"/>
              <w:rPr>
                <w:sz w:val="7"/>
                <w:szCs w:val="7"/>
                <w:color w:val="auto"/>
              </w:rPr>
            </w:pPr>
          </w:p>
        </w:tc>
        <w:tc>
          <w:tcPr>
            <w:tcW w:w="1180" w:type="dxa"/>
            <w:vAlign w:val="bottom"/>
            <w:shd w:val="clear" w:color="auto" w:fill="E5E5E5"/>
          </w:tcPr>
          <w:p>
            <w:pPr>
              <w:spacing w:after="0"/>
              <w:rPr>
                <w:sz w:val="7"/>
                <w:szCs w:val="7"/>
                <w:color w:val="auto"/>
              </w:rPr>
            </w:pPr>
          </w:p>
        </w:tc>
        <w:tc>
          <w:tcPr>
            <w:tcW w:w="780" w:type="dxa"/>
            <w:vAlign w:val="bottom"/>
            <w:vMerge w:val="continue"/>
            <w:shd w:val="clear" w:color="auto" w:fill="E5E5E5"/>
          </w:tcPr>
          <w:p>
            <w:pPr>
              <w:spacing w:after="0"/>
              <w:rPr>
                <w:sz w:val="7"/>
                <w:szCs w:val="7"/>
                <w:color w:val="auto"/>
              </w:rPr>
            </w:pPr>
          </w:p>
        </w:tc>
        <w:tc>
          <w:tcPr>
            <w:tcW w:w="420" w:type="dxa"/>
            <w:vAlign w:val="bottom"/>
            <w:vMerge w:val="continue"/>
            <w:shd w:val="clear" w:color="auto" w:fill="E5E5E5"/>
          </w:tcPr>
          <w:p>
            <w:pPr>
              <w:spacing w:after="0"/>
              <w:rPr>
                <w:sz w:val="7"/>
                <w:szCs w:val="7"/>
                <w:color w:val="auto"/>
              </w:rPr>
            </w:pPr>
          </w:p>
        </w:tc>
        <w:tc>
          <w:tcPr>
            <w:tcW w:w="860" w:type="dxa"/>
            <w:vAlign w:val="bottom"/>
            <w:gridSpan w:val="2"/>
            <w:vMerge w:val="continue"/>
            <w:shd w:val="clear" w:color="auto" w:fill="E5E5E5"/>
          </w:tcPr>
          <w:p>
            <w:pPr>
              <w:spacing w:after="0"/>
              <w:rPr>
                <w:sz w:val="7"/>
                <w:szCs w:val="7"/>
                <w:color w:val="auto"/>
              </w:rPr>
            </w:pPr>
          </w:p>
        </w:tc>
        <w:tc>
          <w:tcPr>
            <w:tcW w:w="860" w:type="dxa"/>
            <w:vAlign w:val="bottom"/>
            <w:shd w:val="clear" w:color="auto" w:fill="E5E5E5"/>
          </w:tcPr>
          <w:p>
            <w:pPr>
              <w:spacing w:after="0"/>
              <w:rPr>
                <w:sz w:val="7"/>
                <w:szCs w:val="7"/>
                <w:color w:val="auto"/>
              </w:rPr>
            </w:pPr>
          </w:p>
        </w:tc>
        <w:tc>
          <w:tcPr>
            <w:tcW w:w="320" w:type="dxa"/>
            <w:vAlign w:val="bottom"/>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860" w:type="dxa"/>
            <w:vAlign w:val="bottom"/>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E5E5E5"/>
          </w:tcPr>
          <w:p>
            <w:pPr>
              <w:ind w:left="40"/>
              <w:spacing w:after="0"/>
              <w:rPr>
                <w:sz w:val="20"/>
                <w:szCs w:val="20"/>
                <w:color w:val="auto"/>
              </w:rPr>
            </w:pPr>
            <w:r>
              <w:rPr>
                <w:rFonts w:ascii="Arial" w:cs="Arial" w:eastAsia="Arial" w:hAnsi="Arial"/>
                <w:sz w:val="13"/>
                <w:szCs w:val="13"/>
                <w:color w:val="auto"/>
              </w:rPr>
              <w:t>RSU</w:t>
            </w:r>
          </w:p>
        </w:tc>
        <w:tc>
          <w:tcPr>
            <w:tcW w:w="120" w:type="dxa"/>
            <w:vAlign w:val="bottom"/>
            <w:shd w:val="clear" w:color="auto" w:fill="E5E5E5"/>
          </w:tcPr>
          <w:p>
            <w:pPr>
              <w:spacing w:after="0"/>
              <w:rPr>
                <w:sz w:val="16"/>
                <w:szCs w:val="16"/>
                <w:color w:val="auto"/>
              </w:rPr>
            </w:pPr>
          </w:p>
        </w:tc>
        <w:tc>
          <w:tcPr>
            <w:tcW w:w="88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7/1/2015</w:t>
            </w:r>
          </w:p>
        </w:tc>
        <w:tc>
          <w:tcPr>
            <w:tcW w:w="12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104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640" w:type="dxa"/>
            <w:vAlign w:val="bottom"/>
            <w:shd w:val="clear" w:color="auto" w:fill="E5E5E5"/>
          </w:tcPr>
          <w:p>
            <w:pPr>
              <w:spacing w:after="0"/>
              <w:rPr>
                <w:sz w:val="16"/>
                <w:szCs w:val="16"/>
                <w:color w:val="auto"/>
              </w:rPr>
            </w:pPr>
          </w:p>
        </w:tc>
        <w:tc>
          <w:tcPr>
            <w:tcW w:w="1180" w:type="dxa"/>
            <w:vAlign w:val="bottom"/>
            <w:shd w:val="clear" w:color="auto" w:fill="E5E5E5"/>
          </w:tcPr>
          <w:p>
            <w:pPr>
              <w:spacing w:after="0"/>
              <w:rPr>
                <w:sz w:val="16"/>
                <w:szCs w:val="16"/>
                <w:color w:val="auto"/>
              </w:rPr>
            </w:pPr>
          </w:p>
        </w:tc>
        <w:tc>
          <w:tcPr>
            <w:tcW w:w="780" w:type="dxa"/>
            <w:vAlign w:val="bottom"/>
            <w:vMerge w:val="restart"/>
            <w:shd w:val="clear" w:color="auto" w:fill="E5E5E5"/>
          </w:tcPr>
          <w:p>
            <w:pPr>
              <w:jc w:val="right"/>
              <w:ind w:right="59"/>
              <w:spacing w:after="0"/>
              <w:rPr>
                <w:sz w:val="20"/>
                <w:szCs w:val="20"/>
                <w:color w:val="auto"/>
              </w:rPr>
            </w:pPr>
            <w:r>
              <w:rPr>
                <w:rFonts w:ascii="Arial" w:cs="Arial" w:eastAsia="Arial" w:hAnsi="Arial"/>
                <w:sz w:val="13"/>
                <w:szCs w:val="13"/>
                <w:color w:val="auto"/>
              </w:rPr>
              <w:t>2,743</w:t>
            </w:r>
          </w:p>
        </w:tc>
        <w:tc>
          <w:tcPr>
            <w:tcW w:w="420" w:type="dxa"/>
            <w:vAlign w:val="bottom"/>
            <w:vMerge w:val="restart"/>
            <w:shd w:val="clear" w:color="auto" w:fill="E5E5E5"/>
          </w:tcPr>
          <w:p>
            <w:pPr>
              <w:ind w:left="20"/>
              <w:spacing w:after="0"/>
              <w:rPr>
                <w:sz w:val="20"/>
                <w:szCs w:val="20"/>
                <w:color w:val="auto"/>
              </w:rPr>
            </w:pPr>
            <w:r>
              <w:rPr>
                <w:rFonts w:ascii="Arial" w:cs="Arial" w:eastAsia="Arial" w:hAnsi="Arial"/>
                <w:sz w:val="9"/>
                <w:szCs w:val="9"/>
                <w:b w:val="1"/>
                <w:bCs w:val="1"/>
                <w:color w:val="auto"/>
              </w:rPr>
              <w:t>(11)</w:t>
            </w:r>
          </w:p>
        </w:tc>
        <w:tc>
          <w:tcPr>
            <w:tcW w:w="76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165,924</w:t>
            </w:r>
          </w:p>
        </w:tc>
        <w:tc>
          <w:tcPr>
            <w:tcW w:w="10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220" w:type="dxa"/>
            <w:vAlign w:val="bottom"/>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880" w:type="dxa"/>
            <w:vAlign w:val="bottom"/>
            <w:vMerge w:val="continue"/>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1000" w:type="dxa"/>
            <w:vAlign w:val="bottom"/>
            <w:shd w:val="clear" w:color="auto" w:fill="E5E5E5"/>
          </w:tcPr>
          <w:p>
            <w:pPr>
              <w:spacing w:after="0"/>
              <w:rPr>
                <w:sz w:val="7"/>
                <w:szCs w:val="7"/>
                <w:color w:val="auto"/>
              </w:rPr>
            </w:pPr>
          </w:p>
        </w:tc>
        <w:tc>
          <w:tcPr>
            <w:tcW w:w="1040" w:type="dxa"/>
            <w:vAlign w:val="bottom"/>
            <w:shd w:val="clear" w:color="auto" w:fill="E5E5E5"/>
          </w:tcPr>
          <w:p>
            <w:pPr>
              <w:spacing w:after="0"/>
              <w:rPr>
                <w:sz w:val="7"/>
                <w:szCs w:val="7"/>
                <w:color w:val="auto"/>
              </w:rPr>
            </w:pPr>
          </w:p>
        </w:tc>
        <w:tc>
          <w:tcPr>
            <w:tcW w:w="320" w:type="dxa"/>
            <w:vAlign w:val="bottom"/>
            <w:shd w:val="clear" w:color="auto" w:fill="E5E5E5"/>
          </w:tcPr>
          <w:p>
            <w:pPr>
              <w:spacing w:after="0"/>
              <w:rPr>
                <w:sz w:val="7"/>
                <w:szCs w:val="7"/>
                <w:color w:val="auto"/>
              </w:rPr>
            </w:pPr>
          </w:p>
        </w:tc>
        <w:tc>
          <w:tcPr>
            <w:tcW w:w="220" w:type="dxa"/>
            <w:vAlign w:val="bottom"/>
            <w:shd w:val="clear" w:color="auto" w:fill="E5E5E5"/>
          </w:tcPr>
          <w:p>
            <w:pPr>
              <w:spacing w:after="0"/>
              <w:rPr>
                <w:sz w:val="7"/>
                <w:szCs w:val="7"/>
                <w:color w:val="auto"/>
              </w:rPr>
            </w:pPr>
          </w:p>
        </w:tc>
        <w:tc>
          <w:tcPr>
            <w:tcW w:w="640" w:type="dxa"/>
            <w:vAlign w:val="bottom"/>
            <w:shd w:val="clear" w:color="auto" w:fill="E5E5E5"/>
          </w:tcPr>
          <w:p>
            <w:pPr>
              <w:spacing w:after="0"/>
              <w:rPr>
                <w:sz w:val="7"/>
                <w:szCs w:val="7"/>
                <w:color w:val="auto"/>
              </w:rPr>
            </w:pPr>
          </w:p>
        </w:tc>
        <w:tc>
          <w:tcPr>
            <w:tcW w:w="1180" w:type="dxa"/>
            <w:vAlign w:val="bottom"/>
            <w:shd w:val="clear" w:color="auto" w:fill="E5E5E5"/>
          </w:tcPr>
          <w:p>
            <w:pPr>
              <w:spacing w:after="0"/>
              <w:rPr>
                <w:sz w:val="7"/>
                <w:szCs w:val="7"/>
                <w:color w:val="auto"/>
              </w:rPr>
            </w:pPr>
          </w:p>
        </w:tc>
        <w:tc>
          <w:tcPr>
            <w:tcW w:w="780" w:type="dxa"/>
            <w:vAlign w:val="bottom"/>
            <w:vMerge w:val="continue"/>
            <w:shd w:val="clear" w:color="auto" w:fill="E5E5E5"/>
          </w:tcPr>
          <w:p>
            <w:pPr>
              <w:spacing w:after="0"/>
              <w:rPr>
                <w:sz w:val="7"/>
                <w:szCs w:val="7"/>
                <w:color w:val="auto"/>
              </w:rPr>
            </w:pPr>
          </w:p>
        </w:tc>
        <w:tc>
          <w:tcPr>
            <w:tcW w:w="420" w:type="dxa"/>
            <w:vAlign w:val="bottom"/>
            <w:vMerge w:val="continue"/>
            <w:shd w:val="clear" w:color="auto" w:fill="E5E5E5"/>
          </w:tcPr>
          <w:p>
            <w:pPr>
              <w:spacing w:after="0"/>
              <w:rPr>
                <w:sz w:val="7"/>
                <w:szCs w:val="7"/>
                <w:color w:val="auto"/>
              </w:rPr>
            </w:pPr>
          </w:p>
        </w:tc>
        <w:tc>
          <w:tcPr>
            <w:tcW w:w="760" w:type="dxa"/>
            <w:vAlign w:val="bottom"/>
            <w:vMerge w:val="continue"/>
            <w:shd w:val="clear" w:color="auto" w:fill="E5E5E5"/>
          </w:tcPr>
          <w:p>
            <w:pPr>
              <w:spacing w:after="0"/>
              <w:rPr>
                <w:sz w:val="7"/>
                <w:szCs w:val="7"/>
                <w:color w:val="auto"/>
              </w:rPr>
            </w:pPr>
          </w:p>
        </w:tc>
        <w:tc>
          <w:tcPr>
            <w:tcW w:w="100" w:type="dxa"/>
            <w:vAlign w:val="bottom"/>
            <w:shd w:val="clear" w:color="auto" w:fill="E5E5E5"/>
          </w:tcPr>
          <w:p>
            <w:pPr>
              <w:spacing w:after="0"/>
              <w:rPr>
                <w:sz w:val="7"/>
                <w:szCs w:val="7"/>
                <w:color w:val="auto"/>
              </w:rPr>
            </w:pPr>
          </w:p>
        </w:tc>
        <w:tc>
          <w:tcPr>
            <w:tcW w:w="860" w:type="dxa"/>
            <w:vAlign w:val="bottom"/>
            <w:shd w:val="clear" w:color="auto" w:fill="E5E5E5"/>
          </w:tcPr>
          <w:p>
            <w:pPr>
              <w:spacing w:after="0"/>
              <w:rPr>
                <w:sz w:val="7"/>
                <w:szCs w:val="7"/>
                <w:color w:val="auto"/>
              </w:rPr>
            </w:pPr>
          </w:p>
        </w:tc>
        <w:tc>
          <w:tcPr>
            <w:tcW w:w="320" w:type="dxa"/>
            <w:vAlign w:val="bottom"/>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860" w:type="dxa"/>
            <w:vAlign w:val="bottom"/>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E5E5E5"/>
          </w:tcPr>
          <w:p>
            <w:pPr>
              <w:ind w:left="40"/>
              <w:spacing w:after="0"/>
              <w:rPr>
                <w:sz w:val="20"/>
                <w:szCs w:val="20"/>
                <w:color w:val="auto"/>
              </w:rPr>
            </w:pPr>
            <w:r>
              <w:rPr>
                <w:rFonts w:ascii="Arial" w:cs="Arial" w:eastAsia="Arial" w:hAnsi="Arial"/>
                <w:sz w:val="13"/>
                <w:szCs w:val="13"/>
                <w:color w:val="auto"/>
              </w:rPr>
              <w:t>RSU</w:t>
            </w:r>
          </w:p>
        </w:tc>
        <w:tc>
          <w:tcPr>
            <w:tcW w:w="120" w:type="dxa"/>
            <w:vAlign w:val="bottom"/>
            <w:shd w:val="clear" w:color="auto" w:fill="E5E5E5"/>
          </w:tcPr>
          <w:p>
            <w:pPr>
              <w:spacing w:after="0"/>
              <w:rPr>
                <w:sz w:val="16"/>
                <w:szCs w:val="16"/>
                <w:color w:val="auto"/>
              </w:rPr>
            </w:pPr>
          </w:p>
        </w:tc>
        <w:tc>
          <w:tcPr>
            <w:tcW w:w="88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7/1/2015</w:t>
            </w:r>
          </w:p>
        </w:tc>
        <w:tc>
          <w:tcPr>
            <w:tcW w:w="12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104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640" w:type="dxa"/>
            <w:vAlign w:val="bottom"/>
            <w:shd w:val="clear" w:color="auto" w:fill="E5E5E5"/>
          </w:tcPr>
          <w:p>
            <w:pPr>
              <w:spacing w:after="0"/>
              <w:rPr>
                <w:sz w:val="16"/>
                <w:szCs w:val="16"/>
                <w:color w:val="auto"/>
              </w:rPr>
            </w:pPr>
          </w:p>
        </w:tc>
        <w:tc>
          <w:tcPr>
            <w:tcW w:w="1180" w:type="dxa"/>
            <w:vAlign w:val="bottom"/>
            <w:shd w:val="clear" w:color="auto" w:fill="E5E5E5"/>
          </w:tcPr>
          <w:p>
            <w:pPr>
              <w:spacing w:after="0"/>
              <w:rPr>
                <w:sz w:val="16"/>
                <w:szCs w:val="16"/>
                <w:color w:val="auto"/>
              </w:rPr>
            </w:pPr>
          </w:p>
        </w:tc>
        <w:tc>
          <w:tcPr>
            <w:tcW w:w="780" w:type="dxa"/>
            <w:vAlign w:val="bottom"/>
            <w:vMerge w:val="restart"/>
            <w:shd w:val="clear" w:color="auto" w:fill="E5E5E5"/>
          </w:tcPr>
          <w:p>
            <w:pPr>
              <w:jc w:val="right"/>
              <w:ind w:right="59"/>
              <w:spacing w:after="0"/>
              <w:rPr>
                <w:sz w:val="20"/>
                <w:szCs w:val="20"/>
                <w:color w:val="auto"/>
              </w:rPr>
            </w:pPr>
            <w:r>
              <w:rPr>
                <w:rFonts w:ascii="Arial" w:cs="Arial" w:eastAsia="Arial" w:hAnsi="Arial"/>
                <w:sz w:val="13"/>
                <w:szCs w:val="13"/>
                <w:color w:val="auto"/>
              </w:rPr>
              <w:t>886</w:t>
            </w:r>
          </w:p>
        </w:tc>
        <w:tc>
          <w:tcPr>
            <w:tcW w:w="420" w:type="dxa"/>
            <w:vAlign w:val="bottom"/>
            <w:vMerge w:val="restart"/>
            <w:shd w:val="clear" w:color="auto" w:fill="E5E5E5"/>
          </w:tcPr>
          <w:p>
            <w:pPr>
              <w:ind w:left="20"/>
              <w:spacing w:after="0"/>
              <w:rPr>
                <w:sz w:val="20"/>
                <w:szCs w:val="20"/>
                <w:color w:val="auto"/>
              </w:rPr>
            </w:pPr>
            <w:r>
              <w:rPr>
                <w:rFonts w:ascii="Arial" w:cs="Arial" w:eastAsia="Arial" w:hAnsi="Arial"/>
                <w:sz w:val="9"/>
                <w:szCs w:val="9"/>
                <w:b w:val="1"/>
                <w:bCs w:val="1"/>
                <w:color w:val="auto"/>
              </w:rPr>
              <w:t>(12)</w:t>
            </w:r>
          </w:p>
        </w:tc>
        <w:tc>
          <w:tcPr>
            <w:tcW w:w="860" w:type="dxa"/>
            <w:vAlign w:val="bottom"/>
            <w:gridSpan w:val="2"/>
            <w:vMerge w:val="restart"/>
            <w:shd w:val="clear" w:color="auto" w:fill="E5E5E5"/>
          </w:tcPr>
          <w:p>
            <w:pPr>
              <w:jc w:val="right"/>
              <w:ind w:right="100"/>
              <w:spacing w:after="0"/>
              <w:rPr>
                <w:sz w:val="20"/>
                <w:szCs w:val="20"/>
                <w:color w:val="auto"/>
              </w:rPr>
            </w:pPr>
            <w:r>
              <w:rPr>
                <w:rFonts w:ascii="Arial" w:cs="Arial" w:eastAsia="Arial" w:hAnsi="Arial"/>
                <w:sz w:val="13"/>
                <w:szCs w:val="13"/>
                <w:color w:val="auto"/>
              </w:rPr>
              <w:t>53,594</w:t>
            </w:r>
          </w:p>
        </w:tc>
        <w:tc>
          <w:tcPr>
            <w:tcW w:w="86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220" w:type="dxa"/>
            <w:vAlign w:val="bottom"/>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880" w:type="dxa"/>
            <w:vAlign w:val="bottom"/>
            <w:vMerge w:val="continue"/>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1000" w:type="dxa"/>
            <w:vAlign w:val="bottom"/>
            <w:shd w:val="clear" w:color="auto" w:fill="E5E5E5"/>
          </w:tcPr>
          <w:p>
            <w:pPr>
              <w:spacing w:after="0"/>
              <w:rPr>
                <w:sz w:val="7"/>
                <w:szCs w:val="7"/>
                <w:color w:val="auto"/>
              </w:rPr>
            </w:pPr>
          </w:p>
        </w:tc>
        <w:tc>
          <w:tcPr>
            <w:tcW w:w="1040" w:type="dxa"/>
            <w:vAlign w:val="bottom"/>
            <w:shd w:val="clear" w:color="auto" w:fill="E5E5E5"/>
          </w:tcPr>
          <w:p>
            <w:pPr>
              <w:spacing w:after="0"/>
              <w:rPr>
                <w:sz w:val="7"/>
                <w:szCs w:val="7"/>
                <w:color w:val="auto"/>
              </w:rPr>
            </w:pPr>
          </w:p>
        </w:tc>
        <w:tc>
          <w:tcPr>
            <w:tcW w:w="320" w:type="dxa"/>
            <w:vAlign w:val="bottom"/>
            <w:shd w:val="clear" w:color="auto" w:fill="E5E5E5"/>
          </w:tcPr>
          <w:p>
            <w:pPr>
              <w:spacing w:after="0"/>
              <w:rPr>
                <w:sz w:val="7"/>
                <w:szCs w:val="7"/>
                <w:color w:val="auto"/>
              </w:rPr>
            </w:pPr>
          </w:p>
        </w:tc>
        <w:tc>
          <w:tcPr>
            <w:tcW w:w="220" w:type="dxa"/>
            <w:vAlign w:val="bottom"/>
            <w:shd w:val="clear" w:color="auto" w:fill="E5E5E5"/>
          </w:tcPr>
          <w:p>
            <w:pPr>
              <w:spacing w:after="0"/>
              <w:rPr>
                <w:sz w:val="7"/>
                <w:szCs w:val="7"/>
                <w:color w:val="auto"/>
              </w:rPr>
            </w:pPr>
          </w:p>
        </w:tc>
        <w:tc>
          <w:tcPr>
            <w:tcW w:w="640" w:type="dxa"/>
            <w:vAlign w:val="bottom"/>
            <w:shd w:val="clear" w:color="auto" w:fill="E5E5E5"/>
          </w:tcPr>
          <w:p>
            <w:pPr>
              <w:spacing w:after="0"/>
              <w:rPr>
                <w:sz w:val="7"/>
                <w:szCs w:val="7"/>
                <w:color w:val="auto"/>
              </w:rPr>
            </w:pPr>
          </w:p>
        </w:tc>
        <w:tc>
          <w:tcPr>
            <w:tcW w:w="1180" w:type="dxa"/>
            <w:vAlign w:val="bottom"/>
            <w:shd w:val="clear" w:color="auto" w:fill="E5E5E5"/>
          </w:tcPr>
          <w:p>
            <w:pPr>
              <w:spacing w:after="0"/>
              <w:rPr>
                <w:sz w:val="7"/>
                <w:szCs w:val="7"/>
                <w:color w:val="auto"/>
              </w:rPr>
            </w:pPr>
          </w:p>
        </w:tc>
        <w:tc>
          <w:tcPr>
            <w:tcW w:w="780" w:type="dxa"/>
            <w:vAlign w:val="bottom"/>
            <w:vMerge w:val="continue"/>
            <w:shd w:val="clear" w:color="auto" w:fill="E5E5E5"/>
          </w:tcPr>
          <w:p>
            <w:pPr>
              <w:spacing w:after="0"/>
              <w:rPr>
                <w:sz w:val="7"/>
                <w:szCs w:val="7"/>
                <w:color w:val="auto"/>
              </w:rPr>
            </w:pPr>
          </w:p>
        </w:tc>
        <w:tc>
          <w:tcPr>
            <w:tcW w:w="420" w:type="dxa"/>
            <w:vAlign w:val="bottom"/>
            <w:vMerge w:val="continue"/>
            <w:shd w:val="clear" w:color="auto" w:fill="E5E5E5"/>
          </w:tcPr>
          <w:p>
            <w:pPr>
              <w:spacing w:after="0"/>
              <w:rPr>
                <w:sz w:val="7"/>
                <w:szCs w:val="7"/>
                <w:color w:val="auto"/>
              </w:rPr>
            </w:pPr>
          </w:p>
        </w:tc>
        <w:tc>
          <w:tcPr>
            <w:tcW w:w="860" w:type="dxa"/>
            <w:vAlign w:val="bottom"/>
            <w:gridSpan w:val="2"/>
            <w:vMerge w:val="continue"/>
            <w:shd w:val="clear" w:color="auto" w:fill="E5E5E5"/>
          </w:tcPr>
          <w:p>
            <w:pPr>
              <w:spacing w:after="0"/>
              <w:rPr>
                <w:sz w:val="7"/>
                <w:szCs w:val="7"/>
                <w:color w:val="auto"/>
              </w:rPr>
            </w:pPr>
          </w:p>
        </w:tc>
        <w:tc>
          <w:tcPr>
            <w:tcW w:w="860" w:type="dxa"/>
            <w:vAlign w:val="bottom"/>
            <w:shd w:val="clear" w:color="auto" w:fill="E5E5E5"/>
          </w:tcPr>
          <w:p>
            <w:pPr>
              <w:spacing w:after="0"/>
              <w:rPr>
                <w:sz w:val="7"/>
                <w:szCs w:val="7"/>
                <w:color w:val="auto"/>
              </w:rPr>
            </w:pPr>
          </w:p>
        </w:tc>
        <w:tc>
          <w:tcPr>
            <w:tcW w:w="320" w:type="dxa"/>
            <w:vAlign w:val="bottom"/>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860" w:type="dxa"/>
            <w:vAlign w:val="bottom"/>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E5E5E5"/>
          </w:tcPr>
          <w:p>
            <w:pPr>
              <w:ind w:left="40"/>
              <w:spacing w:after="0"/>
              <w:rPr>
                <w:sz w:val="20"/>
                <w:szCs w:val="20"/>
                <w:color w:val="auto"/>
              </w:rPr>
            </w:pPr>
            <w:r>
              <w:rPr>
                <w:rFonts w:ascii="Arial" w:cs="Arial" w:eastAsia="Arial" w:hAnsi="Arial"/>
                <w:sz w:val="13"/>
                <w:szCs w:val="13"/>
                <w:color w:val="auto"/>
              </w:rPr>
              <w:t>RSU</w:t>
            </w:r>
          </w:p>
        </w:tc>
        <w:tc>
          <w:tcPr>
            <w:tcW w:w="120" w:type="dxa"/>
            <w:vAlign w:val="bottom"/>
            <w:shd w:val="clear" w:color="auto" w:fill="E5E5E5"/>
          </w:tcPr>
          <w:p>
            <w:pPr>
              <w:spacing w:after="0"/>
              <w:rPr>
                <w:sz w:val="16"/>
                <w:szCs w:val="16"/>
                <w:color w:val="auto"/>
              </w:rPr>
            </w:pPr>
          </w:p>
        </w:tc>
        <w:tc>
          <w:tcPr>
            <w:tcW w:w="88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2/29/2016</w:t>
            </w:r>
          </w:p>
        </w:tc>
        <w:tc>
          <w:tcPr>
            <w:tcW w:w="12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104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640" w:type="dxa"/>
            <w:vAlign w:val="bottom"/>
            <w:shd w:val="clear" w:color="auto" w:fill="E5E5E5"/>
          </w:tcPr>
          <w:p>
            <w:pPr>
              <w:spacing w:after="0"/>
              <w:rPr>
                <w:sz w:val="16"/>
                <w:szCs w:val="16"/>
                <w:color w:val="auto"/>
              </w:rPr>
            </w:pPr>
          </w:p>
        </w:tc>
        <w:tc>
          <w:tcPr>
            <w:tcW w:w="1180" w:type="dxa"/>
            <w:vAlign w:val="bottom"/>
            <w:shd w:val="clear" w:color="auto" w:fill="E5E5E5"/>
          </w:tcPr>
          <w:p>
            <w:pPr>
              <w:spacing w:after="0"/>
              <w:rPr>
                <w:sz w:val="16"/>
                <w:szCs w:val="16"/>
                <w:color w:val="auto"/>
              </w:rPr>
            </w:pPr>
          </w:p>
        </w:tc>
        <w:tc>
          <w:tcPr>
            <w:tcW w:w="780" w:type="dxa"/>
            <w:vAlign w:val="bottom"/>
            <w:vMerge w:val="restart"/>
            <w:shd w:val="clear" w:color="auto" w:fill="E5E5E5"/>
          </w:tcPr>
          <w:p>
            <w:pPr>
              <w:jc w:val="right"/>
              <w:ind w:right="59"/>
              <w:spacing w:after="0"/>
              <w:rPr>
                <w:sz w:val="20"/>
                <w:szCs w:val="20"/>
                <w:color w:val="auto"/>
              </w:rPr>
            </w:pPr>
            <w:r>
              <w:rPr>
                <w:rFonts w:ascii="Arial" w:cs="Arial" w:eastAsia="Arial" w:hAnsi="Arial"/>
                <w:sz w:val="13"/>
                <w:szCs w:val="13"/>
                <w:color w:val="auto"/>
              </w:rPr>
              <w:t>4,890</w:t>
            </w:r>
          </w:p>
        </w:tc>
        <w:tc>
          <w:tcPr>
            <w:tcW w:w="420" w:type="dxa"/>
            <w:vAlign w:val="bottom"/>
            <w:vMerge w:val="restart"/>
            <w:shd w:val="clear" w:color="auto" w:fill="E5E5E5"/>
          </w:tcPr>
          <w:p>
            <w:pPr>
              <w:ind w:left="20"/>
              <w:spacing w:after="0"/>
              <w:rPr>
                <w:sz w:val="20"/>
                <w:szCs w:val="20"/>
                <w:color w:val="auto"/>
              </w:rPr>
            </w:pPr>
            <w:r>
              <w:rPr>
                <w:rFonts w:ascii="Arial" w:cs="Arial" w:eastAsia="Arial" w:hAnsi="Arial"/>
                <w:sz w:val="9"/>
                <w:szCs w:val="9"/>
                <w:b w:val="1"/>
                <w:bCs w:val="1"/>
                <w:color w:val="auto"/>
              </w:rPr>
              <w:t>(7)</w:t>
            </w:r>
          </w:p>
        </w:tc>
        <w:tc>
          <w:tcPr>
            <w:tcW w:w="76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295,796</w:t>
            </w:r>
          </w:p>
        </w:tc>
        <w:tc>
          <w:tcPr>
            <w:tcW w:w="10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220" w:type="dxa"/>
            <w:vAlign w:val="bottom"/>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880" w:type="dxa"/>
            <w:vAlign w:val="bottom"/>
            <w:vMerge w:val="continue"/>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1000" w:type="dxa"/>
            <w:vAlign w:val="bottom"/>
            <w:shd w:val="clear" w:color="auto" w:fill="E5E5E5"/>
          </w:tcPr>
          <w:p>
            <w:pPr>
              <w:spacing w:after="0"/>
              <w:rPr>
                <w:sz w:val="7"/>
                <w:szCs w:val="7"/>
                <w:color w:val="auto"/>
              </w:rPr>
            </w:pPr>
          </w:p>
        </w:tc>
        <w:tc>
          <w:tcPr>
            <w:tcW w:w="1040" w:type="dxa"/>
            <w:vAlign w:val="bottom"/>
            <w:shd w:val="clear" w:color="auto" w:fill="E5E5E5"/>
          </w:tcPr>
          <w:p>
            <w:pPr>
              <w:spacing w:after="0"/>
              <w:rPr>
                <w:sz w:val="7"/>
                <w:szCs w:val="7"/>
                <w:color w:val="auto"/>
              </w:rPr>
            </w:pPr>
          </w:p>
        </w:tc>
        <w:tc>
          <w:tcPr>
            <w:tcW w:w="320" w:type="dxa"/>
            <w:vAlign w:val="bottom"/>
            <w:shd w:val="clear" w:color="auto" w:fill="E5E5E5"/>
          </w:tcPr>
          <w:p>
            <w:pPr>
              <w:spacing w:after="0"/>
              <w:rPr>
                <w:sz w:val="7"/>
                <w:szCs w:val="7"/>
                <w:color w:val="auto"/>
              </w:rPr>
            </w:pPr>
          </w:p>
        </w:tc>
        <w:tc>
          <w:tcPr>
            <w:tcW w:w="220" w:type="dxa"/>
            <w:vAlign w:val="bottom"/>
            <w:shd w:val="clear" w:color="auto" w:fill="E5E5E5"/>
          </w:tcPr>
          <w:p>
            <w:pPr>
              <w:spacing w:after="0"/>
              <w:rPr>
                <w:sz w:val="7"/>
                <w:szCs w:val="7"/>
                <w:color w:val="auto"/>
              </w:rPr>
            </w:pPr>
          </w:p>
        </w:tc>
        <w:tc>
          <w:tcPr>
            <w:tcW w:w="640" w:type="dxa"/>
            <w:vAlign w:val="bottom"/>
            <w:shd w:val="clear" w:color="auto" w:fill="E5E5E5"/>
          </w:tcPr>
          <w:p>
            <w:pPr>
              <w:spacing w:after="0"/>
              <w:rPr>
                <w:sz w:val="7"/>
                <w:szCs w:val="7"/>
                <w:color w:val="auto"/>
              </w:rPr>
            </w:pPr>
          </w:p>
        </w:tc>
        <w:tc>
          <w:tcPr>
            <w:tcW w:w="1180" w:type="dxa"/>
            <w:vAlign w:val="bottom"/>
            <w:shd w:val="clear" w:color="auto" w:fill="E5E5E5"/>
          </w:tcPr>
          <w:p>
            <w:pPr>
              <w:spacing w:after="0"/>
              <w:rPr>
                <w:sz w:val="7"/>
                <w:szCs w:val="7"/>
                <w:color w:val="auto"/>
              </w:rPr>
            </w:pPr>
          </w:p>
        </w:tc>
        <w:tc>
          <w:tcPr>
            <w:tcW w:w="780" w:type="dxa"/>
            <w:vAlign w:val="bottom"/>
            <w:vMerge w:val="continue"/>
            <w:shd w:val="clear" w:color="auto" w:fill="E5E5E5"/>
          </w:tcPr>
          <w:p>
            <w:pPr>
              <w:spacing w:after="0"/>
              <w:rPr>
                <w:sz w:val="7"/>
                <w:szCs w:val="7"/>
                <w:color w:val="auto"/>
              </w:rPr>
            </w:pPr>
          </w:p>
        </w:tc>
        <w:tc>
          <w:tcPr>
            <w:tcW w:w="420" w:type="dxa"/>
            <w:vAlign w:val="bottom"/>
            <w:vMerge w:val="continue"/>
            <w:shd w:val="clear" w:color="auto" w:fill="E5E5E5"/>
          </w:tcPr>
          <w:p>
            <w:pPr>
              <w:spacing w:after="0"/>
              <w:rPr>
                <w:sz w:val="7"/>
                <w:szCs w:val="7"/>
                <w:color w:val="auto"/>
              </w:rPr>
            </w:pPr>
          </w:p>
        </w:tc>
        <w:tc>
          <w:tcPr>
            <w:tcW w:w="760" w:type="dxa"/>
            <w:vAlign w:val="bottom"/>
            <w:vMerge w:val="continue"/>
            <w:shd w:val="clear" w:color="auto" w:fill="E5E5E5"/>
          </w:tcPr>
          <w:p>
            <w:pPr>
              <w:spacing w:after="0"/>
              <w:rPr>
                <w:sz w:val="7"/>
                <w:szCs w:val="7"/>
                <w:color w:val="auto"/>
              </w:rPr>
            </w:pPr>
          </w:p>
        </w:tc>
        <w:tc>
          <w:tcPr>
            <w:tcW w:w="100" w:type="dxa"/>
            <w:vAlign w:val="bottom"/>
            <w:shd w:val="clear" w:color="auto" w:fill="E5E5E5"/>
          </w:tcPr>
          <w:p>
            <w:pPr>
              <w:spacing w:after="0"/>
              <w:rPr>
                <w:sz w:val="7"/>
                <w:szCs w:val="7"/>
                <w:color w:val="auto"/>
              </w:rPr>
            </w:pPr>
          </w:p>
        </w:tc>
        <w:tc>
          <w:tcPr>
            <w:tcW w:w="860" w:type="dxa"/>
            <w:vAlign w:val="bottom"/>
            <w:shd w:val="clear" w:color="auto" w:fill="E5E5E5"/>
          </w:tcPr>
          <w:p>
            <w:pPr>
              <w:spacing w:after="0"/>
              <w:rPr>
                <w:sz w:val="7"/>
                <w:szCs w:val="7"/>
                <w:color w:val="auto"/>
              </w:rPr>
            </w:pPr>
          </w:p>
        </w:tc>
        <w:tc>
          <w:tcPr>
            <w:tcW w:w="320" w:type="dxa"/>
            <w:vAlign w:val="bottom"/>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860" w:type="dxa"/>
            <w:vAlign w:val="bottom"/>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E5E5E5"/>
          </w:tcPr>
          <w:p>
            <w:pPr>
              <w:ind w:left="40"/>
              <w:spacing w:after="0"/>
              <w:rPr>
                <w:sz w:val="20"/>
                <w:szCs w:val="20"/>
                <w:color w:val="auto"/>
              </w:rPr>
            </w:pPr>
            <w:r>
              <w:rPr>
                <w:rFonts w:ascii="Arial" w:cs="Arial" w:eastAsia="Arial" w:hAnsi="Arial"/>
                <w:sz w:val="13"/>
                <w:szCs w:val="13"/>
                <w:color w:val="auto"/>
              </w:rPr>
              <w:t>Performance RSU</w:t>
            </w:r>
          </w:p>
        </w:tc>
        <w:tc>
          <w:tcPr>
            <w:tcW w:w="120" w:type="dxa"/>
            <w:vAlign w:val="bottom"/>
            <w:shd w:val="clear" w:color="auto" w:fill="E5E5E5"/>
          </w:tcPr>
          <w:p>
            <w:pPr>
              <w:spacing w:after="0"/>
              <w:rPr>
                <w:sz w:val="16"/>
                <w:szCs w:val="16"/>
                <w:color w:val="auto"/>
              </w:rPr>
            </w:pPr>
          </w:p>
        </w:tc>
        <w:tc>
          <w:tcPr>
            <w:tcW w:w="88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2/29/2016</w:t>
            </w:r>
          </w:p>
        </w:tc>
        <w:tc>
          <w:tcPr>
            <w:tcW w:w="12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104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640" w:type="dxa"/>
            <w:vAlign w:val="bottom"/>
            <w:shd w:val="clear" w:color="auto" w:fill="E5E5E5"/>
          </w:tcPr>
          <w:p>
            <w:pPr>
              <w:spacing w:after="0"/>
              <w:rPr>
                <w:sz w:val="16"/>
                <w:szCs w:val="16"/>
                <w:color w:val="auto"/>
              </w:rPr>
            </w:pPr>
          </w:p>
        </w:tc>
        <w:tc>
          <w:tcPr>
            <w:tcW w:w="118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86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10,639</w:t>
            </w:r>
          </w:p>
        </w:tc>
        <w:tc>
          <w:tcPr>
            <w:tcW w:w="320" w:type="dxa"/>
            <w:vAlign w:val="bottom"/>
            <w:vMerge w:val="restart"/>
            <w:shd w:val="clear" w:color="auto" w:fill="E5E5E5"/>
          </w:tcPr>
          <w:p>
            <w:pPr>
              <w:jc w:val="right"/>
              <w:ind w:right="15"/>
              <w:spacing w:after="0"/>
              <w:rPr>
                <w:sz w:val="20"/>
                <w:szCs w:val="20"/>
                <w:color w:val="auto"/>
              </w:rPr>
            </w:pPr>
            <w:r>
              <w:rPr>
                <w:rFonts w:ascii="Arial" w:cs="Arial" w:eastAsia="Arial" w:hAnsi="Arial"/>
                <w:sz w:val="9"/>
                <w:szCs w:val="9"/>
                <w:b w:val="1"/>
                <w:bCs w:val="1"/>
                <w:color w:val="auto"/>
              </w:rPr>
              <w:t>(13 )</w:t>
            </w:r>
          </w:p>
        </w:tc>
        <w:tc>
          <w:tcPr>
            <w:tcW w:w="980" w:type="dxa"/>
            <w:vAlign w:val="bottom"/>
            <w:gridSpan w:val="2"/>
            <w:vMerge w:val="restart"/>
            <w:shd w:val="clear" w:color="auto" w:fill="E5E5E5"/>
          </w:tcPr>
          <w:p>
            <w:pPr>
              <w:jc w:val="right"/>
              <w:ind w:right="44"/>
              <w:spacing w:after="0"/>
              <w:rPr>
                <w:sz w:val="20"/>
                <w:szCs w:val="20"/>
                <w:color w:val="auto"/>
              </w:rPr>
            </w:pPr>
            <w:r>
              <w:rPr>
                <w:rFonts w:ascii="Arial" w:cs="Arial" w:eastAsia="Arial" w:hAnsi="Arial"/>
                <w:sz w:val="13"/>
                <w:szCs w:val="13"/>
                <w:color w:val="auto"/>
              </w:rPr>
              <w:t>643,553</w:t>
            </w:r>
          </w:p>
        </w:tc>
        <w:tc>
          <w:tcPr>
            <w:tcW w:w="0" w:type="dxa"/>
            <w:vAlign w:val="bottom"/>
          </w:tcPr>
          <w:p>
            <w:pPr>
              <w:spacing w:after="0"/>
              <w:rPr>
                <w:sz w:val="1"/>
                <w:szCs w:val="1"/>
                <w:color w:val="auto"/>
              </w:rPr>
            </w:pPr>
          </w:p>
        </w:tc>
      </w:tr>
      <w:tr>
        <w:trPr>
          <w:trHeight w:val="81"/>
        </w:trPr>
        <w:tc>
          <w:tcPr>
            <w:tcW w:w="1220" w:type="dxa"/>
            <w:vAlign w:val="bottom"/>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880" w:type="dxa"/>
            <w:vAlign w:val="bottom"/>
            <w:vMerge w:val="continue"/>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1000" w:type="dxa"/>
            <w:vAlign w:val="bottom"/>
            <w:shd w:val="clear" w:color="auto" w:fill="E5E5E5"/>
          </w:tcPr>
          <w:p>
            <w:pPr>
              <w:spacing w:after="0"/>
              <w:rPr>
                <w:sz w:val="7"/>
                <w:szCs w:val="7"/>
                <w:color w:val="auto"/>
              </w:rPr>
            </w:pPr>
          </w:p>
        </w:tc>
        <w:tc>
          <w:tcPr>
            <w:tcW w:w="1040" w:type="dxa"/>
            <w:vAlign w:val="bottom"/>
            <w:shd w:val="clear" w:color="auto" w:fill="E5E5E5"/>
          </w:tcPr>
          <w:p>
            <w:pPr>
              <w:spacing w:after="0"/>
              <w:rPr>
                <w:sz w:val="7"/>
                <w:szCs w:val="7"/>
                <w:color w:val="auto"/>
              </w:rPr>
            </w:pPr>
          </w:p>
        </w:tc>
        <w:tc>
          <w:tcPr>
            <w:tcW w:w="320" w:type="dxa"/>
            <w:vAlign w:val="bottom"/>
            <w:shd w:val="clear" w:color="auto" w:fill="E5E5E5"/>
          </w:tcPr>
          <w:p>
            <w:pPr>
              <w:spacing w:after="0"/>
              <w:rPr>
                <w:sz w:val="7"/>
                <w:szCs w:val="7"/>
                <w:color w:val="auto"/>
              </w:rPr>
            </w:pPr>
          </w:p>
        </w:tc>
        <w:tc>
          <w:tcPr>
            <w:tcW w:w="220" w:type="dxa"/>
            <w:vAlign w:val="bottom"/>
            <w:shd w:val="clear" w:color="auto" w:fill="E5E5E5"/>
          </w:tcPr>
          <w:p>
            <w:pPr>
              <w:spacing w:after="0"/>
              <w:rPr>
                <w:sz w:val="7"/>
                <w:szCs w:val="7"/>
                <w:color w:val="auto"/>
              </w:rPr>
            </w:pPr>
          </w:p>
        </w:tc>
        <w:tc>
          <w:tcPr>
            <w:tcW w:w="640" w:type="dxa"/>
            <w:vAlign w:val="bottom"/>
            <w:shd w:val="clear" w:color="auto" w:fill="E5E5E5"/>
          </w:tcPr>
          <w:p>
            <w:pPr>
              <w:spacing w:after="0"/>
              <w:rPr>
                <w:sz w:val="7"/>
                <w:szCs w:val="7"/>
                <w:color w:val="auto"/>
              </w:rPr>
            </w:pPr>
          </w:p>
        </w:tc>
        <w:tc>
          <w:tcPr>
            <w:tcW w:w="1180" w:type="dxa"/>
            <w:vAlign w:val="bottom"/>
            <w:shd w:val="clear" w:color="auto" w:fill="E5E5E5"/>
          </w:tcPr>
          <w:p>
            <w:pPr>
              <w:spacing w:after="0"/>
              <w:rPr>
                <w:sz w:val="7"/>
                <w:szCs w:val="7"/>
                <w:color w:val="auto"/>
              </w:rPr>
            </w:pPr>
          </w:p>
        </w:tc>
        <w:tc>
          <w:tcPr>
            <w:tcW w:w="780" w:type="dxa"/>
            <w:vAlign w:val="bottom"/>
            <w:shd w:val="clear" w:color="auto" w:fill="E5E5E5"/>
          </w:tcPr>
          <w:p>
            <w:pPr>
              <w:spacing w:after="0"/>
              <w:rPr>
                <w:sz w:val="7"/>
                <w:szCs w:val="7"/>
                <w:color w:val="auto"/>
              </w:rPr>
            </w:pPr>
          </w:p>
        </w:tc>
        <w:tc>
          <w:tcPr>
            <w:tcW w:w="420" w:type="dxa"/>
            <w:vAlign w:val="bottom"/>
            <w:shd w:val="clear" w:color="auto" w:fill="E5E5E5"/>
          </w:tcPr>
          <w:p>
            <w:pPr>
              <w:spacing w:after="0"/>
              <w:rPr>
                <w:sz w:val="7"/>
                <w:szCs w:val="7"/>
                <w:color w:val="auto"/>
              </w:rPr>
            </w:pPr>
          </w:p>
        </w:tc>
        <w:tc>
          <w:tcPr>
            <w:tcW w:w="760" w:type="dxa"/>
            <w:vAlign w:val="bottom"/>
            <w:shd w:val="clear" w:color="auto" w:fill="E5E5E5"/>
          </w:tcPr>
          <w:p>
            <w:pPr>
              <w:spacing w:after="0"/>
              <w:rPr>
                <w:sz w:val="7"/>
                <w:szCs w:val="7"/>
                <w:color w:val="auto"/>
              </w:rPr>
            </w:pPr>
          </w:p>
        </w:tc>
        <w:tc>
          <w:tcPr>
            <w:tcW w:w="100" w:type="dxa"/>
            <w:vAlign w:val="bottom"/>
            <w:shd w:val="clear" w:color="auto" w:fill="E5E5E5"/>
          </w:tcPr>
          <w:p>
            <w:pPr>
              <w:spacing w:after="0"/>
              <w:rPr>
                <w:sz w:val="7"/>
                <w:szCs w:val="7"/>
                <w:color w:val="auto"/>
              </w:rPr>
            </w:pPr>
          </w:p>
        </w:tc>
        <w:tc>
          <w:tcPr>
            <w:tcW w:w="860" w:type="dxa"/>
            <w:vAlign w:val="bottom"/>
            <w:vMerge w:val="continue"/>
            <w:shd w:val="clear" w:color="auto" w:fill="E5E5E5"/>
          </w:tcPr>
          <w:p>
            <w:pPr>
              <w:spacing w:after="0"/>
              <w:rPr>
                <w:sz w:val="7"/>
                <w:szCs w:val="7"/>
                <w:color w:val="auto"/>
              </w:rPr>
            </w:pPr>
          </w:p>
        </w:tc>
        <w:tc>
          <w:tcPr>
            <w:tcW w:w="320" w:type="dxa"/>
            <w:vAlign w:val="bottom"/>
            <w:vMerge w:val="continue"/>
            <w:shd w:val="clear" w:color="auto" w:fill="E5E5E5"/>
          </w:tcPr>
          <w:p>
            <w:pPr>
              <w:spacing w:after="0"/>
              <w:rPr>
                <w:sz w:val="7"/>
                <w:szCs w:val="7"/>
                <w:color w:val="auto"/>
              </w:rPr>
            </w:pPr>
          </w:p>
        </w:tc>
        <w:tc>
          <w:tcPr>
            <w:tcW w:w="980" w:type="dxa"/>
            <w:vAlign w:val="bottom"/>
            <w:gridSpan w:val="2"/>
            <w:vMerge w:val="continue"/>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E5E5E5"/>
          </w:tcPr>
          <w:p>
            <w:pPr>
              <w:ind w:left="40"/>
              <w:spacing w:after="0"/>
              <w:rPr>
                <w:sz w:val="20"/>
                <w:szCs w:val="20"/>
                <w:color w:val="auto"/>
              </w:rPr>
            </w:pPr>
            <w:r>
              <w:rPr>
                <w:rFonts w:ascii="Arial" w:cs="Arial" w:eastAsia="Arial" w:hAnsi="Arial"/>
                <w:sz w:val="13"/>
                <w:szCs w:val="13"/>
                <w:color w:val="auto"/>
              </w:rPr>
              <w:t>RSU</w:t>
            </w:r>
          </w:p>
        </w:tc>
        <w:tc>
          <w:tcPr>
            <w:tcW w:w="120" w:type="dxa"/>
            <w:vAlign w:val="bottom"/>
            <w:shd w:val="clear" w:color="auto" w:fill="E5E5E5"/>
          </w:tcPr>
          <w:p>
            <w:pPr>
              <w:spacing w:after="0"/>
              <w:rPr>
                <w:sz w:val="16"/>
                <w:szCs w:val="16"/>
                <w:color w:val="auto"/>
              </w:rPr>
            </w:pPr>
          </w:p>
        </w:tc>
        <w:tc>
          <w:tcPr>
            <w:tcW w:w="88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3/2/2017</w:t>
            </w:r>
          </w:p>
        </w:tc>
        <w:tc>
          <w:tcPr>
            <w:tcW w:w="12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104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640" w:type="dxa"/>
            <w:vAlign w:val="bottom"/>
            <w:shd w:val="clear" w:color="auto" w:fill="E5E5E5"/>
          </w:tcPr>
          <w:p>
            <w:pPr>
              <w:spacing w:after="0"/>
              <w:rPr>
                <w:sz w:val="16"/>
                <w:szCs w:val="16"/>
                <w:color w:val="auto"/>
              </w:rPr>
            </w:pPr>
          </w:p>
        </w:tc>
        <w:tc>
          <w:tcPr>
            <w:tcW w:w="1180" w:type="dxa"/>
            <w:vAlign w:val="bottom"/>
            <w:shd w:val="clear" w:color="auto" w:fill="E5E5E5"/>
          </w:tcPr>
          <w:p>
            <w:pPr>
              <w:spacing w:after="0"/>
              <w:rPr>
                <w:sz w:val="16"/>
                <w:szCs w:val="16"/>
                <w:color w:val="auto"/>
              </w:rPr>
            </w:pPr>
          </w:p>
        </w:tc>
        <w:tc>
          <w:tcPr>
            <w:tcW w:w="780" w:type="dxa"/>
            <w:vAlign w:val="bottom"/>
            <w:vMerge w:val="restart"/>
            <w:shd w:val="clear" w:color="auto" w:fill="E5E5E5"/>
          </w:tcPr>
          <w:p>
            <w:pPr>
              <w:jc w:val="right"/>
              <w:ind w:right="59"/>
              <w:spacing w:after="0"/>
              <w:rPr>
                <w:sz w:val="20"/>
                <w:szCs w:val="20"/>
                <w:color w:val="auto"/>
              </w:rPr>
            </w:pPr>
            <w:r>
              <w:rPr>
                <w:rFonts w:ascii="Arial" w:cs="Arial" w:eastAsia="Arial" w:hAnsi="Arial"/>
                <w:sz w:val="13"/>
                <w:szCs w:val="13"/>
                <w:color w:val="auto"/>
              </w:rPr>
              <w:t>5,535</w:t>
            </w:r>
          </w:p>
        </w:tc>
        <w:tc>
          <w:tcPr>
            <w:tcW w:w="420" w:type="dxa"/>
            <w:vAlign w:val="bottom"/>
            <w:vMerge w:val="restart"/>
            <w:shd w:val="clear" w:color="auto" w:fill="E5E5E5"/>
          </w:tcPr>
          <w:p>
            <w:pPr>
              <w:ind w:left="20"/>
              <w:spacing w:after="0"/>
              <w:rPr>
                <w:sz w:val="20"/>
                <w:szCs w:val="20"/>
                <w:color w:val="auto"/>
              </w:rPr>
            </w:pPr>
            <w:r>
              <w:rPr>
                <w:rFonts w:ascii="Arial" w:cs="Arial" w:eastAsia="Arial" w:hAnsi="Arial"/>
                <w:sz w:val="9"/>
                <w:szCs w:val="9"/>
                <w:b w:val="1"/>
                <w:bCs w:val="1"/>
                <w:color w:val="auto"/>
              </w:rPr>
              <w:t>(8)</w:t>
            </w:r>
          </w:p>
        </w:tc>
        <w:tc>
          <w:tcPr>
            <w:tcW w:w="76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334,812</w:t>
            </w:r>
          </w:p>
        </w:tc>
        <w:tc>
          <w:tcPr>
            <w:tcW w:w="10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220" w:type="dxa"/>
            <w:vAlign w:val="bottom"/>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880" w:type="dxa"/>
            <w:vAlign w:val="bottom"/>
            <w:vMerge w:val="continue"/>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1000" w:type="dxa"/>
            <w:vAlign w:val="bottom"/>
            <w:shd w:val="clear" w:color="auto" w:fill="E5E5E5"/>
          </w:tcPr>
          <w:p>
            <w:pPr>
              <w:spacing w:after="0"/>
              <w:rPr>
                <w:sz w:val="7"/>
                <w:szCs w:val="7"/>
                <w:color w:val="auto"/>
              </w:rPr>
            </w:pPr>
          </w:p>
        </w:tc>
        <w:tc>
          <w:tcPr>
            <w:tcW w:w="1040" w:type="dxa"/>
            <w:vAlign w:val="bottom"/>
            <w:shd w:val="clear" w:color="auto" w:fill="E5E5E5"/>
          </w:tcPr>
          <w:p>
            <w:pPr>
              <w:spacing w:after="0"/>
              <w:rPr>
                <w:sz w:val="7"/>
                <w:szCs w:val="7"/>
                <w:color w:val="auto"/>
              </w:rPr>
            </w:pPr>
          </w:p>
        </w:tc>
        <w:tc>
          <w:tcPr>
            <w:tcW w:w="320" w:type="dxa"/>
            <w:vAlign w:val="bottom"/>
            <w:shd w:val="clear" w:color="auto" w:fill="E5E5E5"/>
          </w:tcPr>
          <w:p>
            <w:pPr>
              <w:spacing w:after="0"/>
              <w:rPr>
                <w:sz w:val="7"/>
                <w:szCs w:val="7"/>
                <w:color w:val="auto"/>
              </w:rPr>
            </w:pPr>
          </w:p>
        </w:tc>
        <w:tc>
          <w:tcPr>
            <w:tcW w:w="220" w:type="dxa"/>
            <w:vAlign w:val="bottom"/>
            <w:shd w:val="clear" w:color="auto" w:fill="E5E5E5"/>
          </w:tcPr>
          <w:p>
            <w:pPr>
              <w:spacing w:after="0"/>
              <w:rPr>
                <w:sz w:val="7"/>
                <w:szCs w:val="7"/>
                <w:color w:val="auto"/>
              </w:rPr>
            </w:pPr>
          </w:p>
        </w:tc>
        <w:tc>
          <w:tcPr>
            <w:tcW w:w="640" w:type="dxa"/>
            <w:vAlign w:val="bottom"/>
            <w:shd w:val="clear" w:color="auto" w:fill="E5E5E5"/>
          </w:tcPr>
          <w:p>
            <w:pPr>
              <w:spacing w:after="0"/>
              <w:rPr>
                <w:sz w:val="7"/>
                <w:szCs w:val="7"/>
                <w:color w:val="auto"/>
              </w:rPr>
            </w:pPr>
          </w:p>
        </w:tc>
        <w:tc>
          <w:tcPr>
            <w:tcW w:w="1180" w:type="dxa"/>
            <w:vAlign w:val="bottom"/>
            <w:shd w:val="clear" w:color="auto" w:fill="E5E5E5"/>
          </w:tcPr>
          <w:p>
            <w:pPr>
              <w:spacing w:after="0"/>
              <w:rPr>
                <w:sz w:val="7"/>
                <w:szCs w:val="7"/>
                <w:color w:val="auto"/>
              </w:rPr>
            </w:pPr>
          </w:p>
        </w:tc>
        <w:tc>
          <w:tcPr>
            <w:tcW w:w="780" w:type="dxa"/>
            <w:vAlign w:val="bottom"/>
            <w:vMerge w:val="continue"/>
            <w:shd w:val="clear" w:color="auto" w:fill="E5E5E5"/>
          </w:tcPr>
          <w:p>
            <w:pPr>
              <w:spacing w:after="0"/>
              <w:rPr>
                <w:sz w:val="7"/>
                <w:szCs w:val="7"/>
                <w:color w:val="auto"/>
              </w:rPr>
            </w:pPr>
          </w:p>
        </w:tc>
        <w:tc>
          <w:tcPr>
            <w:tcW w:w="420" w:type="dxa"/>
            <w:vAlign w:val="bottom"/>
            <w:vMerge w:val="continue"/>
            <w:shd w:val="clear" w:color="auto" w:fill="E5E5E5"/>
          </w:tcPr>
          <w:p>
            <w:pPr>
              <w:spacing w:after="0"/>
              <w:rPr>
                <w:sz w:val="7"/>
                <w:szCs w:val="7"/>
                <w:color w:val="auto"/>
              </w:rPr>
            </w:pPr>
          </w:p>
        </w:tc>
        <w:tc>
          <w:tcPr>
            <w:tcW w:w="760" w:type="dxa"/>
            <w:vAlign w:val="bottom"/>
            <w:vMerge w:val="continue"/>
            <w:shd w:val="clear" w:color="auto" w:fill="E5E5E5"/>
          </w:tcPr>
          <w:p>
            <w:pPr>
              <w:spacing w:after="0"/>
              <w:rPr>
                <w:sz w:val="7"/>
                <w:szCs w:val="7"/>
                <w:color w:val="auto"/>
              </w:rPr>
            </w:pPr>
          </w:p>
        </w:tc>
        <w:tc>
          <w:tcPr>
            <w:tcW w:w="100" w:type="dxa"/>
            <w:vAlign w:val="bottom"/>
            <w:shd w:val="clear" w:color="auto" w:fill="E5E5E5"/>
          </w:tcPr>
          <w:p>
            <w:pPr>
              <w:spacing w:after="0"/>
              <w:rPr>
                <w:sz w:val="7"/>
                <w:szCs w:val="7"/>
                <w:color w:val="auto"/>
              </w:rPr>
            </w:pPr>
          </w:p>
        </w:tc>
        <w:tc>
          <w:tcPr>
            <w:tcW w:w="860" w:type="dxa"/>
            <w:vAlign w:val="bottom"/>
            <w:shd w:val="clear" w:color="auto" w:fill="E5E5E5"/>
          </w:tcPr>
          <w:p>
            <w:pPr>
              <w:spacing w:after="0"/>
              <w:rPr>
                <w:sz w:val="7"/>
                <w:szCs w:val="7"/>
                <w:color w:val="auto"/>
              </w:rPr>
            </w:pPr>
          </w:p>
        </w:tc>
        <w:tc>
          <w:tcPr>
            <w:tcW w:w="320" w:type="dxa"/>
            <w:vAlign w:val="bottom"/>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860" w:type="dxa"/>
            <w:vAlign w:val="bottom"/>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E5E5E5"/>
          </w:tcPr>
          <w:p>
            <w:pPr>
              <w:ind w:left="40"/>
              <w:spacing w:after="0"/>
              <w:rPr>
                <w:sz w:val="20"/>
                <w:szCs w:val="20"/>
                <w:color w:val="auto"/>
              </w:rPr>
            </w:pPr>
            <w:r>
              <w:rPr>
                <w:rFonts w:ascii="Arial" w:cs="Arial" w:eastAsia="Arial" w:hAnsi="Arial"/>
                <w:sz w:val="13"/>
                <w:szCs w:val="13"/>
                <w:color w:val="auto"/>
              </w:rPr>
              <w:t>Performance RSU</w:t>
            </w:r>
          </w:p>
        </w:tc>
        <w:tc>
          <w:tcPr>
            <w:tcW w:w="120" w:type="dxa"/>
            <w:vAlign w:val="bottom"/>
            <w:shd w:val="clear" w:color="auto" w:fill="E5E5E5"/>
          </w:tcPr>
          <w:p>
            <w:pPr>
              <w:spacing w:after="0"/>
              <w:rPr>
                <w:sz w:val="16"/>
                <w:szCs w:val="16"/>
                <w:color w:val="auto"/>
              </w:rPr>
            </w:pPr>
          </w:p>
        </w:tc>
        <w:tc>
          <w:tcPr>
            <w:tcW w:w="88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3/2/2017</w:t>
            </w:r>
          </w:p>
        </w:tc>
        <w:tc>
          <w:tcPr>
            <w:tcW w:w="12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104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640" w:type="dxa"/>
            <w:vAlign w:val="bottom"/>
            <w:shd w:val="clear" w:color="auto" w:fill="E5E5E5"/>
          </w:tcPr>
          <w:p>
            <w:pPr>
              <w:spacing w:after="0"/>
              <w:rPr>
                <w:sz w:val="16"/>
                <w:szCs w:val="16"/>
                <w:color w:val="auto"/>
              </w:rPr>
            </w:pPr>
          </w:p>
        </w:tc>
        <w:tc>
          <w:tcPr>
            <w:tcW w:w="118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86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7,906</w:t>
            </w:r>
          </w:p>
        </w:tc>
        <w:tc>
          <w:tcPr>
            <w:tcW w:w="320" w:type="dxa"/>
            <w:vAlign w:val="bottom"/>
            <w:vMerge w:val="restart"/>
            <w:shd w:val="clear" w:color="auto" w:fill="E5E5E5"/>
          </w:tcPr>
          <w:p>
            <w:pPr>
              <w:jc w:val="right"/>
              <w:ind w:right="15"/>
              <w:spacing w:after="0"/>
              <w:rPr>
                <w:sz w:val="20"/>
                <w:szCs w:val="20"/>
                <w:color w:val="auto"/>
              </w:rPr>
            </w:pPr>
            <w:r>
              <w:rPr>
                <w:rFonts w:ascii="Arial" w:cs="Arial" w:eastAsia="Arial" w:hAnsi="Arial"/>
                <w:sz w:val="9"/>
                <w:szCs w:val="9"/>
                <w:b w:val="1"/>
                <w:bCs w:val="1"/>
                <w:color w:val="auto"/>
              </w:rPr>
              <w:t>(14 )</w:t>
            </w:r>
          </w:p>
        </w:tc>
        <w:tc>
          <w:tcPr>
            <w:tcW w:w="980" w:type="dxa"/>
            <w:vAlign w:val="bottom"/>
            <w:gridSpan w:val="2"/>
            <w:vMerge w:val="restart"/>
            <w:shd w:val="clear" w:color="auto" w:fill="E5E5E5"/>
          </w:tcPr>
          <w:p>
            <w:pPr>
              <w:jc w:val="right"/>
              <w:ind w:right="44"/>
              <w:spacing w:after="0"/>
              <w:rPr>
                <w:sz w:val="20"/>
                <w:szCs w:val="20"/>
                <w:color w:val="auto"/>
              </w:rPr>
            </w:pPr>
            <w:r>
              <w:rPr>
                <w:rFonts w:ascii="Arial" w:cs="Arial" w:eastAsia="Arial" w:hAnsi="Arial"/>
                <w:sz w:val="13"/>
                <w:szCs w:val="13"/>
                <w:color w:val="auto"/>
              </w:rPr>
              <w:t>478,234</w:t>
            </w:r>
          </w:p>
        </w:tc>
        <w:tc>
          <w:tcPr>
            <w:tcW w:w="0" w:type="dxa"/>
            <w:vAlign w:val="bottom"/>
          </w:tcPr>
          <w:p>
            <w:pPr>
              <w:spacing w:after="0"/>
              <w:rPr>
                <w:sz w:val="1"/>
                <w:szCs w:val="1"/>
                <w:color w:val="auto"/>
              </w:rPr>
            </w:pPr>
          </w:p>
        </w:tc>
      </w:tr>
      <w:tr>
        <w:trPr>
          <w:trHeight w:val="81"/>
        </w:trPr>
        <w:tc>
          <w:tcPr>
            <w:tcW w:w="1220" w:type="dxa"/>
            <w:vAlign w:val="bottom"/>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880" w:type="dxa"/>
            <w:vAlign w:val="bottom"/>
            <w:vMerge w:val="continue"/>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1000" w:type="dxa"/>
            <w:vAlign w:val="bottom"/>
            <w:shd w:val="clear" w:color="auto" w:fill="E5E5E5"/>
          </w:tcPr>
          <w:p>
            <w:pPr>
              <w:spacing w:after="0"/>
              <w:rPr>
                <w:sz w:val="7"/>
                <w:szCs w:val="7"/>
                <w:color w:val="auto"/>
              </w:rPr>
            </w:pPr>
          </w:p>
        </w:tc>
        <w:tc>
          <w:tcPr>
            <w:tcW w:w="1040" w:type="dxa"/>
            <w:vAlign w:val="bottom"/>
            <w:shd w:val="clear" w:color="auto" w:fill="E5E5E5"/>
          </w:tcPr>
          <w:p>
            <w:pPr>
              <w:spacing w:after="0"/>
              <w:rPr>
                <w:sz w:val="7"/>
                <w:szCs w:val="7"/>
                <w:color w:val="auto"/>
              </w:rPr>
            </w:pPr>
          </w:p>
        </w:tc>
        <w:tc>
          <w:tcPr>
            <w:tcW w:w="320" w:type="dxa"/>
            <w:vAlign w:val="bottom"/>
            <w:shd w:val="clear" w:color="auto" w:fill="E5E5E5"/>
          </w:tcPr>
          <w:p>
            <w:pPr>
              <w:spacing w:after="0"/>
              <w:rPr>
                <w:sz w:val="7"/>
                <w:szCs w:val="7"/>
                <w:color w:val="auto"/>
              </w:rPr>
            </w:pPr>
          </w:p>
        </w:tc>
        <w:tc>
          <w:tcPr>
            <w:tcW w:w="220" w:type="dxa"/>
            <w:vAlign w:val="bottom"/>
            <w:shd w:val="clear" w:color="auto" w:fill="E5E5E5"/>
          </w:tcPr>
          <w:p>
            <w:pPr>
              <w:spacing w:after="0"/>
              <w:rPr>
                <w:sz w:val="7"/>
                <w:szCs w:val="7"/>
                <w:color w:val="auto"/>
              </w:rPr>
            </w:pPr>
          </w:p>
        </w:tc>
        <w:tc>
          <w:tcPr>
            <w:tcW w:w="640" w:type="dxa"/>
            <w:vAlign w:val="bottom"/>
            <w:shd w:val="clear" w:color="auto" w:fill="E5E5E5"/>
          </w:tcPr>
          <w:p>
            <w:pPr>
              <w:spacing w:after="0"/>
              <w:rPr>
                <w:sz w:val="7"/>
                <w:szCs w:val="7"/>
                <w:color w:val="auto"/>
              </w:rPr>
            </w:pPr>
          </w:p>
        </w:tc>
        <w:tc>
          <w:tcPr>
            <w:tcW w:w="1180" w:type="dxa"/>
            <w:vAlign w:val="bottom"/>
            <w:shd w:val="clear" w:color="auto" w:fill="E5E5E5"/>
          </w:tcPr>
          <w:p>
            <w:pPr>
              <w:spacing w:after="0"/>
              <w:rPr>
                <w:sz w:val="7"/>
                <w:szCs w:val="7"/>
                <w:color w:val="auto"/>
              </w:rPr>
            </w:pPr>
          </w:p>
        </w:tc>
        <w:tc>
          <w:tcPr>
            <w:tcW w:w="780" w:type="dxa"/>
            <w:vAlign w:val="bottom"/>
            <w:shd w:val="clear" w:color="auto" w:fill="E5E5E5"/>
          </w:tcPr>
          <w:p>
            <w:pPr>
              <w:spacing w:after="0"/>
              <w:rPr>
                <w:sz w:val="7"/>
                <w:szCs w:val="7"/>
                <w:color w:val="auto"/>
              </w:rPr>
            </w:pPr>
          </w:p>
        </w:tc>
        <w:tc>
          <w:tcPr>
            <w:tcW w:w="420" w:type="dxa"/>
            <w:vAlign w:val="bottom"/>
            <w:shd w:val="clear" w:color="auto" w:fill="E5E5E5"/>
          </w:tcPr>
          <w:p>
            <w:pPr>
              <w:spacing w:after="0"/>
              <w:rPr>
                <w:sz w:val="7"/>
                <w:szCs w:val="7"/>
                <w:color w:val="auto"/>
              </w:rPr>
            </w:pPr>
          </w:p>
        </w:tc>
        <w:tc>
          <w:tcPr>
            <w:tcW w:w="760" w:type="dxa"/>
            <w:vAlign w:val="bottom"/>
            <w:shd w:val="clear" w:color="auto" w:fill="E5E5E5"/>
          </w:tcPr>
          <w:p>
            <w:pPr>
              <w:spacing w:after="0"/>
              <w:rPr>
                <w:sz w:val="7"/>
                <w:szCs w:val="7"/>
                <w:color w:val="auto"/>
              </w:rPr>
            </w:pPr>
          </w:p>
        </w:tc>
        <w:tc>
          <w:tcPr>
            <w:tcW w:w="100" w:type="dxa"/>
            <w:vAlign w:val="bottom"/>
            <w:shd w:val="clear" w:color="auto" w:fill="E5E5E5"/>
          </w:tcPr>
          <w:p>
            <w:pPr>
              <w:spacing w:after="0"/>
              <w:rPr>
                <w:sz w:val="7"/>
                <w:szCs w:val="7"/>
                <w:color w:val="auto"/>
              </w:rPr>
            </w:pPr>
          </w:p>
        </w:tc>
        <w:tc>
          <w:tcPr>
            <w:tcW w:w="860" w:type="dxa"/>
            <w:vAlign w:val="bottom"/>
            <w:vMerge w:val="continue"/>
            <w:shd w:val="clear" w:color="auto" w:fill="E5E5E5"/>
          </w:tcPr>
          <w:p>
            <w:pPr>
              <w:spacing w:after="0"/>
              <w:rPr>
                <w:sz w:val="7"/>
                <w:szCs w:val="7"/>
                <w:color w:val="auto"/>
              </w:rPr>
            </w:pPr>
          </w:p>
        </w:tc>
        <w:tc>
          <w:tcPr>
            <w:tcW w:w="320" w:type="dxa"/>
            <w:vAlign w:val="bottom"/>
            <w:vMerge w:val="continue"/>
            <w:shd w:val="clear" w:color="auto" w:fill="E5E5E5"/>
          </w:tcPr>
          <w:p>
            <w:pPr>
              <w:spacing w:after="0"/>
              <w:rPr>
                <w:sz w:val="7"/>
                <w:szCs w:val="7"/>
                <w:color w:val="auto"/>
              </w:rPr>
            </w:pPr>
          </w:p>
        </w:tc>
        <w:tc>
          <w:tcPr>
            <w:tcW w:w="980" w:type="dxa"/>
            <w:vAlign w:val="bottom"/>
            <w:gridSpan w:val="2"/>
            <w:vMerge w:val="continue"/>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1220" w:type="dxa"/>
            <w:vAlign w:val="bottom"/>
            <w:shd w:val="clear" w:color="auto" w:fill="E5E5E5"/>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880" w:type="dxa"/>
            <w:vAlign w:val="bottom"/>
            <w:shd w:val="clear" w:color="auto" w:fill="E5E5E5"/>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1000" w:type="dxa"/>
            <w:vAlign w:val="bottom"/>
            <w:shd w:val="clear" w:color="auto" w:fill="E5E5E5"/>
          </w:tcPr>
          <w:p>
            <w:pPr>
              <w:spacing w:after="0"/>
              <w:rPr>
                <w:sz w:val="24"/>
                <w:szCs w:val="24"/>
                <w:color w:val="auto"/>
              </w:rPr>
            </w:pPr>
          </w:p>
        </w:tc>
        <w:tc>
          <w:tcPr>
            <w:tcW w:w="1040" w:type="dxa"/>
            <w:vAlign w:val="bottom"/>
            <w:shd w:val="clear" w:color="auto" w:fill="E5E5E5"/>
          </w:tcPr>
          <w:p>
            <w:pPr>
              <w:spacing w:after="0"/>
              <w:rPr>
                <w:sz w:val="24"/>
                <w:szCs w:val="24"/>
                <w:color w:val="auto"/>
              </w:rPr>
            </w:pPr>
          </w:p>
        </w:tc>
        <w:tc>
          <w:tcPr>
            <w:tcW w:w="320" w:type="dxa"/>
            <w:vAlign w:val="bottom"/>
            <w:shd w:val="clear" w:color="auto" w:fill="E5E5E5"/>
          </w:tcPr>
          <w:p>
            <w:pPr>
              <w:spacing w:after="0"/>
              <w:rPr>
                <w:sz w:val="24"/>
                <w:szCs w:val="24"/>
                <w:color w:val="auto"/>
              </w:rPr>
            </w:pPr>
          </w:p>
        </w:tc>
        <w:tc>
          <w:tcPr>
            <w:tcW w:w="220" w:type="dxa"/>
            <w:vAlign w:val="bottom"/>
            <w:shd w:val="clear" w:color="auto" w:fill="E5E5E5"/>
          </w:tcPr>
          <w:p>
            <w:pPr>
              <w:spacing w:after="0"/>
              <w:rPr>
                <w:sz w:val="24"/>
                <w:szCs w:val="24"/>
                <w:color w:val="auto"/>
              </w:rPr>
            </w:pPr>
          </w:p>
        </w:tc>
        <w:tc>
          <w:tcPr>
            <w:tcW w:w="640" w:type="dxa"/>
            <w:vAlign w:val="bottom"/>
            <w:shd w:val="clear" w:color="auto" w:fill="E5E5E5"/>
          </w:tcPr>
          <w:p>
            <w:pPr>
              <w:spacing w:after="0"/>
              <w:rPr>
                <w:sz w:val="24"/>
                <w:szCs w:val="24"/>
                <w:color w:val="auto"/>
              </w:rPr>
            </w:pPr>
          </w:p>
        </w:tc>
        <w:tc>
          <w:tcPr>
            <w:tcW w:w="1180" w:type="dxa"/>
            <w:vAlign w:val="bottom"/>
            <w:shd w:val="clear" w:color="auto" w:fill="E5E5E5"/>
          </w:tcPr>
          <w:p>
            <w:pPr>
              <w:spacing w:after="0"/>
              <w:rPr>
                <w:sz w:val="24"/>
                <w:szCs w:val="24"/>
                <w:color w:val="auto"/>
              </w:rPr>
            </w:pPr>
          </w:p>
        </w:tc>
        <w:tc>
          <w:tcPr>
            <w:tcW w:w="780" w:type="dxa"/>
            <w:vAlign w:val="bottom"/>
            <w:shd w:val="clear" w:color="auto" w:fill="E5E5E5"/>
          </w:tcPr>
          <w:p>
            <w:pPr>
              <w:spacing w:after="0"/>
              <w:rPr>
                <w:sz w:val="24"/>
                <w:szCs w:val="24"/>
                <w:color w:val="auto"/>
              </w:rPr>
            </w:pPr>
          </w:p>
        </w:tc>
        <w:tc>
          <w:tcPr>
            <w:tcW w:w="420" w:type="dxa"/>
            <w:vAlign w:val="bottom"/>
            <w:shd w:val="clear" w:color="auto" w:fill="E5E5E5"/>
          </w:tcPr>
          <w:p>
            <w:pPr>
              <w:spacing w:after="0"/>
              <w:rPr>
                <w:sz w:val="24"/>
                <w:szCs w:val="24"/>
                <w:color w:val="auto"/>
              </w:rPr>
            </w:pPr>
          </w:p>
        </w:tc>
        <w:tc>
          <w:tcPr>
            <w:tcW w:w="760" w:type="dxa"/>
            <w:vAlign w:val="bottom"/>
            <w:shd w:val="clear" w:color="auto" w:fill="E5E5E5"/>
          </w:tcPr>
          <w:p>
            <w:pPr>
              <w:spacing w:after="0"/>
              <w:rPr>
                <w:sz w:val="24"/>
                <w:szCs w:val="24"/>
                <w:color w:val="auto"/>
              </w:rPr>
            </w:pPr>
          </w:p>
        </w:tc>
        <w:tc>
          <w:tcPr>
            <w:tcW w:w="100" w:type="dxa"/>
            <w:vAlign w:val="bottom"/>
            <w:shd w:val="clear" w:color="auto" w:fill="E5E5E5"/>
          </w:tcPr>
          <w:p>
            <w:pPr>
              <w:spacing w:after="0"/>
              <w:rPr>
                <w:sz w:val="24"/>
                <w:szCs w:val="24"/>
                <w:color w:val="auto"/>
              </w:rPr>
            </w:pPr>
          </w:p>
        </w:tc>
        <w:tc>
          <w:tcPr>
            <w:tcW w:w="860" w:type="dxa"/>
            <w:vAlign w:val="bottom"/>
            <w:shd w:val="clear" w:color="auto" w:fill="E5E5E5"/>
          </w:tcPr>
          <w:p>
            <w:pPr>
              <w:spacing w:after="0"/>
              <w:rPr>
                <w:sz w:val="24"/>
                <w:szCs w:val="24"/>
                <w:color w:val="auto"/>
              </w:rPr>
            </w:pPr>
          </w:p>
        </w:tc>
        <w:tc>
          <w:tcPr>
            <w:tcW w:w="320" w:type="dxa"/>
            <w:vAlign w:val="bottom"/>
            <w:shd w:val="clear" w:color="auto" w:fill="E5E5E5"/>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860" w:type="dxa"/>
            <w:vAlign w:val="bottom"/>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220" w:type="dxa"/>
            <w:vAlign w:val="bottom"/>
          </w:tcPr>
          <w:p>
            <w:pPr>
              <w:ind w:left="40"/>
              <w:spacing w:after="0"/>
              <w:rPr>
                <w:sz w:val="20"/>
                <w:szCs w:val="20"/>
                <w:color w:val="auto"/>
              </w:rPr>
            </w:pPr>
            <w:r>
              <w:rPr>
                <w:rFonts w:ascii="Arial" w:cs="Arial" w:eastAsia="Arial" w:hAnsi="Arial"/>
                <w:sz w:val="13"/>
                <w:szCs w:val="13"/>
                <w:b w:val="1"/>
                <w:bCs w:val="1"/>
                <w:color w:val="auto"/>
              </w:rPr>
              <w:t>John A. Fees</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220" w:type="dxa"/>
            <w:vAlign w:val="bottom"/>
          </w:tcPr>
          <w:p>
            <w:pPr>
              <w:ind w:left="40"/>
              <w:spacing w:after="0"/>
              <w:rPr>
                <w:sz w:val="20"/>
                <w:szCs w:val="20"/>
                <w:color w:val="auto"/>
              </w:rPr>
            </w:pPr>
            <w:r>
              <w:rPr>
                <w:rFonts w:ascii="Arial" w:cs="Arial" w:eastAsia="Arial" w:hAnsi="Arial"/>
                <w:sz w:val="13"/>
                <w:szCs w:val="13"/>
                <w:color w:val="auto"/>
              </w:rPr>
              <w:t>RSU</w:t>
            </w:r>
          </w:p>
        </w:tc>
        <w:tc>
          <w:tcPr>
            <w:tcW w:w="1000" w:type="dxa"/>
            <w:vAlign w:val="bottom"/>
            <w:gridSpan w:val="2"/>
            <w:vMerge w:val="restart"/>
          </w:tcPr>
          <w:p>
            <w:pPr>
              <w:jc w:val="right"/>
              <w:spacing w:after="0"/>
              <w:rPr>
                <w:sz w:val="20"/>
                <w:szCs w:val="20"/>
                <w:color w:val="auto"/>
              </w:rPr>
            </w:pPr>
            <w:r>
              <w:rPr>
                <w:rFonts w:ascii="Arial" w:cs="Arial" w:eastAsia="Arial" w:hAnsi="Arial"/>
                <w:sz w:val="13"/>
                <w:szCs w:val="13"/>
                <w:color w:val="auto"/>
              </w:rPr>
              <w:t>2/29/2016</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80" w:type="dxa"/>
            <w:vAlign w:val="bottom"/>
            <w:vMerge w:val="restart"/>
          </w:tcPr>
          <w:p>
            <w:pPr>
              <w:jc w:val="right"/>
              <w:ind w:right="59"/>
              <w:spacing w:after="0"/>
              <w:rPr>
                <w:sz w:val="20"/>
                <w:szCs w:val="20"/>
                <w:color w:val="auto"/>
              </w:rPr>
            </w:pPr>
            <w:r>
              <w:rPr>
                <w:rFonts w:ascii="Arial" w:cs="Arial" w:eastAsia="Arial" w:hAnsi="Arial"/>
                <w:sz w:val="13"/>
                <w:szCs w:val="13"/>
                <w:color w:val="auto"/>
              </w:rPr>
              <w:t>9,504</w:t>
            </w:r>
          </w:p>
        </w:tc>
        <w:tc>
          <w:tcPr>
            <w:tcW w:w="420" w:type="dxa"/>
            <w:vAlign w:val="bottom"/>
            <w:vMerge w:val="restart"/>
          </w:tcPr>
          <w:p>
            <w:pPr>
              <w:ind w:left="20"/>
              <w:spacing w:after="0"/>
              <w:rPr>
                <w:sz w:val="20"/>
                <w:szCs w:val="20"/>
                <w:color w:val="auto"/>
              </w:rPr>
            </w:pPr>
            <w:r>
              <w:rPr>
                <w:rFonts w:ascii="Arial" w:cs="Arial" w:eastAsia="Arial" w:hAnsi="Arial"/>
                <w:sz w:val="9"/>
                <w:szCs w:val="9"/>
                <w:b w:val="1"/>
                <w:bCs w:val="1"/>
                <w:color w:val="auto"/>
              </w:rPr>
              <w:t>(7)</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574,897</w:t>
            </w: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12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40"/>
              <w:spacing w:after="0"/>
              <w:rPr>
                <w:sz w:val="20"/>
                <w:szCs w:val="20"/>
                <w:color w:val="auto"/>
              </w:rPr>
            </w:pPr>
            <w:r>
              <w:rPr>
                <w:rFonts w:ascii="Arial" w:cs="Arial" w:eastAsia="Arial" w:hAnsi="Arial"/>
                <w:sz w:val="13"/>
                <w:szCs w:val="13"/>
                <w:color w:val="auto"/>
              </w:rPr>
              <w:t>Performance RSU</w:t>
            </w:r>
          </w:p>
        </w:tc>
        <w:tc>
          <w:tcPr>
            <w:tcW w:w="1000" w:type="dxa"/>
            <w:vAlign w:val="bottom"/>
            <w:gridSpan w:val="2"/>
            <w:vMerge w:val="restart"/>
          </w:tcPr>
          <w:p>
            <w:pPr>
              <w:jc w:val="right"/>
              <w:spacing w:after="0"/>
              <w:rPr>
                <w:sz w:val="20"/>
                <w:szCs w:val="20"/>
                <w:color w:val="auto"/>
              </w:rPr>
            </w:pPr>
            <w:r>
              <w:rPr>
                <w:rFonts w:ascii="Arial" w:cs="Arial" w:eastAsia="Arial" w:hAnsi="Arial"/>
                <w:sz w:val="13"/>
                <w:szCs w:val="13"/>
                <w:color w:val="auto"/>
              </w:rPr>
              <w:t>2/29/2016</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20,862</w:t>
            </w:r>
          </w:p>
        </w:tc>
        <w:tc>
          <w:tcPr>
            <w:tcW w:w="320" w:type="dxa"/>
            <w:vAlign w:val="bottom"/>
            <w:vMerge w:val="restart"/>
          </w:tcPr>
          <w:p>
            <w:pPr>
              <w:jc w:val="right"/>
              <w:ind w:right="15"/>
              <w:spacing w:after="0"/>
              <w:rPr>
                <w:sz w:val="20"/>
                <w:szCs w:val="20"/>
                <w:color w:val="auto"/>
              </w:rPr>
            </w:pPr>
            <w:r>
              <w:rPr>
                <w:rFonts w:ascii="Arial" w:cs="Arial" w:eastAsia="Arial" w:hAnsi="Arial"/>
                <w:sz w:val="9"/>
                <w:szCs w:val="9"/>
                <w:b w:val="1"/>
                <w:bCs w:val="1"/>
                <w:color w:val="auto"/>
              </w:rPr>
              <w:t>(13 )</w:t>
            </w:r>
          </w:p>
        </w:tc>
        <w:tc>
          <w:tcPr>
            <w:tcW w:w="980" w:type="dxa"/>
            <w:vAlign w:val="bottom"/>
            <w:gridSpan w:val="2"/>
            <w:vMerge w:val="restart"/>
          </w:tcPr>
          <w:p>
            <w:pPr>
              <w:jc w:val="right"/>
              <w:ind w:right="44"/>
              <w:spacing w:after="0"/>
              <w:rPr>
                <w:sz w:val="20"/>
                <w:szCs w:val="20"/>
                <w:color w:val="auto"/>
              </w:rPr>
            </w:pPr>
            <w:r>
              <w:rPr>
                <w:rFonts w:ascii="Arial" w:cs="Arial" w:eastAsia="Arial" w:hAnsi="Arial"/>
                <w:sz w:val="13"/>
                <w:szCs w:val="13"/>
                <w:color w:val="auto"/>
              </w:rPr>
              <w:t>1,251,054</w:t>
            </w:r>
          </w:p>
        </w:tc>
        <w:tc>
          <w:tcPr>
            <w:tcW w:w="0" w:type="dxa"/>
            <w:vAlign w:val="bottom"/>
          </w:tcPr>
          <w:p>
            <w:pPr>
              <w:spacing w:after="0"/>
              <w:rPr>
                <w:sz w:val="1"/>
                <w:szCs w:val="1"/>
                <w:color w:val="auto"/>
              </w:rPr>
            </w:pPr>
          </w:p>
        </w:tc>
      </w:tr>
      <w:tr>
        <w:trPr>
          <w:trHeight w:val="81"/>
        </w:trPr>
        <w:tc>
          <w:tcPr>
            <w:tcW w:w="12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40"/>
              <w:spacing w:after="0"/>
              <w:rPr>
                <w:sz w:val="20"/>
                <w:szCs w:val="20"/>
                <w:color w:val="auto"/>
              </w:rPr>
            </w:pPr>
            <w:r>
              <w:rPr>
                <w:rFonts w:ascii="Arial" w:cs="Arial" w:eastAsia="Arial" w:hAnsi="Arial"/>
                <w:sz w:val="13"/>
                <w:szCs w:val="13"/>
                <w:color w:val="auto"/>
              </w:rPr>
              <w:t>RSU</w:t>
            </w:r>
          </w:p>
        </w:tc>
        <w:tc>
          <w:tcPr>
            <w:tcW w:w="1000" w:type="dxa"/>
            <w:vAlign w:val="bottom"/>
            <w:gridSpan w:val="2"/>
            <w:vMerge w:val="restart"/>
          </w:tcPr>
          <w:p>
            <w:pPr>
              <w:jc w:val="right"/>
              <w:spacing w:after="0"/>
              <w:rPr>
                <w:sz w:val="20"/>
                <w:szCs w:val="20"/>
                <w:color w:val="auto"/>
              </w:rPr>
            </w:pPr>
            <w:r>
              <w:rPr>
                <w:rFonts w:ascii="Arial" w:cs="Arial" w:eastAsia="Arial" w:hAnsi="Arial"/>
                <w:sz w:val="13"/>
                <w:szCs w:val="13"/>
                <w:color w:val="auto"/>
              </w:rPr>
              <w:t>3/2/2017</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vMerge w:val="restart"/>
          </w:tcPr>
          <w:p>
            <w:pPr>
              <w:jc w:val="right"/>
              <w:ind w:right="59"/>
              <w:spacing w:after="0"/>
              <w:rPr>
                <w:sz w:val="20"/>
                <w:szCs w:val="20"/>
                <w:color w:val="auto"/>
              </w:rPr>
            </w:pPr>
            <w:r>
              <w:rPr>
                <w:rFonts w:ascii="Arial" w:cs="Arial" w:eastAsia="Arial" w:hAnsi="Arial"/>
                <w:sz w:val="13"/>
                <w:szCs w:val="13"/>
                <w:color w:val="auto"/>
              </w:rPr>
              <w:t>11,535</w:t>
            </w:r>
          </w:p>
        </w:tc>
        <w:tc>
          <w:tcPr>
            <w:tcW w:w="420" w:type="dxa"/>
            <w:vAlign w:val="bottom"/>
            <w:vMerge w:val="restart"/>
          </w:tcPr>
          <w:p>
            <w:pPr>
              <w:ind w:left="20"/>
              <w:spacing w:after="0"/>
              <w:rPr>
                <w:sz w:val="20"/>
                <w:szCs w:val="20"/>
                <w:color w:val="auto"/>
              </w:rPr>
            </w:pPr>
            <w:r>
              <w:rPr>
                <w:rFonts w:ascii="Arial" w:cs="Arial" w:eastAsia="Arial" w:hAnsi="Arial"/>
                <w:sz w:val="9"/>
                <w:szCs w:val="9"/>
                <w:b w:val="1"/>
                <w:bCs w:val="1"/>
                <w:color w:val="auto"/>
              </w:rPr>
              <w:t>(8)</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697,752</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2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40"/>
              <w:spacing w:after="0"/>
              <w:rPr>
                <w:sz w:val="20"/>
                <w:szCs w:val="20"/>
                <w:color w:val="auto"/>
              </w:rPr>
            </w:pPr>
            <w:r>
              <w:rPr>
                <w:rFonts w:ascii="Arial" w:cs="Arial" w:eastAsia="Arial" w:hAnsi="Arial"/>
                <w:sz w:val="13"/>
                <w:szCs w:val="13"/>
                <w:color w:val="auto"/>
              </w:rPr>
              <w:t>Performance RSU</w:t>
            </w:r>
          </w:p>
        </w:tc>
        <w:tc>
          <w:tcPr>
            <w:tcW w:w="1000" w:type="dxa"/>
            <w:vAlign w:val="bottom"/>
            <w:gridSpan w:val="2"/>
            <w:vMerge w:val="restart"/>
          </w:tcPr>
          <w:p>
            <w:pPr>
              <w:jc w:val="right"/>
              <w:spacing w:after="0"/>
              <w:rPr>
                <w:sz w:val="20"/>
                <w:szCs w:val="20"/>
                <w:color w:val="auto"/>
              </w:rPr>
            </w:pPr>
            <w:r>
              <w:rPr>
                <w:rFonts w:ascii="Arial" w:cs="Arial" w:eastAsia="Arial" w:hAnsi="Arial"/>
                <w:sz w:val="13"/>
                <w:szCs w:val="13"/>
                <w:color w:val="auto"/>
              </w:rPr>
              <w:t>3/2/2017</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16,742</w:t>
            </w:r>
          </w:p>
        </w:tc>
        <w:tc>
          <w:tcPr>
            <w:tcW w:w="320" w:type="dxa"/>
            <w:vAlign w:val="bottom"/>
            <w:vMerge w:val="restart"/>
          </w:tcPr>
          <w:p>
            <w:pPr>
              <w:jc w:val="right"/>
              <w:ind w:right="15"/>
              <w:spacing w:after="0"/>
              <w:rPr>
                <w:sz w:val="20"/>
                <w:szCs w:val="20"/>
                <w:color w:val="auto"/>
              </w:rPr>
            </w:pPr>
            <w:r>
              <w:rPr>
                <w:rFonts w:ascii="Arial" w:cs="Arial" w:eastAsia="Arial" w:hAnsi="Arial"/>
                <w:sz w:val="9"/>
                <w:szCs w:val="9"/>
                <w:b w:val="1"/>
                <w:bCs w:val="1"/>
                <w:color w:val="auto"/>
              </w:rPr>
              <w:t>(14 )</w:t>
            </w:r>
          </w:p>
        </w:tc>
        <w:tc>
          <w:tcPr>
            <w:tcW w:w="980" w:type="dxa"/>
            <w:vAlign w:val="bottom"/>
            <w:gridSpan w:val="2"/>
            <w:vMerge w:val="restart"/>
          </w:tcPr>
          <w:p>
            <w:pPr>
              <w:jc w:val="right"/>
              <w:ind w:right="44"/>
              <w:spacing w:after="0"/>
              <w:rPr>
                <w:sz w:val="20"/>
                <w:szCs w:val="20"/>
                <w:color w:val="auto"/>
              </w:rPr>
            </w:pPr>
            <w:r>
              <w:rPr>
                <w:rFonts w:ascii="Arial" w:cs="Arial" w:eastAsia="Arial" w:hAnsi="Arial"/>
                <w:sz w:val="13"/>
                <w:szCs w:val="13"/>
                <w:color w:val="auto"/>
              </w:rPr>
              <w:t>996,391</w:t>
            </w:r>
          </w:p>
        </w:tc>
        <w:tc>
          <w:tcPr>
            <w:tcW w:w="0" w:type="dxa"/>
            <w:vAlign w:val="bottom"/>
          </w:tcPr>
          <w:p>
            <w:pPr>
              <w:spacing w:after="0"/>
              <w:rPr>
                <w:sz w:val="1"/>
                <w:szCs w:val="1"/>
                <w:color w:val="auto"/>
              </w:rPr>
            </w:pPr>
          </w:p>
        </w:tc>
      </w:tr>
      <w:tr>
        <w:trPr>
          <w:trHeight w:val="81"/>
        </w:trPr>
        <w:tc>
          <w:tcPr>
            <w:tcW w:w="12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220" w:type="dxa"/>
            <w:vAlign w:val="bottom"/>
            <w:shd w:val="clear" w:color="auto" w:fill="E5E5E5"/>
          </w:tcPr>
          <w:p>
            <w:pPr>
              <w:ind w:left="40"/>
              <w:spacing w:after="0"/>
              <w:rPr>
                <w:sz w:val="20"/>
                <w:szCs w:val="20"/>
                <w:color w:val="auto"/>
              </w:rPr>
            </w:pPr>
            <w:r>
              <w:rPr>
                <w:rFonts w:ascii="Arial" w:cs="Arial" w:eastAsia="Arial" w:hAnsi="Arial"/>
                <w:sz w:val="13"/>
                <w:szCs w:val="13"/>
                <w:b w:val="1"/>
                <w:bCs w:val="1"/>
                <w:color w:val="auto"/>
              </w:rPr>
              <w:t>James D. Canafax</w:t>
            </w:r>
          </w:p>
        </w:tc>
        <w:tc>
          <w:tcPr>
            <w:tcW w:w="120" w:type="dxa"/>
            <w:vAlign w:val="bottom"/>
            <w:shd w:val="clear" w:color="auto" w:fill="E5E5E5"/>
          </w:tcPr>
          <w:p>
            <w:pPr>
              <w:spacing w:after="0"/>
              <w:rPr>
                <w:sz w:val="15"/>
                <w:szCs w:val="15"/>
                <w:color w:val="auto"/>
              </w:rPr>
            </w:pPr>
          </w:p>
        </w:tc>
        <w:tc>
          <w:tcPr>
            <w:tcW w:w="88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000" w:type="dxa"/>
            <w:vAlign w:val="bottom"/>
            <w:shd w:val="clear" w:color="auto" w:fill="E5E5E5"/>
          </w:tcPr>
          <w:p>
            <w:pPr>
              <w:spacing w:after="0"/>
              <w:rPr>
                <w:sz w:val="15"/>
                <w:szCs w:val="15"/>
                <w:color w:val="auto"/>
              </w:rPr>
            </w:pPr>
          </w:p>
        </w:tc>
        <w:tc>
          <w:tcPr>
            <w:tcW w:w="104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640" w:type="dxa"/>
            <w:vAlign w:val="bottom"/>
            <w:shd w:val="clear" w:color="auto" w:fill="E5E5E5"/>
          </w:tcPr>
          <w:p>
            <w:pPr>
              <w:spacing w:after="0"/>
              <w:rPr>
                <w:sz w:val="15"/>
                <w:szCs w:val="15"/>
                <w:color w:val="auto"/>
              </w:rPr>
            </w:pPr>
          </w:p>
        </w:tc>
        <w:tc>
          <w:tcPr>
            <w:tcW w:w="1180" w:type="dxa"/>
            <w:vAlign w:val="bottom"/>
            <w:shd w:val="clear" w:color="auto" w:fill="E5E5E5"/>
          </w:tcPr>
          <w:p>
            <w:pPr>
              <w:spacing w:after="0"/>
              <w:rPr>
                <w:sz w:val="15"/>
                <w:szCs w:val="15"/>
                <w:color w:val="auto"/>
              </w:rPr>
            </w:pPr>
          </w:p>
        </w:tc>
        <w:tc>
          <w:tcPr>
            <w:tcW w:w="780" w:type="dxa"/>
            <w:vAlign w:val="bottom"/>
            <w:shd w:val="clear" w:color="auto" w:fill="E5E5E5"/>
          </w:tcPr>
          <w:p>
            <w:pPr>
              <w:spacing w:after="0"/>
              <w:rPr>
                <w:sz w:val="15"/>
                <w:szCs w:val="15"/>
                <w:color w:val="auto"/>
              </w:rPr>
            </w:pPr>
          </w:p>
        </w:tc>
        <w:tc>
          <w:tcPr>
            <w:tcW w:w="42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220" w:type="dxa"/>
            <w:vAlign w:val="bottom"/>
            <w:shd w:val="clear" w:color="auto" w:fill="E5E5E5"/>
          </w:tcPr>
          <w:p>
            <w:pPr>
              <w:ind w:left="40"/>
              <w:spacing w:after="0"/>
              <w:rPr>
                <w:sz w:val="20"/>
                <w:szCs w:val="20"/>
                <w:color w:val="auto"/>
              </w:rPr>
            </w:pPr>
            <w:r>
              <w:rPr>
                <w:rFonts w:ascii="Arial" w:cs="Arial" w:eastAsia="Arial" w:hAnsi="Arial"/>
                <w:sz w:val="13"/>
                <w:szCs w:val="13"/>
                <w:color w:val="auto"/>
              </w:rPr>
              <w:t>Stock Options</w:t>
            </w:r>
          </w:p>
        </w:tc>
        <w:tc>
          <w:tcPr>
            <w:tcW w:w="120" w:type="dxa"/>
            <w:vAlign w:val="bottom"/>
            <w:shd w:val="clear" w:color="auto" w:fill="E5E5E5"/>
          </w:tcPr>
          <w:p>
            <w:pPr>
              <w:spacing w:after="0"/>
              <w:rPr>
                <w:sz w:val="23"/>
                <w:szCs w:val="23"/>
                <w:color w:val="auto"/>
              </w:rPr>
            </w:pPr>
          </w:p>
        </w:tc>
        <w:tc>
          <w:tcPr>
            <w:tcW w:w="88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3/2/2015</w:t>
            </w:r>
          </w:p>
        </w:tc>
        <w:tc>
          <w:tcPr>
            <w:tcW w:w="120" w:type="dxa"/>
            <w:vAlign w:val="bottom"/>
            <w:shd w:val="clear" w:color="auto" w:fill="E5E5E5"/>
          </w:tcPr>
          <w:p>
            <w:pPr>
              <w:spacing w:after="0"/>
              <w:rPr>
                <w:sz w:val="23"/>
                <w:szCs w:val="23"/>
                <w:color w:val="auto"/>
              </w:rPr>
            </w:pPr>
          </w:p>
        </w:tc>
        <w:tc>
          <w:tcPr>
            <w:tcW w:w="1000" w:type="dxa"/>
            <w:vAlign w:val="bottom"/>
            <w:vMerge w:val="restart"/>
            <w:shd w:val="clear" w:color="auto" w:fill="E5E5E5"/>
          </w:tcPr>
          <w:p>
            <w:pPr>
              <w:jc w:val="right"/>
              <w:ind w:right="63"/>
              <w:spacing w:after="0"/>
              <w:rPr>
                <w:sz w:val="20"/>
                <w:szCs w:val="20"/>
                <w:color w:val="auto"/>
              </w:rPr>
            </w:pPr>
            <w:r>
              <w:rPr>
                <w:rFonts w:ascii="Arial" w:cs="Arial" w:eastAsia="Arial" w:hAnsi="Arial"/>
                <w:sz w:val="13"/>
                <w:szCs w:val="13"/>
                <w:color w:val="auto"/>
              </w:rPr>
              <w:t>—</w:t>
            </w:r>
          </w:p>
        </w:tc>
        <w:tc>
          <w:tcPr>
            <w:tcW w:w="1040" w:type="dxa"/>
            <w:vAlign w:val="bottom"/>
            <w:vMerge w:val="restart"/>
            <w:shd w:val="clear" w:color="auto" w:fill="E5E5E5"/>
          </w:tcPr>
          <w:p>
            <w:pPr>
              <w:jc w:val="right"/>
              <w:ind w:right="83"/>
              <w:spacing w:after="0"/>
              <w:rPr>
                <w:sz w:val="20"/>
                <w:szCs w:val="20"/>
                <w:color w:val="auto"/>
              </w:rPr>
            </w:pPr>
            <w:r>
              <w:rPr>
                <w:rFonts w:ascii="Arial" w:cs="Arial" w:eastAsia="Arial" w:hAnsi="Arial"/>
                <w:sz w:val="13"/>
                <w:szCs w:val="13"/>
                <w:color w:val="auto"/>
              </w:rPr>
              <w:t>20,726</w:t>
            </w:r>
          </w:p>
        </w:tc>
        <w:tc>
          <w:tcPr>
            <w:tcW w:w="320" w:type="dxa"/>
            <w:vAlign w:val="bottom"/>
            <w:vMerge w:val="restart"/>
            <w:shd w:val="clear" w:color="auto" w:fill="E5E5E5"/>
          </w:tcPr>
          <w:p>
            <w:pPr>
              <w:jc w:val="center"/>
              <w:ind w:right="155"/>
              <w:spacing w:after="0"/>
              <w:rPr>
                <w:sz w:val="20"/>
                <w:szCs w:val="20"/>
                <w:color w:val="auto"/>
              </w:rPr>
            </w:pPr>
            <w:r>
              <w:rPr>
                <w:rFonts w:ascii="Arial" w:cs="Arial" w:eastAsia="Arial" w:hAnsi="Arial"/>
                <w:sz w:val="9"/>
                <w:szCs w:val="9"/>
                <w:b w:val="1"/>
                <w:bCs w:val="1"/>
                <w:color w:val="auto"/>
              </w:rPr>
              <w:t>(4)</w:t>
            </w:r>
          </w:p>
        </w:tc>
        <w:tc>
          <w:tcPr>
            <w:tcW w:w="220" w:type="dxa"/>
            <w:vAlign w:val="bottom"/>
            <w:shd w:val="clear" w:color="auto" w:fill="E5E5E5"/>
          </w:tcPr>
          <w:p>
            <w:pPr>
              <w:spacing w:after="0"/>
              <w:rPr>
                <w:sz w:val="23"/>
                <w:szCs w:val="23"/>
                <w:color w:val="auto"/>
              </w:rPr>
            </w:pPr>
          </w:p>
        </w:tc>
        <w:tc>
          <w:tcPr>
            <w:tcW w:w="640" w:type="dxa"/>
            <w:vAlign w:val="bottom"/>
            <w:vMerge w:val="restart"/>
            <w:shd w:val="clear" w:color="auto" w:fill="E5E5E5"/>
          </w:tcPr>
          <w:p>
            <w:pPr>
              <w:jc w:val="right"/>
              <w:ind w:right="41"/>
              <w:spacing w:after="0"/>
              <w:rPr>
                <w:sz w:val="20"/>
                <w:szCs w:val="20"/>
                <w:color w:val="auto"/>
              </w:rPr>
            </w:pPr>
            <w:r>
              <w:rPr>
                <w:rFonts w:ascii="Arial" w:cs="Arial" w:eastAsia="Arial" w:hAnsi="Arial"/>
                <w:sz w:val="13"/>
                <w:szCs w:val="13"/>
                <w:color w:val="auto"/>
              </w:rPr>
              <w:t>23.62</w:t>
            </w:r>
          </w:p>
        </w:tc>
        <w:tc>
          <w:tcPr>
            <w:tcW w:w="1180" w:type="dxa"/>
            <w:vAlign w:val="bottom"/>
            <w:vMerge w:val="restart"/>
            <w:shd w:val="clear" w:color="auto" w:fill="E5E5E5"/>
          </w:tcPr>
          <w:p>
            <w:pPr>
              <w:jc w:val="right"/>
              <w:ind w:right="501"/>
              <w:spacing w:after="0"/>
              <w:rPr>
                <w:sz w:val="20"/>
                <w:szCs w:val="20"/>
                <w:color w:val="auto"/>
              </w:rPr>
            </w:pPr>
            <w:r>
              <w:rPr>
                <w:rFonts w:ascii="Arial" w:cs="Arial" w:eastAsia="Arial" w:hAnsi="Arial"/>
                <w:sz w:val="13"/>
                <w:szCs w:val="13"/>
                <w:color w:val="auto"/>
              </w:rPr>
              <w:t>3/2/2025</w:t>
            </w:r>
          </w:p>
        </w:tc>
        <w:tc>
          <w:tcPr>
            <w:tcW w:w="780" w:type="dxa"/>
            <w:vAlign w:val="bottom"/>
            <w:shd w:val="clear" w:color="auto" w:fill="E5E5E5"/>
          </w:tcPr>
          <w:p>
            <w:pPr>
              <w:spacing w:after="0"/>
              <w:rPr>
                <w:sz w:val="23"/>
                <w:szCs w:val="23"/>
                <w:color w:val="auto"/>
              </w:rPr>
            </w:pPr>
          </w:p>
        </w:tc>
        <w:tc>
          <w:tcPr>
            <w:tcW w:w="420" w:type="dxa"/>
            <w:vAlign w:val="bottom"/>
            <w:shd w:val="clear" w:color="auto" w:fill="E5E5E5"/>
          </w:tcPr>
          <w:p>
            <w:pPr>
              <w:spacing w:after="0"/>
              <w:rPr>
                <w:sz w:val="23"/>
                <w:szCs w:val="23"/>
                <w:color w:val="auto"/>
              </w:rPr>
            </w:pPr>
          </w:p>
        </w:tc>
        <w:tc>
          <w:tcPr>
            <w:tcW w:w="760" w:type="dxa"/>
            <w:vAlign w:val="bottom"/>
            <w:shd w:val="clear" w:color="auto" w:fill="E5E5E5"/>
          </w:tcPr>
          <w:p>
            <w:pPr>
              <w:spacing w:after="0"/>
              <w:rPr>
                <w:sz w:val="23"/>
                <w:szCs w:val="23"/>
                <w:color w:val="auto"/>
              </w:rPr>
            </w:pPr>
          </w:p>
        </w:tc>
        <w:tc>
          <w:tcPr>
            <w:tcW w:w="100" w:type="dxa"/>
            <w:vAlign w:val="bottom"/>
            <w:shd w:val="clear" w:color="auto" w:fill="E5E5E5"/>
          </w:tcPr>
          <w:p>
            <w:pPr>
              <w:spacing w:after="0"/>
              <w:rPr>
                <w:sz w:val="23"/>
                <w:szCs w:val="23"/>
                <w:color w:val="auto"/>
              </w:rPr>
            </w:pPr>
          </w:p>
        </w:tc>
        <w:tc>
          <w:tcPr>
            <w:tcW w:w="860" w:type="dxa"/>
            <w:vAlign w:val="bottom"/>
            <w:shd w:val="clear" w:color="auto" w:fill="E5E5E5"/>
          </w:tcPr>
          <w:p>
            <w:pPr>
              <w:spacing w:after="0"/>
              <w:rPr>
                <w:sz w:val="23"/>
                <w:szCs w:val="23"/>
                <w:color w:val="auto"/>
              </w:rPr>
            </w:pPr>
          </w:p>
        </w:tc>
        <w:tc>
          <w:tcPr>
            <w:tcW w:w="32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860" w:type="dxa"/>
            <w:vAlign w:val="bottom"/>
            <w:shd w:val="clear" w:color="auto" w:fill="E5E5E5"/>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1220" w:type="dxa"/>
            <w:vAlign w:val="bottom"/>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880" w:type="dxa"/>
            <w:vAlign w:val="bottom"/>
            <w:vMerge w:val="continue"/>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1000" w:type="dxa"/>
            <w:vAlign w:val="bottom"/>
            <w:vMerge w:val="continue"/>
            <w:shd w:val="clear" w:color="auto" w:fill="E5E5E5"/>
          </w:tcPr>
          <w:p>
            <w:pPr>
              <w:spacing w:after="0"/>
              <w:rPr>
                <w:sz w:val="7"/>
                <w:szCs w:val="7"/>
                <w:color w:val="auto"/>
              </w:rPr>
            </w:pPr>
          </w:p>
        </w:tc>
        <w:tc>
          <w:tcPr>
            <w:tcW w:w="1040" w:type="dxa"/>
            <w:vAlign w:val="bottom"/>
            <w:vMerge w:val="continue"/>
            <w:shd w:val="clear" w:color="auto" w:fill="E5E5E5"/>
          </w:tcPr>
          <w:p>
            <w:pPr>
              <w:spacing w:after="0"/>
              <w:rPr>
                <w:sz w:val="7"/>
                <w:szCs w:val="7"/>
                <w:color w:val="auto"/>
              </w:rPr>
            </w:pPr>
          </w:p>
        </w:tc>
        <w:tc>
          <w:tcPr>
            <w:tcW w:w="320" w:type="dxa"/>
            <w:vAlign w:val="bottom"/>
            <w:vMerge w:val="continue"/>
            <w:shd w:val="clear" w:color="auto" w:fill="E5E5E5"/>
          </w:tcPr>
          <w:p>
            <w:pPr>
              <w:spacing w:after="0"/>
              <w:rPr>
                <w:sz w:val="7"/>
                <w:szCs w:val="7"/>
                <w:color w:val="auto"/>
              </w:rPr>
            </w:pPr>
          </w:p>
        </w:tc>
        <w:tc>
          <w:tcPr>
            <w:tcW w:w="220" w:type="dxa"/>
            <w:vAlign w:val="bottom"/>
            <w:shd w:val="clear" w:color="auto" w:fill="E5E5E5"/>
          </w:tcPr>
          <w:p>
            <w:pPr>
              <w:spacing w:after="0"/>
              <w:rPr>
                <w:sz w:val="7"/>
                <w:szCs w:val="7"/>
                <w:color w:val="auto"/>
              </w:rPr>
            </w:pPr>
          </w:p>
        </w:tc>
        <w:tc>
          <w:tcPr>
            <w:tcW w:w="640" w:type="dxa"/>
            <w:vAlign w:val="bottom"/>
            <w:vMerge w:val="continue"/>
            <w:shd w:val="clear" w:color="auto" w:fill="E5E5E5"/>
          </w:tcPr>
          <w:p>
            <w:pPr>
              <w:spacing w:after="0"/>
              <w:rPr>
                <w:sz w:val="7"/>
                <w:szCs w:val="7"/>
                <w:color w:val="auto"/>
              </w:rPr>
            </w:pPr>
          </w:p>
        </w:tc>
        <w:tc>
          <w:tcPr>
            <w:tcW w:w="1180" w:type="dxa"/>
            <w:vAlign w:val="bottom"/>
            <w:vMerge w:val="continue"/>
            <w:shd w:val="clear" w:color="auto" w:fill="E5E5E5"/>
          </w:tcPr>
          <w:p>
            <w:pPr>
              <w:spacing w:after="0"/>
              <w:rPr>
                <w:sz w:val="7"/>
                <w:szCs w:val="7"/>
                <w:color w:val="auto"/>
              </w:rPr>
            </w:pPr>
          </w:p>
        </w:tc>
        <w:tc>
          <w:tcPr>
            <w:tcW w:w="780" w:type="dxa"/>
            <w:vAlign w:val="bottom"/>
            <w:shd w:val="clear" w:color="auto" w:fill="E5E5E5"/>
          </w:tcPr>
          <w:p>
            <w:pPr>
              <w:spacing w:after="0"/>
              <w:rPr>
                <w:sz w:val="7"/>
                <w:szCs w:val="7"/>
                <w:color w:val="auto"/>
              </w:rPr>
            </w:pPr>
          </w:p>
        </w:tc>
        <w:tc>
          <w:tcPr>
            <w:tcW w:w="420" w:type="dxa"/>
            <w:vAlign w:val="bottom"/>
            <w:shd w:val="clear" w:color="auto" w:fill="E5E5E5"/>
          </w:tcPr>
          <w:p>
            <w:pPr>
              <w:spacing w:after="0"/>
              <w:rPr>
                <w:sz w:val="7"/>
                <w:szCs w:val="7"/>
                <w:color w:val="auto"/>
              </w:rPr>
            </w:pPr>
          </w:p>
        </w:tc>
        <w:tc>
          <w:tcPr>
            <w:tcW w:w="760" w:type="dxa"/>
            <w:vAlign w:val="bottom"/>
            <w:shd w:val="clear" w:color="auto" w:fill="E5E5E5"/>
          </w:tcPr>
          <w:p>
            <w:pPr>
              <w:spacing w:after="0"/>
              <w:rPr>
                <w:sz w:val="7"/>
                <w:szCs w:val="7"/>
                <w:color w:val="auto"/>
              </w:rPr>
            </w:pPr>
          </w:p>
        </w:tc>
        <w:tc>
          <w:tcPr>
            <w:tcW w:w="100" w:type="dxa"/>
            <w:vAlign w:val="bottom"/>
            <w:shd w:val="clear" w:color="auto" w:fill="E5E5E5"/>
          </w:tcPr>
          <w:p>
            <w:pPr>
              <w:spacing w:after="0"/>
              <w:rPr>
                <w:sz w:val="7"/>
                <w:szCs w:val="7"/>
                <w:color w:val="auto"/>
              </w:rPr>
            </w:pPr>
          </w:p>
        </w:tc>
        <w:tc>
          <w:tcPr>
            <w:tcW w:w="860" w:type="dxa"/>
            <w:vAlign w:val="bottom"/>
            <w:shd w:val="clear" w:color="auto" w:fill="E5E5E5"/>
          </w:tcPr>
          <w:p>
            <w:pPr>
              <w:spacing w:after="0"/>
              <w:rPr>
                <w:sz w:val="7"/>
                <w:szCs w:val="7"/>
                <w:color w:val="auto"/>
              </w:rPr>
            </w:pPr>
          </w:p>
        </w:tc>
        <w:tc>
          <w:tcPr>
            <w:tcW w:w="320" w:type="dxa"/>
            <w:vAlign w:val="bottom"/>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860" w:type="dxa"/>
            <w:vAlign w:val="bottom"/>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E5E5E5"/>
          </w:tcPr>
          <w:p>
            <w:pPr>
              <w:ind w:left="40"/>
              <w:spacing w:after="0"/>
              <w:rPr>
                <w:sz w:val="20"/>
                <w:szCs w:val="20"/>
                <w:color w:val="auto"/>
              </w:rPr>
            </w:pPr>
            <w:r>
              <w:rPr>
                <w:rFonts w:ascii="Arial" w:cs="Arial" w:eastAsia="Arial" w:hAnsi="Arial"/>
                <w:sz w:val="13"/>
                <w:szCs w:val="13"/>
                <w:color w:val="auto"/>
              </w:rPr>
              <w:t>RSU</w:t>
            </w:r>
          </w:p>
        </w:tc>
        <w:tc>
          <w:tcPr>
            <w:tcW w:w="120" w:type="dxa"/>
            <w:vAlign w:val="bottom"/>
            <w:shd w:val="clear" w:color="auto" w:fill="E5E5E5"/>
          </w:tcPr>
          <w:p>
            <w:pPr>
              <w:spacing w:after="0"/>
              <w:rPr>
                <w:sz w:val="16"/>
                <w:szCs w:val="16"/>
                <w:color w:val="auto"/>
              </w:rPr>
            </w:pPr>
          </w:p>
        </w:tc>
        <w:tc>
          <w:tcPr>
            <w:tcW w:w="88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3/2/2015</w:t>
            </w:r>
          </w:p>
        </w:tc>
        <w:tc>
          <w:tcPr>
            <w:tcW w:w="12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104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640" w:type="dxa"/>
            <w:vAlign w:val="bottom"/>
            <w:shd w:val="clear" w:color="auto" w:fill="E5E5E5"/>
          </w:tcPr>
          <w:p>
            <w:pPr>
              <w:spacing w:after="0"/>
              <w:rPr>
                <w:sz w:val="16"/>
                <w:szCs w:val="16"/>
                <w:color w:val="auto"/>
              </w:rPr>
            </w:pPr>
          </w:p>
        </w:tc>
        <w:tc>
          <w:tcPr>
            <w:tcW w:w="1180" w:type="dxa"/>
            <w:vAlign w:val="bottom"/>
            <w:shd w:val="clear" w:color="auto" w:fill="E5E5E5"/>
          </w:tcPr>
          <w:p>
            <w:pPr>
              <w:spacing w:after="0"/>
              <w:rPr>
                <w:sz w:val="16"/>
                <w:szCs w:val="16"/>
                <w:color w:val="auto"/>
              </w:rPr>
            </w:pPr>
          </w:p>
        </w:tc>
        <w:tc>
          <w:tcPr>
            <w:tcW w:w="780" w:type="dxa"/>
            <w:vAlign w:val="bottom"/>
            <w:vMerge w:val="restart"/>
            <w:shd w:val="clear" w:color="auto" w:fill="E5E5E5"/>
          </w:tcPr>
          <w:p>
            <w:pPr>
              <w:jc w:val="right"/>
              <w:ind w:right="59"/>
              <w:spacing w:after="0"/>
              <w:rPr>
                <w:sz w:val="20"/>
                <w:szCs w:val="20"/>
                <w:color w:val="auto"/>
              </w:rPr>
            </w:pPr>
            <w:r>
              <w:rPr>
                <w:rFonts w:ascii="Arial" w:cs="Arial" w:eastAsia="Arial" w:hAnsi="Arial"/>
                <w:sz w:val="13"/>
                <w:szCs w:val="13"/>
                <w:color w:val="auto"/>
              </w:rPr>
              <w:t>11,520</w:t>
            </w:r>
          </w:p>
        </w:tc>
        <w:tc>
          <w:tcPr>
            <w:tcW w:w="420" w:type="dxa"/>
            <w:vAlign w:val="bottom"/>
            <w:vMerge w:val="restart"/>
            <w:shd w:val="clear" w:color="auto" w:fill="E5E5E5"/>
          </w:tcPr>
          <w:p>
            <w:pPr>
              <w:ind w:left="20"/>
              <w:spacing w:after="0"/>
              <w:rPr>
                <w:sz w:val="20"/>
                <w:szCs w:val="20"/>
                <w:color w:val="auto"/>
              </w:rPr>
            </w:pPr>
            <w:r>
              <w:rPr>
                <w:rFonts w:ascii="Arial" w:cs="Arial" w:eastAsia="Arial" w:hAnsi="Arial"/>
                <w:sz w:val="9"/>
                <w:szCs w:val="9"/>
                <w:b w:val="1"/>
                <w:bCs w:val="1"/>
                <w:color w:val="auto"/>
              </w:rPr>
              <w:t>(9)</w:t>
            </w:r>
          </w:p>
        </w:tc>
        <w:tc>
          <w:tcPr>
            <w:tcW w:w="760" w:type="dxa"/>
            <w:vAlign w:val="bottom"/>
            <w:vMerge w:val="restart"/>
            <w:shd w:val="clear" w:color="auto" w:fill="E0E0E0"/>
          </w:tcPr>
          <w:p>
            <w:pPr>
              <w:jc w:val="right"/>
              <w:spacing w:after="0"/>
              <w:rPr>
                <w:sz w:val="20"/>
                <w:szCs w:val="20"/>
                <w:color w:val="auto"/>
              </w:rPr>
            </w:pPr>
            <w:r>
              <w:rPr>
                <w:rFonts w:ascii="Arial" w:cs="Arial" w:eastAsia="Arial" w:hAnsi="Arial"/>
                <w:sz w:val="13"/>
                <w:szCs w:val="13"/>
                <w:color w:val="auto"/>
              </w:rPr>
              <w:t>696,845</w:t>
            </w:r>
          </w:p>
        </w:tc>
        <w:tc>
          <w:tcPr>
            <w:tcW w:w="100" w:type="dxa"/>
            <w:vAlign w:val="bottom"/>
            <w:shd w:val="clear" w:color="auto" w:fill="E0E0E0"/>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220" w:type="dxa"/>
            <w:vAlign w:val="bottom"/>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880" w:type="dxa"/>
            <w:vAlign w:val="bottom"/>
            <w:vMerge w:val="continue"/>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1000" w:type="dxa"/>
            <w:vAlign w:val="bottom"/>
            <w:shd w:val="clear" w:color="auto" w:fill="E5E5E5"/>
          </w:tcPr>
          <w:p>
            <w:pPr>
              <w:spacing w:after="0"/>
              <w:rPr>
                <w:sz w:val="7"/>
                <w:szCs w:val="7"/>
                <w:color w:val="auto"/>
              </w:rPr>
            </w:pPr>
          </w:p>
        </w:tc>
        <w:tc>
          <w:tcPr>
            <w:tcW w:w="1040" w:type="dxa"/>
            <w:vAlign w:val="bottom"/>
            <w:shd w:val="clear" w:color="auto" w:fill="E5E5E5"/>
          </w:tcPr>
          <w:p>
            <w:pPr>
              <w:spacing w:after="0"/>
              <w:rPr>
                <w:sz w:val="7"/>
                <w:szCs w:val="7"/>
                <w:color w:val="auto"/>
              </w:rPr>
            </w:pPr>
          </w:p>
        </w:tc>
        <w:tc>
          <w:tcPr>
            <w:tcW w:w="320" w:type="dxa"/>
            <w:vAlign w:val="bottom"/>
            <w:shd w:val="clear" w:color="auto" w:fill="E5E5E5"/>
          </w:tcPr>
          <w:p>
            <w:pPr>
              <w:spacing w:after="0"/>
              <w:rPr>
                <w:sz w:val="7"/>
                <w:szCs w:val="7"/>
                <w:color w:val="auto"/>
              </w:rPr>
            </w:pPr>
          </w:p>
        </w:tc>
        <w:tc>
          <w:tcPr>
            <w:tcW w:w="220" w:type="dxa"/>
            <w:vAlign w:val="bottom"/>
            <w:shd w:val="clear" w:color="auto" w:fill="E5E5E5"/>
          </w:tcPr>
          <w:p>
            <w:pPr>
              <w:spacing w:after="0"/>
              <w:rPr>
                <w:sz w:val="7"/>
                <w:szCs w:val="7"/>
                <w:color w:val="auto"/>
              </w:rPr>
            </w:pPr>
          </w:p>
        </w:tc>
        <w:tc>
          <w:tcPr>
            <w:tcW w:w="640" w:type="dxa"/>
            <w:vAlign w:val="bottom"/>
            <w:shd w:val="clear" w:color="auto" w:fill="E5E5E5"/>
          </w:tcPr>
          <w:p>
            <w:pPr>
              <w:spacing w:after="0"/>
              <w:rPr>
                <w:sz w:val="7"/>
                <w:szCs w:val="7"/>
                <w:color w:val="auto"/>
              </w:rPr>
            </w:pPr>
          </w:p>
        </w:tc>
        <w:tc>
          <w:tcPr>
            <w:tcW w:w="1180" w:type="dxa"/>
            <w:vAlign w:val="bottom"/>
            <w:shd w:val="clear" w:color="auto" w:fill="E5E5E5"/>
          </w:tcPr>
          <w:p>
            <w:pPr>
              <w:spacing w:after="0"/>
              <w:rPr>
                <w:sz w:val="7"/>
                <w:szCs w:val="7"/>
                <w:color w:val="auto"/>
              </w:rPr>
            </w:pPr>
          </w:p>
        </w:tc>
        <w:tc>
          <w:tcPr>
            <w:tcW w:w="780" w:type="dxa"/>
            <w:vAlign w:val="bottom"/>
            <w:vMerge w:val="continue"/>
            <w:shd w:val="clear" w:color="auto" w:fill="E5E5E5"/>
          </w:tcPr>
          <w:p>
            <w:pPr>
              <w:spacing w:after="0"/>
              <w:rPr>
                <w:sz w:val="7"/>
                <w:szCs w:val="7"/>
                <w:color w:val="auto"/>
              </w:rPr>
            </w:pPr>
          </w:p>
        </w:tc>
        <w:tc>
          <w:tcPr>
            <w:tcW w:w="420" w:type="dxa"/>
            <w:vAlign w:val="bottom"/>
            <w:vMerge w:val="continue"/>
            <w:shd w:val="clear" w:color="auto" w:fill="E5E5E5"/>
          </w:tcPr>
          <w:p>
            <w:pPr>
              <w:spacing w:after="0"/>
              <w:rPr>
                <w:sz w:val="7"/>
                <w:szCs w:val="7"/>
                <w:color w:val="auto"/>
              </w:rPr>
            </w:pPr>
          </w:p>
        </w:tc>
        <w:tc>
          <w:tcPr>
            <w:tcW w:w="760" w:type="dxa"/>
            <w:vAlign w:val="bottom"/>
            <w:vMerge w:val="continue"/>
            <w:shd w:val="clear" w:color="auto" w:fill="E0E0E0"/>
          </w:tcPr>
          <w:p>
            <w:pPr>
              <w:spacing w:after="0"/>
              <w:rPr>
                <w:sz w:val="7"/>
                <w:szCs w:val="7"/>
                <w:color w:val="auto"/>
              </w:rPr>
            </w:pPr>
          </w:p>
        </w:tc>
        <w:tc>
          <w:tcPr>
            <w:tcW w:w="100" w:type="dxa"/>
            <w:vAlign w:val="bottom"/>
            <w:shd w:val="clear" w:color="auto" w:fill="E0E0E0"/>
          </w:tcPr>
          <w:p>
            <w:pPr>
              <w:spacing w:after="0"/>
              <w:rPr>
                <w:sz w:val="7"/>
                <w:szCs w:val="7"/>
                <w:color w:val="auto"/>
              </w:rPr>
            </w:pPr>
          </w:p>
        </w:tc>
        <w:tc>
          <w:tcPr>
            <w:tcW w:w="860" w:type="dxa"/>
            <w:vAlign w:val="bottom"/>
            <w:shd w:val="clear" w:color="auto" w:fill="E5E5E5"/>
          </w:tcPr>
          <w:p>
            <w:pPr>
              <w:spacing w:after="0"/>
              <w:rPr>
                <w:sz w:val="7"/>
                <w:szCs w:val="7"/>
                <w:color w:val="auto"/>
              </w:rPr>
            </w:pPr>
          </w:p>
        </w:tc>
        <w:tc>
          <w:tcPr>
            <w:tcW w:w="320" w:type="dxa"/>
            <w:vAlign w:val="bottom"/>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860" w:type="dxa"/>
            <w:vAlign w:val="bottom"/>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E5E5E5"/>
          </w:tcPr>
          <w:p>
            <w:pPr>
              <w:ind w:left="40"/>
              <w:spacing w:after="0"/>
              <w:rPr>
                <w:sz w:val="20"/>
                <w:szCs w:val="20"/>
                <w:color w:val="auto"/>
              </w:rPr>
            </w:pPr>
            <w:r>
              <w:rPr>
                <w:rFonts w:ascii="Arial" w:cs="Arial" w:eastAsia="Arial" w:hAnsi="Arial"/>
                <w:sz w:val="13"/>
                <w:szCs w:val="13"/>
                <w:color w:val="auto"/>
              </w:rPr>
              <w:t>RSU</w:t>
            </w:r>
          </w:p>
        </w:tc>
        <w:tc>
          <w:tcPr>
            <w:tcW w:w="120" w:type="dxa"/>
            <w:vAlign w:val="bottom"/>
            <w:shd w:val="clear" w:color="auto" w:fill="E5E5E5"/>
          </w:tcPr>
          <w:p>
            <w:pPr>
              <w:spacing w:after="0"/>
              <w:rPr>
                <w:sz w:val="16"/>
                <w:szCs w:val="16"/>
                <w:color w:val="auto"/>
              </w:rPr>
            </w:pPr>
          </w:p>
        </w:tc>
        <w:tc>
          <w:tcPr>
            <w:tcW w:w="88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3/2/2015</w:t>
            </w:r>
          </w:p>
        </w:tc>
        <w:tc>
          <w:tcPr>
            <w:tcW w:w="12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104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640" w:type="dxa"/>
            <w:vAlign w:val="bottom"/>
            <w:shd w:val="clear" w:color="auto" w:fill="E5E5E5"/>
          </w:tcPr>
          <w:p>
            <w:pPr>
              <w:spacing w:after="0"/>
              <w:rPr>
                <w:sz w:val="16"/>
                <w:szCs w:val="16"/>
                <w:color w:val="auto"/>
              </w:rPr>
            </w:pPr>
          </w:p>
        </w:tc>
        <w:tc>
          <w:tcPr>
            <w:tcW w:w="1180" w:type="dxa"/>
            <w:vAlign w:val="bottom"/>
            <w:shd w:val="clear" w:color="auto" w:fill="E5E5E5"/>
          </w:tcPr>
          <w:p>
            <w:pPr>
              <w:spacing w:after="0"/>
              <w:rPr>
                <w:sz w:val="16"/>
                <w:szCs w:val="16"/>
                <w:color w:val="auto"/>
              </w:rPr>
            </w:pPr>
          </w:p>
        </w:tc>
        <w:tc>
          <w:tcPr>
            <w:tcW w:w="780" w:type="dxa"/>
            <w:vAlign w:val="bottom"/>
            <w:vMerge w:val="restart"/>
            <w:shd w:val="clear" w:color="auto" w:fill="E5E5E5"/>
          </w:tcPr>
          <w:p>
            <w:pPr>
              <w:jc w:val="right"/>
              <w:ind w:right="59"/>
              <w:spacing w:after="0"/>
              <w:rPr>
                <w:sz w:val="20"/>
                <w:szCs w:val="20"/>
                <w:color w:val="auto"/>
              </w:rPr>
            </w:pPr>
            <w:r>
              <w:rPr>
                <w:rFonts w:ascii="Arial" w:cs="Arial" w:eastAsia="Arial" w:hAnsi="Arial"/>
                <w:sz w:val="13"/>
                <w:szCs w:val="13"/>
                <w:color w:val="auto"/>
              </w:rPr>
              <w:t>3,720</w:t>
            </w:r>
          </w:p>
        </w:tc>
        <w:tc>
          <w:tcPr>
            <w:tcW w:w="420" w:type="dxa"/>
            <w:vAlign w:val="bottom"/>
            <w:vMerge w:val="restart"/>
            <w:shd w:val="clear" w:color="auto" w:fill="E5E5E5"/>
          </w:tcPr>
          <w:p>
            <w:pPr>
              <w:ind w:left="20"/>
              <w:spacing w:after="0"/>
              <w:rPr>
                <w:sz w:val="20"/>
                <w:szCs w:val="20"/>
                <w:color w:val="auto"/>
              </w:rPr>
            </w:pPr>
            <w:r>
              <w:rPr>
                <w:rFonts w:ascii="Arial" w:cs="Arial" w:eastAsia="Arial" w:hAnsi="Arial"/>
                <w:sz w:val="9"/>
                <w:szCs w:val="9"/>
                <w:b w:val="1"/>
                <w:bCs w:val="1"/>
                <w:color w:val="auto"/>
              </w:rPr>
              <w:t>(10)</w:t>
            </w:r>
          </w:p>
        </w:tc>
        <w:tc>
          <w:tcPr>
            <w:tcW w:w="760" w:type="dxa"/>
            <w:vAlign w:val="bottom"/>
            <w:vMerge w:val="restart"/>
            <w:shd w:val="clear" w:color="auto" w:fill="E0E0E0"/>
          </w:tcPr>
          <w:p>
            <w:pPr>
              <w:jc w:val="right"/>
              <w:spacing w:after="0"/>
              <w:rPr>
                <w:sz w:val="20"/>
                <w:szCs w:val="20"/>
                <w:color w:val="auto"/>
              </w:rPr>
            </w:pPr>
            <w:r>
              <w:rPr>
                <w:rFonts w:ascii="Arial" w:cs="Arial" w:eastAsia="Arial" w:hAnsi="Arial"/>
                <w:sz w:val="13"/>
                <w:szCs w:val="13"/>
                <w:color w:val="auto"/>
              </w:rPr>
              <w:t>225,023</w:t>
            </w:r>
          </w:p>
        </w:tc>
        <w:tc>
          <w:tcPr>
            <w:tcW w:w="100" w:type="dxa"/>
            <w:vAlign w:val="bottom"/>
            <w:shd w:val="clear" w:color="auto" w:fill="E0E0E0"/>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220" w:type="dxa"/>
            <w:vAlign w:val="bottom"/>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880" w:type="dxa"/>
            <w:vAlign w:val="bottom"/>
            <w:vMerge w:val="continue"/>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1000" w:type="dxa"/>
            <w:vAlign w:val="bottom"/>
            <w:shd w:val="clear" w:color="auto" w:fill="E5E5E5"/>
          </w:tcPr>
          <w:p>
            <w:pPr>
              <w:spacing w:after="0"/>
              <w:rPr>
                <w:sz w:val="7"/>
                <w:szCs w:val="7"/>
                <w:color w:val="auto"/>
              </w:rPr>
            </w:pPr>
          </w:p>
        </w:tc>
        <w:tc>
          <w:tcPr>
            <w:tcW w:w="1040" w:type="dxa"/>
            <w:vAlign w:val="bottom"/>
            <w:shd w:val="clear" w:color="auto" w:fill="E5E5E5"/>
          </w:tcPr>
          <w:p>
            <w:pPr>
              <w:spacing w:after="0"/>
              <w:rPr>
                <w:sz w:val="7"/>
                <w:szCs w:val="7"/>
                <w:color w:val="auto"/>
              </w:rPr>
            </w:pPr>
          </w:p>
        </w:tc>
        <w:tc>
          <w:tcPr>
            <w:tcW w:w="320" w:type="dxa"/>
            <w:vAlign w:val="bottom"/>
            <w:shd w:val="clear" w:color="auto" w:fill="E5E5E5"/>
          </w:tcPr>
          <w:p>
            <w:pPr>
              <w:spacing w:after="0"/>
              <w:rPr>
                <w:sz w:val="7"/>
                <w:szCs w:val="7"/>
                <w:color w:val="auto"/>
              </w:rPr>
            </w:pPr>
          </w:p>
        </w:tc>
        <w:tc>
          <w:tcPr>
            <w:tcW w:w="220" w:type="dxa"/>
            <w:vAlign w:val="bottom"/>
            <w:shd w:val="clear" w:color="auto" w:fill="E5E5E5"/>
          </w:tcPr>
          <w:p>
            <w:pPr>
              <w:spacing w:after="0"/>
              <w:rPr>
                <w:sz w:val="7"/>
                <w:szCs w:val="7"/>
                <w:color w:val="auto"/>
              </w:rPr>
            </w:pPr>
          </w:p>
        </w:tc>
        <w:tc>
          <w:tcPr>
            <w:tcW w:w="640" w:type="dxa"/>
            <w:vAlign w:val="bottom"/>
            <w:shd w:val="clear" w:color="auto" w:fill="E5E5E5"/>
          </w:tcPr>
          <w:p>
            <w:pPr>
              <w:spacing w:after="0"/>
              <w:rPr>
                <w:sz w:val="7"/>
                <w:szCs w:val="7"/>
                <w:color w:val="auto"/>
              </w:rPr>
            </w:pPr>
          </w:p>
        </w:tc>
        <w:tc>
          <w:tcPr>
            <w:tcW w:w="1180" w:type="dxa"/>
            <w:vAlign w:val="bottom"/>
            <w:shd w:val="clear" w:color="auto" w:fill="E5E5E5"/>
          </w:tcPr>
          <w:p>
            <w:pPr>
              <w:spacing w:after="0"/>
              <w:rPr>
                <w:sz w:val="7"/>
                <w:szCs w:val="7"/>
                <w:color w:val="auto"/>
              </w:rPr>
            </w:pPr>
          </w:p>
        </w:tc>
        <w:tc>
          <w:tcPr>
            <w:tcW w:w="780" w:type="dxa"/>
            <w:vAlign w:val="bottom"/>
            <w:vMerge w:val="continue"/>
            <w:shd w:val="clear" w:color="auto" w:fill="E5E5E5"/>
          </w:tcPr>
          <w:p>
            <w:pPr>
              <w:spacing w:after="0"/>
              <w:rPr>
                <w:sz w:val="7"/>
                <w:szCs w:val="7"/>
                <w:color w:val="auto"/>
              </w:rPr>
            </w:pPr>
          </w:p>
        </w:tc>
        <w:tc>
          <w:tcPr>
            <w:tcW w:w="420" w:type="dxa"/>
            <w:vAlign w:val="bottom"/>
            <w:vMerge w:val="continue"/>
            <w:shd w:val="clear" w:color="auto" w:fill="E5E5E5"/>
          </w:tcPr>
          <w:p>
            <w:pPr>
              <w:spacing w:after="0"/>
              <w:rPr>
                <w:sz w:val="7"/>
                <w:szCs w:val="7"/>
                <w:color w:val="auto"/>
              </w:rPr>
            </w:pPr>
          </w:p>
        </w:tc>
        <w:tc>
          <w:tcPr>
            <w:tcW w:w="760" w:type="dxa"/>
            <w:vAlign w:val="bottom"/>
            <w:vMerge w:val="continue"/>
            <w:shd w:val="clear" w:color="auto" w:fill="E0E0E0"/>
          </w:tcPr>
          <w:p>
            <w:pPr>
              <w:spacing w:after="0"/>
              <w:rPr>
                <w:sz w:val="7"/>
                <w:szCs w:val="7"/>
                <w:color w:val="auto"/>
              </w:rPr>
            </w:pPr>
          </w:p>
        </w:tc>
        <w:tc>
          <w:tcPr>
            <w:tcW w:w="100" w:type="dxa"/>
            <w:vAlign w:val="bottom"/>
            <w:shd w:val="clear" w:color="auto" w:fill="E0E0E0"/>
          </w:tcPr>
          <w:p>
            <w:pPr>
              <w:spacing w:after="0"/>
              <w:rPr>
                <w:sz w:val="7"/>
                <w:szCs w:val="7"/>
                <w:color w:val="auto"/>
              </w:rPr>
            </w:pPr>
          </w:p>
        </w:tc>
        <w:tc>
          <w:tcPr>
            <w:tcW w:w="860" w:type="dxa"/>
            <w:vAlign w:val="bottom"/>
            <w:shd w:val="clear" w:color="auto" w:fill="E5E5E5"/>
          </w:tcPr>
          <w:p>
            <w:pPr>
              <w:spacing w:after="0"/>
              <w:rPr>
                <w:sz w:val="7"/>
                <w:szCs w:val="7"/>
                <w:color w:val="auto"/>
              </w:rPr>
            </w:pPr>
          </w:p>
        </w:tc>
        <w:tc>
          <w:tcPr>
            <w:tcW w:w="320" w:type="dxa"/>
            <w:vAlign w:val="bottom"/>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860" w:type="dxa"/>
            <w:vAlign w:val="bottom"/>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E5E5E5"/>
          </w:tcPr>
          <w:p>
            <w:pPr>
              <w:ind w:left="40"/>
              <w:spacing w:after="0"/>
              <w:rPr>
                <w:sz w:val="20"/>
                <w:szCs w:val="20"/>
                <w:color w:val="auto"/>
              </w:rPr>
            </w:pPr>
            <w:r>
              <w:rPr>
                <w:rFonts w:ascii="Arial" w:cs="Arial" w:eastAsia="Arial" w:hAnsi="Arial"/>
                <w:sz w:val="13"/>
                <w:szCs w:val="13"/>
                <w:color w:val="auto"/>
              </w:rPr>
              <w:t>RSU</w:t>
            </w:r>
          </w:p>
        </w:tc>
        <w:tc>
          <w:tcPr>
            <w:tcW w:w="120" w:type="dxa"/>
            <w:vAlign w:val="bottom"/>
            <w:shd w:val="clear" w:color="auto" w:fill="E5E5E5"/>
          </w:tcPr>
          <w:p>
            <w:pPr>
              <w:spacing w:after="0"/>
              <w:rPr>
                <w:sz w:val="16"/>
                <w:szCs w:val="16"/>
                <w:color w:val="auto"/>
              </w:rPr>
            </w:pPr>
          </w:p>
        </w:tc>
        <w:tc>
          <w:tcPr>
            <w:tcW w:w="88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2/29/2016</w:t>
            </w:r>
          </w:p>
        </w:tc>
        <w:tc>
          <w:tcPr>
            <w:tcW w:w="12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104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640" w:type="dxa"/>
            <w:vAlign w:val="bottom"/>
            <w:shd w:val="clear" w:color="auto" w:fill="E5E5E5"/>
          </w:tcPr>
          <w:p>
            <w:pPr>
              <w:spacing w:after="0"/>
              <w:rPr>
                <w:sz w:val="16"/>
                <w:szCs w:val="16"/>
                <w:color w:val="auto"/>
              </w:rPr>
            </w:pPr>
          </w:p>
        </w:tc>
        <w:tc>
          <w:tcPr>
            <w:tcW w:w="1180" w:type="dxa"/>
            <w:vAlign w:val="bottom"/>
            <w:shd w:val="clear" w:color="auto" w:fill="E5E5E5"/>
          </w:tcPr>
          <w:p>
            <w:pPr>
              <w:spacing w:after="0"/>
              <w:rPr>
                <w:sz w:val="16"/>
                <w:szCs w:val="16"/>
                <w:color w:val="auto"/>
              </w:rPr>
            </w:pPr>
          </w:p>
        </w:tc>
        <w:tc>
          <w:tcPr>
            <w:tcW w:w="780" w:type="dxa"/>
            <w:vAlign w:val="bottom"/>
            <w:vMerge w:val="restart"/>
            <w:shd w:val="clear" w:color="auto" w:fill="E5E5E5"/>
          </w:tcPr>
          <w:p>
            <w:pPr>
              <w:jc w:val="right"/>
              <w:ind w:right="59"/>
              <w:spacing w:after="0"/>
              <w:rPr>
                <w:sz w:val="20"/>
                <w:szCs w:val="20"/>
                <w:color w:val="auto"/>
              </w:rPr>
            </w:pPr>
            <w:r>
              <w:rPr>
                <w:rFonts w:ascii="Arial" w:cs="Arial" w:eastAsia="Arial" w:hAnsi="Arial"/>
                <w:sz w:val="13"/>
                <w:szCs w:val="13"/>
                <w:color w:val="auto"/>
              </w:rPr>
              <w:t>7,046</w:t>
            </w:r>
          </w:p>
        </w:tc>
        <w:tc>
          <w:tcPr>
            <w:tcW w:w="420" w:type="dxa"/>
            <w:vAlign w:val="bottom"/>
            <w:vMerge w:val="restart"/>
            <w:shd w:val="clear" w:color="auto" w:fill="E5E5E5"/>
          </w:tcPr>
          <w:p>
            <w:pPr>
              <w:ind w:left="20"/>
              <w:spacing w:after="0"/>
              <w:rPr>
                <w:sz w:val="20"/>
                <w:szCs w:val="20"/>
                <w:color w:val="auto"/>
              </w:rPr>
            </w:pPr>
            <w:r>
              <w:rPr>
                <w:rFonts w:ascii="Arial" w:cs="Arial" w:eastAsia="Arial" w:hAnsi="Arial"/>
                <w:sz w:val="9"/>
                <w:szCs w:val="9"/>
                <w:b w:val="1"/>
                <w:bCs w:val="1"/>
                <w:color w:val="auto"/>
              </w:rPr>
              <w:t>(7)</w:t>
            </w:r>
          </w:p>
        </w:tc>
        <w:tc>
          <w:tcPr>
            <w:tcW w:w="760" w:type="dxa"/>
            <w:vAlign w:val="bottom"/>
            <w:vMerge w:val="restart"/>
            <w:shd w:val="clear" w:color="auto" w:fill="E0E0E0"/>
          </w:tcPr>
          <w:p>
            <w:pPr>
              <w:jc w:val="right"/>
              <w:spacing w:after="0"/>
              <w:rPr>
                <w:sz w:val="20"/>
                <w:szCs w:val="20"/>
                <w:color w:val="auto"/>
              </w:rPr>
            </w:pPr>
            <w:r>
              <w:rPr>
                <w:rFonts w:ascii="Arial" w:cs="Arial" w:eastAsia="Arial" w:hAnsi="Arial"/>
                <w:sz w:val="13"/>
                <w:szCs w:val="13"/>
                <w:color w:val="auto"/>
              </w:rPr>
              <w:t>426,213</w:t>
            </w:r>
          </w:p>
        </w:tc>
        <w:tc>
          <w:tcPr>
            <w:tcW w:w="100" w:type="dxa"/>
            <w:vAlign w:val="bottom"/>
            <w:shd w:val="clear" w:color="auto" w:fill="E0E0E0"/>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1220" w:type="dxa"/>
            <w:vAlign w:val="bottom"/>
            <w:shd w:val="clear" w:color="auto" w:fill="E5E5E5"/>
          </w:tcPr>
          <w:p>
            <w:pPr>
              <w:spacing w:after="0"/>
              <w:rPr>
                <w:sz w:val="8"/>
                <w:szCs w:val="8"/>
                <w:color w:val="auto"/>
              </w:rPr>
            </w:pPr>
          </w:p>
        </w:tc>
        <w:tc>
          <w:tcPr>
            <w:tcW w:w="120" w:type="dxa"/>
            <w:vAlign w:val="bottom"/>
            <w:shd w:val="clear" w:color="auto" w:fill="E5E5E5"/>
          </w:tcPr>
          <w:p>
            <w:pPr>
              <w:spacing w:after="0"/>
              <w:rPr>
                <w:sz w:val="8"/>
                <w:szCs w:val="8"/>
                <w:color w:val="auto"/>
              </w:rPr>
            </w:pPr>
          </w:p>
        </w:tc>
        <w:tc>
          <w:tcPr>
            <w:tcW w:w="880" w:type="dxa"/>
            <w:vAlign w:val="bottom"/>
            <w:vMerge w:val="continue"/>
            <w:shd w:val="clear" w:color="auto" w:fill="E5E5E5"/>
          </w:tcPr>
          <w:p>
            <w:pPr>
              <w:spacing w:after="0"/>
              <w:rPr>
                <w:sz w:val="8"/>
                <w:szCs w:val="8"/>
                <w:color w:val="auto"/>
              </w:rPr>
            </w:pPr>
          </w:p>
        </w:tc>
        <w:tc>
          <w:tcPr>
            <w:tcW w:w="120" w:type="dxa"/>
            <w:vAlign w:val="bottom"/>
            <w:shd w:val="clear" w:color="auto" w:fill="E5E5E5"/>
          </w:tcPr>
          <w:p>
            <w:pPr>
              <w:spacing w:after="0"/>
              <w:rPr>
                <w:sz w:val="8"/>
                <w:szCs w:val="8"/>
                <w:color w:val="auto"/>
              </w:rPr>
            </w:pPr>
          </w:p>
        </w:tc>
        <w:tc>
          <w:tcPr>
            <w:tcW w:w="1000" w:type="dxa"/>
            <w:vAlign w:val="bottom"/>
            <w:shd w:val="clear" w:color="auto" w:fill="E5E5E5"/>
          </w:tcPr>
          <w:p>
            <w:pPr>
              <w:spacing w:after="0"/>
              <w:rPr>
                <w:sz w:val="8"/>
                <w:szCs w:val="8"/>
                <w:color w:val="auto"/>
              </w:rPr>
            </w:pPr>
          </w:p>
        </w:tc>
        <w:tc>
          <w:tcPr>
            <w:tcW w:w="1040" w:type="dxa"/>
            <w:vAlign w:val="bottom"/>
            <w:shd w:val="clear" w:color="auto" w:fill="E5E5E5"/>
          </w:tcPr>
          <w:p>
            <w:pPr>
              <w:spacing w:after="0"/>
              <w:rPr>
                <w:sz w:val="8"/>
                <w:szCs w:val="8"/>
                <w:color w:val="auto"/>
              </w:rPr>
            </w:pPr>
          </w:p>
        </w:tc>
        <w:tc>
          <w:tcPr>
            <w:tcW w:w="320" w:type="dxa"/>
            <w:vAlign w:val="bottom"/>
            <w:shd w:val="clear" w:color="auto" w:fill="E5E5E5"/>
          </w:tcPr>
          <w:p>
            <w:pPr>
              <w:spacing w:after="0"/>
              <w:rPr>
                <w:sz w:val="8"/>
                <w:szCs w:val="8"/>
                <w:color w:val="auto"/>
              </w:rPr>
            </w:pPr>
          </w:p>
        </w:tc>
        <w:tc>
          <w:tcPr>
            <w:tcW w:w="220" w:type="dxa"/>
            <w:vAlign w:val="bottom"/>
            <w:shd w:val="clear" w:color="auto" w:fill="E5E5E5"/>
          </w:tcPr>
          <w:p>
            <w:pPr>
              <w:spacing w:after="0"/>
              <w:rPr>
                <w:sz w:val="8"/>
                <w:szCs w:val="8"/>
                <w:color w:val="auto"/>
              </w:rPr>
            </w:pPr>
          </w:p>
        </w:tc>
        <w:tc>
          <w:tcPr>
            <w:tcW w:w="640" w:type="dxa"/>
            <w:vAlign w:val="bottom"/>
            <w:shd w:val="clear" w:color="auto" w:fill="E5E5E5"/>
          </w:tcPr>
          <w:p>
            <w:pPr>
              <w:spacing w:after="0"/>
              <w:rPr>
                <w:sz w:val="8"/>
                <w:szCs w:val="8"/>
                <w:color w:val="auto"/>
              </w:rPr>
            </w:pPr>
          </w:p>
        </w:tc>
        <w:tc>
          <w:tcPr>
            <w:tcW w:w="1180" w:type="dxa"/>
            <w:vAlign w:val="bottom"/>
            <w:shd w:val="clear" w:color="auto" w:fill="E5E5E5"/>
          </w:tcPr>
          <w:p>
            <w:pPr>
              <w:spacing w:after="0"/>
              <w:rPr>
                <w:sz w:val="8"/>
                <w:szCs w:val="8"/>
                <w:color w:val="auto"/>
              </w:rPr>
            </w:pPr>
          </w:p>
        </w:tc>
        <w:tc>
          <w:tcPr>
            <w:tcW w:w="780" w:type="dxa"/>
            <w:vAlign w:val="bottom"/>
            <w:vMerge w:val="continue"/>
            <w:shd w:val="clear" w:color="auto" w:fill="E5E5E5"/>
          </w:tcPr>
          <w:p>
            <w:pPr>
              <w:spacing w:after="0"/>
              <w:rPr>
                <w:sz w:val="8"/>
                <w:szCs w:val="8"/>
                <w:color w:val="auto"/>
              </w:rPr>
            </w:pPr>
          </w:p>
        </w:tc>
        <w:tc>
          <w:tcPr>
            <w:tcW w:w="420" w:type="dxa"/>
            <w:vAlign w:val="bottom"/>
            <w:vMerge w:val="continue"/>
            <w:shd w:val="clear" w:color="auto" w:fill="E5E5E5"/>
          </w:tcPr>
          <w:p>
            <w:pPr>
              <w:spacing w:after="0"/>
              <w:rPr>
                <w:sz w:val="8"/>
                <w:szCs w:val="8"/>
                <w:color w:val="auto"/>
              </w:rPr>
            </w:pPr>
          </w:p>
        </w:tc>
        <w:tc>
          <w:tcPr>
            <w:tcW w:w="760" w:type="dxa"/>
            <w:vAlign w:val="bottom"/>
            <w:vMerge w:val="continue"/>
            <w:shd w:val="clear" w:color="auto" w:fill="E0E0E0"/>
          </w:tcPr>
          <w:p>
            <w:pPr>
              <w:spacing w:after="0"/>
              <w:rPr>
                <w:sz w:val="8"/>
                <w:szCs w:val="8"/>
                <w:color w:val="auto"/>
              </w:rPr>
            </w:pPr>
          </w:p>
        </w:tc>
        <w:tc>
          <w:tcPr>
            <w:tcW w:w="100" w:type="dxa"/>
            <w:vAlign w:val="bottom"/>
            <w:shd w:val="clear" w:color="auto" w:fill="E0E0E0"/>
          </w:tcPr>
          <w:p>
            <w:pPr>
              <w:spacing w:after="0"/>
              <w:rPr>
                <w:sz w:val="8"/>
                <w:szCs w:val="8"/>
                <w:color w:val="auto"/>
              </w:rPr>
            </w:pPr>
          </w:p>
        </w:tc>
        <w:tc>
          <w:tcPr>
            <w:tcW w:w="860" w:type="dxa"/>
            <w:vAlign w:val="bottom"/>
            <w:shd w:val="clear" w:color="auto" w:fill="E5E5E5"/>
          </w:tcPr>
          <w:p>
            <w:pPr>
              <w:spacing w:after="0"/>
              <w:rPr>
                <w:sz w:val="8"/>
                <w:szCs w:val="8"/>
                <w:color w:val="auto"/>
              </w:rPr>
            </w:pPr>
          </w:p>
        </w:tc>
        <w:tc>
          <w:tcPr>
            <w:tcW w:w="320" w:type="dxa"/>
            <w:vAlign w:val="bottom"/>
            <w:shd w:val="clear" w:color="auto" w:fill="E5E5E5"/>
          </w:tcPr>
          <w:p>
            <w:pPr>
              <w:spacing w:after="0"/>
              <w:rPr>
                <w:sz w:val="8"/>
                <w:szCs w:val="8"/>
                <w:color w:val="auto"/>
              </w:rPr>
            </w:pPr>
          </w:p>
        </w:tc>
        <w:tc>
          <w:tcPr>
            <w:tcW w:w="120" w:type="dxa"/>
            <w:vAlign w:val="bottom"/>
            <w:shd w:val="clear" w:color="auto" w:fill="E5E5E5"/>
          </w:tcPr>
          <w:p>
            <w:pPr>
              <w:spacing w:after="0"/>
              <w:rPr>
                <w:sz w:val="8"/>
                <w:szCs w:val="8"/>
                <w:color w:val="auto"/>
              </w:rPr>
            </w:pPr>
          </w:p>
        </w:tc>
        <w:tc>
          <w:tcPr>
            <w:tcW w:w="860" w:type="dxa"/>
            <w:vAlign w:val="bottom"/>
            <w:shd w:val="clear" w:color="auto" w:fill="E5E5E5"/>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220" w:type="dxa"/>
            <w:vAlign w:val="bottom"/>
            <w:shd w:val="clear" w:color="auto" w:fill="E5E5E5"/>
          </w:tcPr>
          <w:p>
            <w:pPr>
              <w:ind w:left="40"/>
              <w:spacing w:after="0"/>
              <w:rPr>
                <w:sz w:val="20"/>
                <w:szCs w:val="20"/>
                <w:color w:val="auto"/>
              </w:rPr>
            </w:pPr>
            <w:r>
              <w:rPr>
                <w:rFonts w:ascii="Arial" w:cs="Arial" w:eastAsia="Arial" w:hAnsi="Arial"/>
                <w:sz w:val="13"/>
                <w:szCs w:val="13"/>
                <w:color w:val="auto"/>
              </w:rPr>
              <w:t>Performance RSU</w:t>
            </w:r>
          </w:p>
        </w:tc>
        <w:tc>
          <w:tcPr>
            <w:tcW w:w="120" w:type="dxa"/>
            <w:vAlign w:val="bottom"/>
            <w:shd w:val="clear" w:color="auto" w:fill="E5E5E5"/>
          </w:tcPr>
          <w:p>
            <w:pPr>
              <w:spacing w:after="0"/>
              <w:rPr>
                <w:sz w:val="15"/>
                <w:szCs w:val="15"/>
                <w:color w:val="auto"/>
              </w:rPr>
            </w:pPr>
          </w:p>
        </w:tc>
        <w:tc>
          <w:tcPr>
            <w:tcW w:w="88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2/29/2016</w:t>
            </w:r>
          </w:p>
        </w:tc>
        <w:tc>
          <w:tcPr>
            <w:tcW w:w="120" w:type="dxa"/>
            <w:vAlign w:val="bottom"/>
            <w:shd w:val="clear" w:color="auto" w:fill="E5E5E5"/>
          </w:tcPr>
          <w:p>
            <w:pPr>
              <w:spacing w:after="0"/>
              <w:rPr>
                <w:sz w:val="15"/>
                <w:szCs w:val="15"/>
                <w:color w:val="auto"/>
              </w:rPr>
            </w:pPr>
          </w:p>
        </w:tc>
        <w:tc>
          <w:tcPr>
            <w:tcW w:w="1000" w:type="dxa"/>
            <w:vAlign w:val="bottom"/>
            <w:shd w:val="clear" w:color="auto" w:fill="E5E5E5"/>
          </w:tcPr>
          <w:p>
            <w:pPr>
              <w:spacing w:after="0"/>
              <w:rPr>
                <w:sz w:val="15"/>
                <w:szCs w:val="15"/>
                <w:color w:val="auto"/>
              </w:rPr>
            </w:pPr>
          </w:p>
        </w:tc>
        <w:tc>
          <w:tcPr>
            <w:tcW w:w="104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640" w:type="dxa"/>
            <w:vAlign w:val="bottom"/>
            <w:shd w:val="clear" w:color="auto" w:fill="E5E5E5"/>
          </w:tcPr>
          <w:p>
            <w:pPr>
              <w:spacing w:after="0"/>
              <w:rPr>
                <w:sz w:val="15"/>
                <w:szCs w:val="15"/>
                <w:color w:val="auto"/>
              </w:rPr>
            </w:pPr>
          </w:p>
        </w:tc>
        <w:tc>
          <w:tcPr>
            <w:tcW w:w="1180" w:type="dxa"/>
            <w:vAlign w:val="bottom"/>
            <w:shd w:val="clear" w:color="auto" w:fill="E5E5E5"/>
          </w:tcPr>
          <w:p>
            <w:pPr>
              <w:spacing w:after="0"/>
              <w:rPr>
                <w:sz w:val="15"/>
                <w:szCs w:val="15"/>
                <w:color w:val="auto"/>
              </w:rPr>
            </w:pPr>
          </w:p>
        </w:tc>
        <w:tc>
          <w:tcPr>
            <w:tcW w:w="780" w:type="dxa"/>
            <w:vAlign w:val="bottom"/>
            <w:shd w:val="clear" w:color="auto" w:fill="E5E5E5"/>
          </w:tcPr>
          <w:p>
            <w:pPr>
              <w:spacing w:after="0"/>
              <w:rPr>
                <w:sz w:val="15"/>
                <w:szCs w:val="15"/>
                <w:color w:val="auto"/>
              </w:rPr>
            </w:pPr>
          </w:p>
        </w:tc>
        <w:tc>
          <w:tcPr>
            <w:tcW w:w="42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86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15,333</w:t>
            </w:r>
          </w:p>
        </w:tc>
        <w:tc>
          <w:tcPr>
            <w:tcW w:w="320" w:type="dxa"/>
            <w:vAlign w:val="bottom"/>
            <w:vMerge w:val="restart"/>
            <w:shd w:val="clear" w:color="auto" w:fill="E5E5E5"/>
          </w:tcPr>
          <w:p>
            <w:pPr>
              <w:jc w:val="right"/>
              <w:ind w:right="15"/>
              <w:spacing w:after="0"/>
              <w:rPr>
                <w:sz w:val="20"/>
                <w:szCs w:val="20"/>
                <w:color w:val="auto"/>
              </w:rPr>
            </w:pPr>
            <w:r>
              <w:rPr>
                <w:rFonts w:ascii="Arial" w:cs="Arial" w:eastAsia="Arial" w:hAnsi="Arial"/>
                <w:sz w:val="9"/>
                <w:szCs w:val="9"/>
                <w:b w:val="1"/>
                <w:bCs w:val="1"/>
                <w:color w:val="auto"/>
              </w:rPr>
              <w:t>(13 )</w:t>
            </w:r>
          </w:p>
        </w:tc>
        <w:tc>
          <w:tcPr>
            <w:tcW w:w="120" w:type="dxa"/>
            <w:vAlign w:val="bottom"/>
            <w:shd w:val="clear" w:color="auto" w:fill="E5E5E5"/>
          </w:tcPr>
          <w:p>
            <w:pPr>
              <w:spacing w:after="0"/>
              <w:rPr>
                <w:sz w:val="15"/>
                <w:szCs w:val="15"/>
                <w:color w:val="auto"/>
              </w:rPr>
            </w:pPr>
          </w:p>
        </w:tc>
        <w:tc>
          <w:tcPr>
            <w:tcW w:w="860" w:type="dxa"/>
            <w:vAlign w:val="bottom"/>
            <w:vMerge w:val="restart"/>
            <w:shd w:val="clear" w:color="auto" w:fill="E5E5E5"/>
          </w:tcPr>
          <w:p>
            <w:pPr>
              <w:jc w:val="right"/>
              <w:ind w:right="44"/>
              <w:spacing w:after="0"/>
              <w:rPr>
                <w:sz w:val="20"/>
                <w:szCs w:val="20"/>
                <w:color w:val="auto"/>
              </w:rPr>
            </w:pPr>
            <w:r>
              <w:rPr>
                <w:rFonts w:ascii="Arial" w:cs="Arial" w:eastAsia="Arial" w:hAnsi="Arial"/>
                <w:sz w:val="13"/>
                <w:szCs w:val="13"/>
                <w:color w:val="auto"/>
              </w:rPr>
              <w:t>927,493</w:t>
            </w:r>
          </w:p>
        </w:tc>
        <w:tc>
          <w:tcPr>
            <w:tcW w:w="0" w:type="dxa"/>
            <w:vAlign w:val="bottom"/>
          </w:tcPr>
          <w:p>
            <w:pPr>
              <w:spacing w:after="0"/>
              <w:rPr>
                <w:sz w:val="1"/>
                <w:szCs w:val="1"/>
                <w:color w:val="auto"/>
              </w:rPr>
            </w:pPr>
          </w:p>
        </w:tc>
      </w:tr>
      <w:tr>
        <w:trPr>
          <w:trHeight w:val="81"/>
        </w:trPr>
        <w:tc>
          <w:tcPr>
            <w:tcW w:w="1220" w:type="dxa"/>
            <w:vAlign w:val="bottom"/>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880" w:type="dxa"/>
            <w:vAlign w:val="bottom"/>
            <w:vMerge w:val="continue"/>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1000" w:type="dxa"/>
            <w:vAlign w:val="bottom"/>
            <w:shd w:val="clear" w:color="auto" w:fill="E5E5E5"/>
          </w:tcPr>
          <w:p>
            <w:pPr>
              <w:spacing w:after="0"/>
              <w:rPr>
                <w:sz w:val="7"/>
                <w:szCs w:val="7"/>
                <w:color w:val="auto"/>
              </w:rPr>
            </w:pPr>
          </w:p>
        </w:tc>
        <w:tc>
          <w:tcPr>
            <w:tcW w:w="1040" w:type="dxa"/>
            <w:vAlign w:val="bottom"/>
            <w:shd w:val="clear" w:color="auto" w:fill="E5E5E5"/>
          </w:tcPr>
          <w:p>
            <w:pPr>
              <w:spacing w:after="0"/>
              <w:rPr>
                <w:sz w:val="7"/>
                <w:szCs w:val="7"/>
                <w:color w:val="auto"/>
              </w:rPr>
            </w:pPr>
          </w:p>
        </w:tc>
        <w:tc>
          <w:tcPr>
            <w:tcW w:w="320" w:type="dxa"/>
            <w:vAlign w:val="bottom"/>
            <w:shd w:val="clear" w:color="auto" w:fill="E5E5E5"/>
          </w:tcPr>
          <w:p>
            <w:pPr>
              <w:spacing w:after="0"/>
              <w:rPr>
                <w:sz w:val="7"/>
                <w:szCs w:val="7"/>
                <w:color w:val="auto"/>
              </w:rPr>
            </w:pPr>
          </w:p>
        </w:tc>
        <w:tc>
          <w:tcPr>
            <w:tcW w:w="220" w:type="dxa"/>
            <w:vAlign w:val="bottom"/>
            <w:shd w:val="clear" w:color="auto" w:fill="E5E5E5"/>
          </w:tcPr>
          <w:p>
            <w:pPr>
              <w:spacing w:after="0"/>
              <w:rPr>
                <w:sz w:val="7"/>
                <w:szCs w:val="7"/>
                <w:color w:val="auto"/>
              </w:rPr>
            </w:pPr>
          </w:p>
        </w:tc>
        <w:tc>
          <w:tcPr>
            <w:tcW w:w="640" w:type="dxa"/>
            <w:vAlign w:val="bottom"/>
            <w:shd w:val="clear" w:color="auto" w:fill="E5E5E5"/>
          </w:tcPr>
          <w:p>
            <w:pPr>
              <w:spacing w:after="0"/>
              <w:rPr>
                <w:sz w:val="7"/>
                <w:szCs w:val="7"/>
                <w:color w:val="auto"/>
              </w:rPr>
            </w:pPr>
          </w:p>
        </w:tc>
        <w:tc>
          <w:tcPr>
            <w:tcW w:w="1180" w:type="dxa"/>
            <w:vAlign w:val="bottom"/>
            <w:shd w:val="clear" w:color="auto" w:fill="E5E5E5"/>
          </w:tcPr>
          <w:p>
            <w:pPr>
              <w:spacing w:after="0"/>
              <w:rPr>
                <w:sz w:val="7"/>
                <w:szCs w:val="7"/>
                <w:color w:val="auto"/>
              </w:rPr>
            </w:pPr>
          </w:p>
        </w:tc>
        <w:tc>
          <w:tcPr>
            <w:tcW w:w="780" w:type="dxa"/>
            <w:vAlign w:val="bottom"/>
            <w:shd w:val="clear" w:color="auto" w:fill="E5E5E5"/>
          </w:tcPr>
          <w:p>
            <w:pPr>
              <w:spacing w:after="0"/>
              <w:rPr>
                <w:sz w:val="7"/>
                <w:szCs w:val="7"/>
                <w:color w:val="auto"/>
              </w:rPr>
            </w:pPr>
          </w:p>
        </w:tc>
        <w:tc>
          <w:tcPr>
            <w:tcW w:w="420" w:type="dxa"/>
            <w:vAlign w:val="bottom"/>
            <w:shd w:val="clear" w:color="auto" w:fill="E5E5E5"/>
          </w:tcPr>
          <w:p>
            <w:pPr>
              <w:spacing w:after="0"/>
              <w:rPr>
                <w:sz w:val="7"/>
                <w:szCs w:val="7"/>
                <w:color w:val="auto"/>
              </w:rPr>
            </w:pPr>
          </w:p>
        </w:tc>
        <w:tc>
          <w:tcPr>
            <w:tcW w:w="760" w:type="dxa"/>
            <w:vAlign w:val="bottom"/>
            <w:shd w:val="clear" w:color="auto" w:fill="E5E5E5"/>
          </w:tcPr>
          <w:p>
            <w:pPr>
              <w:spacing w:after="0"/>
              <w:rPr>
                <w:sz w:val="7"/>
                <w:szCs w:val="7"/>
                <w:color w:val="auto"/>
              </w:rPr>
            </w:pPr>
          </w:p>
        </w:tc>
        <w:tc>
          <w:tcPr>
            <w:tcW w:w="100" w:type="dxa"/>
            <w:vAlign w:val="bottom"/>
            <w:shd w:val="clear" w:color="auto" w:fill="E5E5E5"/>
          </w:tcPr>
          <w:p>
            <w:pPr>
              <w:spacing w:after="0"/>
              <w:rPr>
                <w:sz w:val="7"/>
                <w:szCs w:val="7"/>
                <w:color w:val="auto"/>
              </w:rPr>
            </w:pPr>
          </w:p>
        </w:tc>
        <w:tc>
          <w:tcPr>
            <w:tcW w:w="860" w:type="dxa"/>
            <w:vAlign w:val="bottom"/>
            <w:vMerge w:val="continue"/>
            <w:shd w:val="clear" w:color="auto" w:fill="E5E5E5"/>
          </w:tcPr>
          <w:p>
            <w:pPr>
              <w:spacing w:after="0"/>
              <w:rPr>
                <w:sz w:val="7"/>
                <w:szCs w:val="7"/>
                <w:color w:val="auto"/>
              </w:rPr>
            </w:pPr>
          </w:p>
        </w:tc>
        <w:tc>
          <w:tcPr>
            <w:tcW w:w="320" w:type="dxa"/>
            <w:vAlign w:val="bottom"/>
            <w:vMerge w:val="continue"/>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860" w:type="dxa"/>
            <w:vAlign w:val="bottom"/>
            <w:vMerge w:val="continue"/>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E5E5E5"/>
          </w:tcPr>
          <w:p>
            <w:pPr>
              <w:ind w:left="40"/>
              <w:spacing w:after="0"/>
              <w:rPr>
                <w:sz w:val="20"/>
                <w:szCs w:val="20"/>
                <w:color w:val="auto"/>
              </w:rPr>
            </w:pPr>
            <w:r>
              <w:rPr>
                <w:rFonts w:ascii="Arial" w:cs="Arial" w:eastAsia="Arial" w:hAnsi="Arial"/>
                <w:sz w:val="13"/>
                <w:szCs w:val="13"/>
                <w:color w:val="auto"/>
              </w:rPr>
              <w:t>RSU</w:t>
            </w:r>
          </w:p>
        </w:tc>
        <w:tc>
          <w:tcPr>
            <w:tcW w:w="120" w:type="dxa"/>
            <w:vAlign w:val="bottom"/>
            <w:shd w:val="clear" w:color="auto" w:fill="E5E5E5"/>
          </w:tcPr>
          <w:p>
            <w:pPr>
              <w:spacing w:after="0"/>
              <w:rPr>
                <w:sz w:val="16"/>
                <w:szCs w:val="16"/>
                <w:color w:val="auto"/>
              </w:rPr>
            </w:pPr>
          </w:p>
        </w:tc>
        <w:tc>
          <w:tcPr>
            <w:tcW w:w="88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3/2/2017</w:t>
            </w:r>
          </w:p>
        </w:tc>
        <w:tc>
          <w:tcPr>
            <w:tcW w:w="12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104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640" w:type="dxa"/>
            <w:vAlign w:val="bottom"/>
            <w:shd w:val="clear" w:color="auto" w:fill="E5E5E5"/>
          </w:tcPr>
          <w:p>
            <w:pPr>
              <w:spacing w:after="0"/>
              <w:rPr>
                <w:sz w:val="16"/>
                <w:szCs w:val="16"/>
                <w:color w:val="auto"/>
              </w:rPr>
            </w:pPr>
          </w:p>
        </w:tc>
        <w:tc>
          <w:tcPr>
            <w:tcW w:w="1180" w:type="dxa"/>
            <w:vAlign w:val="bottom"/>
            <w:shd w:val="clear" w:color="auto" w:fill="E5E5E5"/>
          </w:tcPr>
          <w:p>
            <w:pPr>
              <w:spacing w:after="0"/>
              <w:rPr>
                <w:sz w:val="16"/>
                <w:szCs w:val="16"/>
                <w:color w:val="auto"/>
              </w:rPr>
            </w:pPr>
          </w:p>
        </w:tc>
        <w:tc>
          <w:tcPr>
            <w:tcW w:w="780" w:type="dxa"/>
            <w:vAlign w:val="bottom"/>
            <w:vMerge w:val="restart"/>
            <w:shd w:val="clear" w:color="auto" w:fill="E5E5E5"/>
          </w:tcPr>
          <w:p>
            <w:pPr>
              <w:jc w:val="right"/>
              <w:ind w:right="59"/>
              <w:spacing w:after="0"/>
              <w:rPr>
                <w:sz w:val="20"/>
                <w:szCs w:val="20"/>
                <w:color w:val="auto"/>
              </w:rPr>
            </w:pPr>
            <w:r>
              <w:rPr>
                <w:rFonts w:ascii="Arial" w:cs="Arial" w:eastAsia="Arial" w:hAnsi="Arial"/>
                <w:sz w:val="13"/>
                <w:szCs w:val="13"/>
                <w:color w:val="auto"/>
              </w:rPr>
              <w:t>6,921</w:t>
            </w:r>
          </w:p>
        </w:tc>
        <w:tc>
          <w:tcPr>
            <w:tcW w:w="420" w:type="dxa"/>
            <w:vAlign w:val="bottom"/>
            <w:vMerge w:val="restart"/>
            <w:shd w:val="clear" w:color="auto" w:fill="E5E5E5"/>
          </w:tcPr>
          <w:p>
            <w:pPr>
              <w:ind w:left="20"/>
              <w:spacing w:after="0"/>
              <w:rPr>
                <w:sz w:val="20"/>
                <w:szCs w:val="20"/>
                <w:color w:val="auto"/>
              </w:rPr>
            </w:pPr>
            <w:r>
              <w:rPr>
                <w:rFonts w:ascii="Arial" w:cs="Arial" w:eastAsia="Arial" w:hAnsi="Arial"/>
                <w:sz w:val="9"/>
                <w:szCs w:val="9"/>
                <w:b w:val="1"/>
                <w:bCs w:val="1"/>
                <w:color w:val="auto"/>
              </w:rPr>
              <w:t>(8)</w:t>
            </w:r>
          </w:p>
        </w:tc>
        <w:tc>
          <w:tcPr>
            <w:tcW w:w="76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418,651</w:t>
            </w:r>
          </w:p>
        </w:tc>
        <w:tc>
          <w:tcPr>
            <w:tcW w:w="10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220" w:type="dxa"/>
            <w:vAlign w:val="bottom"/>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880" w:type="dxa"/>
            <w:vAlign w:val="bottom"/>
            <w:vMerge w:val="continue"/>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1000" w:type="dxa"/>
            <w:vAlign w:val="bottom"/>
            <w:shd w:val="clear" w:color="auto" w:fill="E5E5E5"/>
          </w:tcPr>
          <w:p>
            <w:pPr>
              <w:spacing w:after="0"/>
              <w:rPr>
                <w:sz w:val="7"/>
                <w:szCs w:val="7"/>
                <w:color w:val="auto"/>
              </w:rPr>
            </w:pPr>
          </w:p>
        </w:tc>
        <w:tc>
          <w:tcPr>
            <w:tcW w:w="1040" w:type="dxa"/>
            <w:vAlign w:val="bottom"/>
            <w:shd w:val="clear" w:color="auto" w:fill="E5E5E5"/>
          </w:tcPr>
          <w:p>
            <w:pPr>
              <w:spacing w:after="0"/>
              <w:rPr>
                <w:sz w:val="7"/>
                <w:szCs w:val="7"/>
                <w:color w:val="auto"/>
              </w:rPr>
            </w:pPr>
          </w:p>
        </w:tc>
        <w:tc>
          <w:tcPr>
            <w:tcW w:w="320" w:type="dxa"/>
            <w:vAlign w:val="bottom"/>
            <w:shd w:val="clear" w:color="auto" w:fill="E5E5E5"/>
          </w:tcPr>
          <w:p>
            <w:pPr>
              <w:spacing w:after="0"/>
              <w:rPr>
                <w:sz w:val="7"/>
                <w:szCs w:val="7"/>
                <w:color w:val="auto"/>
              </w:rPr>
            </w:pPr>
          </w:p>
        </w:tc>
        <w:tc>
          <w:tcPr>
            <w:tcW w:w="220" w:type="dxa"/>
            <w:vAlign w:val="bottom"/>
            <w:shd w:val="clear" w:color="auto" w:fill="E5E5E5"/>
          </w:tcPr>
          <w:p>
            <w:pPr>
              <w:spacing w:after="0"/>
              <w:rPr>
                <w:sz w:val="7"/>
                <w:szCs w:val="7"/>
                <w:color w:val="auto"/>
              </w:rPr>
            </w:pPr>
          </w:p>
        </w:tc>
        <w:tc>
          <w:tcPr>
            <w:tcW w:w="640" w:type="dxa"/>
            <w:vAlign w:val="bottom"/>
            <w:shd w:val="clear" w:color="auto" w:fill="E5E5E5"/>
          </w:tcPr>
          <w:p>
            <w:pPr>
              <w:spacing w:after="0"/>
              <w:rPr>
                <w:sz w:val="7"/>
                <w:szCs w:val="7"/>
                <w:color w:val="auto"/>
              </w:rPr>
            </w:pPr>
          </w:p>
        </w:tc>
        <w:tc>
          <w:tcPr>
            <w:tcW w:w="1180" w:type="dxa"/>
            <w:vAlign w:val="bottom"/>
            <w:shd w:val="clear" w:color="auto" w:fill="E5E5E5"/>
          </w:tcPr>
          <w:p>
            <w:pPr>
              <w:spacing w:after="0"/>
              <w:rPr>
                <w:sz w:val="7"/>
                <w:szCs w:val="7"/>
                <w:color w:val="auto"/>
              </w:rPr>
            </w:pPr>
          </w:p>
        </w:tc>
        <w:tc>
          <w:tcPr>
            <w:tcW w:w="780" w:type="dxa"/>
            <w:vAlign w:val="bottom"/>
            <w:vMerge w:val="continue"/>
            <w:shd w:val="clear" w:color="auto" w:fill="E5E5E5"/>
          </w:tcPr>
          <w:p>
            <w:pPr>
              <w:spacing w:after="0"/>
              <w:rPr>
                <w:sz w:val="7"/>
                <w:szCs w:val="7"/>
                <w:color w:val="auto"/>
              </w:rPr>
            </w:pPr>
          </w:p>
        </w:tc>
        <w:tc>
          <w:tcPr>
            <w:tcW w:w="420" w:type="dxa"/>
            <w:vAlign w:val="bottom"/>
            <w:vMerge w:val="continue"/>
            <w:shd w:val="clear" w:color="auto" w:fill="E5E5E5"/>
          </w:tcPr>
          <w:p>
            <w:pPr>
              <w:spacing w:after="0"/>
              <w:rPr>
                <w:sz w:val="7"/>
                <w:szCs w:val="7"/>
                <w:color w:val="auto"/>
              </w:rPr>
            </w:pPr>
          </w:p>
        </w:tc>
        <w:tc>
          <w:tcPr>
            <w:tcW w:w="760" w:type="dxa"/>
            <w:vAlign w:val="bottom"/>
            <w:vMerge w:val="continue"/>
            <w:shd w:val="clear" w:color="auto" w:fill="E5E5E5"/>
          </w:tcPr>
          <w:p>
            <w:pPr>
              <w:spacing w:after="0"/>
              <w:rPr>
                <w:sz w:val="7"/>
                <w:szCs w:val="7"/>
                <w:color w:val="auto"/>
              </w:rPr>
            </w:pPr>
          </w:p>
        </w:tc>
        <w:tc>
          <w:tcPr>
            <w:tcW w:w="100" w:type="dxa"/>
            <w:vAlign w:val="bottom"/>
            <w:shd w:val="clear" w:color="auto" w:fill="E5E5E5"/>
          </w:tcPr>
          <w:p>
            <w:pPr>
              <w:spacing w:after="0"/>
              <w:rPr>
                <w:sz w:val="7"/>
                <w:szCs w:val="7"/>
                <w:color w:val="auto"/>
              </w:rPr>
            </w:pPr>
          </w:p>
        </w:tc>
        <w:tc>
          <w:tcPr>
            <w:tcW w:w="860" w:type="dxa"/>
            <w:vAlign w:val="bottom"/>
            <w:shd w:val="clear" w:color="auto" w:fill="E5E5E5"/>
          </w:tcPr>
          <w:p>
            <w:pPr>
              <w:spacing w:after="0"/>
              <w:rPr>
                <w:sz w:val="7"/>
                <w:szCs w:val="7"/>
                <w:color w:val="auto"/>
              </w:rPr>
            </w:pPr>
          </w:p>
        </w:tc>
        <w:tc>
          <w:tcPr>
            <w:tcW w:w="320" w:type="dxa"/>
            <w:vAlign w:val="bottom"/>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860" w:type="dxa"/>
            <w:vAlign w:val="bottom"/>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E5E5E5"/>
          </w:tcPr>
          <w:p>
            <w:pPr>
              <w:ind w:left="40"/>
              <w:spacing w:after="0"/>
              <w:rPr>
                <w:sz w:val="20"/>
                <w:szCs w:val="20"/>
                <w:color w:val="auto"/>
              </w:rPr>
            </w:pPr>
            <w:r>
              <w:rPr>
                <w:rFonts w:ascii="Arial" w:cs="Arial" w:eastAsia="Arial" w:hAnsi="Arial"/>
                <w:sz w:val="13"/>
                <w:szCs w:val="13"/>
                <w:color w:val="auto"/>
              </w:rPr>
              <w:t>Performance RSU</w:t>
            </w:r>
          </w:p>
        </w:tc>
        <w:tc>
          <w:tcPr>
            <w:tcW w:w="120" w:type="dxa"/>
            <w:vAlign w:val="bottom"/>
            <w:shd w:val="clear" w:color="auto" w:fill="E5E5E5"/>
          </w:tcPr>
          <w:p>
            <w:pPr>
              <w:spacing w:after="0"/>
              <w:rPr>
                <w:sz w:val="16"/>
                <w:szCs w:val="16"/>
                <w:color w:val="auto"/>
              </w:rPr>
            </w:pPr>
          </w:p>
        </w:tc>
        <w:tc>
          <w:tcPr>
            <w:tcW w:w="88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3/2/2017</w:t>
            </w:r>
          </w:p>
        </w:tc>
        <w:tc>
          <w:tcPr>
            <w:tcW w:w="12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104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640" w:type="dxa"/>
            <w:vAlign w:val="bottom"/>
            <w:shd w:val="clear" w:color="auto" w:fill="E5E5E5"/>
          </w:tcPr>
          <w:p>
            <w:pPr>
              <w:spacing w:after="0"/>
              <w:rPr>
                <w:sz w:val="16"/>
                <w:szCs w:val="16"/>
                <w:color w:val="auto"/>
              </w:rPr>
            </w:pPr>
          </w:p>
        </w:tc>
        <w:tc>
          <w:tcPr>
            <w:tcW w:w="118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86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9,883</w:t>
            </w:r>
          </w:p>
        </w:tc>
        <w:tc>
          <w:tcPr>
            <w:tcW w:w="320" w:type="dxa"/>
            <w:vAlign w:val="bottom"/>
            <w:vMerge w:val="restart"/>
            <w:shd w:val="clear" w:color="auto" w:fill="E5E5E5"/>
          </w:tcPr>
          <w:p>
            <w:pPr>
              <w:jc w:val="right"/>
              <w:ind w:right="15"/>
              <w:spacing w:after="0"/>
              <w:rPr>
                <w:sz w:val="20"/>
                <w:szCs w:val="20"/>
                <w:color w:val="auto"/>
              </w:rPr>
            </w:pPr>
            <w:r>
              <w:rPr>
                <w:rFonts w:ascii="Arial" w:cs="Arial" w:eastAsia="Arial" w:hAnsi="Arial"/>
                <w:sz w:val="9"/>
                <w:szCs w:val="9"/>
                <w:b w:val="1"/>
                <w:bCs w:val="1"/>
                <w:color w:val="auto"/>
              </w:rPr>
              <w:t>(14 )</w:t>
            </w:r>
          </w:p>
        </w:tc>
        <w:tc>
          <w:tcPr>
            <w:tcW w:w="120" w:type="dxa"/>
            <w:vAlign w:val="bottom"/>
            <w:shd w:val="clear" w:color="auto" w:fill="E5E5E5"/>
          </w:tcPr>
          <w:p>
            <w:pPr>
              <w:spacing w:after="0"/>
              <w:rPr>
                <w:sz w:val="16"/>
                <w:szCs w:val="16"/>
                <w:color w:val="auto"/>
              </w:rPr>
            </w:pPr>
          </w:p>
        </w:tc>
        <w:tc>
          <w:tcPr>
            <w:tcW w:w="860" w:type="dxa"/>
            <w:vAlign w:val="bottom"/>
            <w:vMerge w:val="restart"/>
            <w:shd w:val="clear" w:color="auto" w:fill="E5E5E5"/>
          </w:tcPr>
          <w:p>
            <w:pPr>
              <w:jc w:val="right"/>
              <w:ind w:right="44"/>
              <w:spacing w:after="0"/>
              <w:rPr>
                <w:sz w:val="20"/>
                <w:szCs w:val="20"/>
                <w:color w:val="auto"/>
              </w:rPr>
            </w:pPr>
            <w:r>
              <w:rPr>
                <w:rFonts w:ascii="Arial" w:cs="Arial" w:eastAsia="Arial" w:hAnsi="Arial"/>
                <w:sz w:val="13"/>
                <w:szCs w:val="13"/>
                <w:color w:val="auto"/>
              </w:rPr>
              <w:t>597,823</w:t>
            </w:r>
          </w:p>
        </w:tc>
        <w:tc>
          <w:tcPr>
            <w:tcW w:w="0" w:type="dxa"/>
            <w:vAlign w:val="bottom"/>
          </w:tcPr>
          <w:p>
            <w:pPr>
              <w:spacing w:after="0"/>
              <w:rPr>
                <w:sz w:val="1"/>
                <w:szCs w:val="1"/>
                <w:color w:val="auto"/>
              </w:rPr>
            </w:pPr>
          </w:p>
        </w:tc>
      </w:tr>
      <w:tr>
        <w:trPr>
          <w:trHeight w:val="81"/>
        </w:trPr>
        <w:tc>
          <w:tcPr>
            <w:tcW w:w="1220" w:type="dxa"/>
            <w:vAlign w:val="bottom"/>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880" w:type="dxa"/>
            <w:vAlign w:val="bottom"/>
            <w:vMerge w:val="continue"/>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1000" w:type="dxa"/>
            <w:vAlign w:val="bottom"/>
            <w:shd w:val="clear" w:color="auto" w:fill="E5E5E5"/>
          </w:tcPr>
          <w:p>
            <w:pPr>
              <w:spacing w:after="0"/>
              <w:rPr>
                <w:sz w:val="7"/>
                <w:szCs w:val="7"/>
                <w:color w:val="auto"/>
              </w:rPr>
            </w:pPr>
          </w:p>
        </w:tc>
        <w:tc>
          <w:tcPr>
            <w:tcW w:w="1040" w:type="dxa"/>
            <w:vAlign w:val="bottom"/>
            <w:shd w:val="clear" w:color="auto" w:fill="E5E5E5"/>
          </w:tcPr>
          <w:p>
            <w:pPr>
              <w:spacing w:after="0"/>
              <w:rPr>
                <w:sz w:val="7"/>
                <w:szCs w:val="7"/>
                <w:color w:val="auto"/>
              </w:rPr>
            </w:pPr>
          </w:p>
        </w:tc>
        <w:tc>
          <w:tcPr>
            <w:tcW w:w="320" w:type="dxa"/>
            <w:vAlign w:val="bottom"/>
            <w:shd w:val="clear" w:color="auto" w:fill="E5E5E5"/>
          </w:tcPr>
          <w:p>
            <w:pPr>
              <w:spacing w:after="0"/>
              <w:rPr>
                <w:sz w:val="7"/>
                <w:szCs w:val="7"/>
                <w:color w:val="auto"/>
              </w:rPr>
            </w:pPr>
          </w:p>
        </w:tc>
        <w:tc>
          <w:tcPr>
            <w:tcW w:w="220" w:type="dxa"/>
            <w:vAlign w:val="bottom"/>
            <w:shd w:val="clear" w:color="auto" w:fill="E5E5E5"/>
          </w:tcPr>
          <w:p>
            <w:pPr>
              <w:spacing w:after="0"/>
              <w:rPr>
                <w:sz w:val="7"/>
                <w:szCs w:val="7"/>
                <w:color w:val="auto"/>
              </w:rPr>
            </w:pPr>
          </w:p>
        </w:tc>
        <w:tc>
          <w:tcPr>
            <w:tcW w:w="640" w:type="dxa"/>
            <w:vAlign w:val="bottom"/>
            <w:shd w:val="clear" w:color="auto" w:fill="E5E5E5"/>
          </w:tcPr>
          <w:p>
            <w:pPr>
              <w:spacing w:after="0"/>
              <w:rPr>
                <w:sz w:val="7"/>
                <w:szCs w:val="7"/>
                <w:color w:val="auto"/>
              </w:rPr>
            </w:pPr>
          </w:p>
        </w:tc>
        <w:tc>
          <w:tcPr>
            <w:tcW w:w="1180" w:type="dxa"/>
            <w:vAlign w:val="bottom"/>
            <w:shd w:val="clear" w:color="auto" w:fill="E5E5E5"/>
          </w:tcPr>
          <w:p>
            <w:pPr>
              <w:spacing w:after="0"/>
              <w:rPr>
                <w:sz w:val="7"/>
                <w:szCs w:val="7"/>
                <w:color w:val="auto"/>
              </w:rPr>
            </w:pPr>
          </w:p>
        </w:tc>
        <w:tc>
          <w:tcPr>
            <w:tcW w:w="780" w:type="dxa"/>
            <w:vAlign w:val="bottom"/>
            <w:shd w:val="clear" w:color="auto" w:fill="E5E5E5"/>
          </w:tcPr>
          <w:p>
            <w:pPr>
              <w:spacing w:after="0"/>
              <w:rPr>
                <w:sz w:val="7"/>
                <w:szCs w:val="7"/>
                <w:color w:val="auto"/>
              </w:rPr>
            </w:pPr>
          </w:p>
        </w:tc>
        <w:tc>
          <w:tcPr>
            <w:tcW w:w="420" w:type="dxa"/>
            <w:vAlign w:val="bottom"/>
            <w:shd w:val="clear" w:color="auto" w:fill="E5E5E5"/>
          </w:tcPr>
          <w:p>
            <w:pPr>
              <w:spacing w:after="0"/>
              <w:rPr>
                <w:sz w:val="7"/>
                <w:szCs w:val="7"/>
                <w:color w:val="auto"/>
              </w:rPr>
            </w:pPr>
          </w:p>
        </w:tc>
        <w:tc>
          <w:tcPr>
            <w:tcW w:w="760" w:type="dxa"/>
            <w:vAlign w:val="bottom"/>
            <w:shd w:val="clear" w:color="auto" w:fill="E5E5E5"/>
          </w:tcPr>
          <w:p>
            <w:pPr>
              <w:spacing w:after="0"/>
              <w:rPr>
                <w:sz w:val="7"/>
                <w:szCs w:val="7"/>
                <w:color w:val="auto"/>
              </w:rPr>
            </w:pPr>
          </w:p>
        </w:tc>
        <w:tc>
          <w:tcPr>
            <w:tcW w:w="100" w:type="dxa"/>
            <w:vAlign w:val="bottom"/>
            <w:shd w:val="clear" w:color="auto" w:fill="E5E5E5"/>
          </w:tcPr>
          <w:p>
            <w:pPr>
              <w:spacing w:after="0"/>
              <w:rPr>
                <w:sz w:val="7"/>
                <w:szCs w:val="7"/>
                <w:color w:val="auto"/>
              </w:rPr>
            </w:pPr>
          </w:p>
        </w:tc>
        <w:tc>
          <w:tcPr>
            <w:tcW w:w="860" w:type="dxa"/>
            <w:vAlign w:val="bottom"/>
            <w:vMerge w:val="continue"/>
            <w:shd w:val="clear" w:color="auto" w:fill="E5E5E5"/>
          </w:tcPr>
          <w:p>
            <w:pPr>
              <w:spacing w:after="0"/>
              <w:rPr>
                <w:sz w:val="7"/>
                <w:szCs w:val="7"/>
                <w:color w:val="auto"/>
              </w:rPr>
            </w:pPr>
          </w:p>
        </w:tc>
        <w:tc>
          <w:tcPr>
            <w:tcW w:w="320" w:type="dxa"/>
            <w:vAlign w:val="bottom"/>
            <w:vMerge w:val="continue"/>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860" w:type="dxa"/>
            <w:vAlign w:val="bottom"/>
            <w:vMerge w:val="continue"/>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1220" w:type="dxa"/>
            <w:vAlign w:val="bottom"/>
            <w:shd w:val="clear" w:color="auto" w:fill="E5E5E5"/>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880" w:type="dxa"/>
            <w:vAlign w:val="bottom"/>
            <w:shd w:val="clear" w:color="auto" w:fill="E5E5E5"/>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1000" w:type="dxa"/>
            <w:vAlign w:val="bottom"/>
            <w:shd w:val="clear" w:color="auto" w:fill="E5E5E5"/>
          </w:tcPr>
          <w:p>
            <w:pPr>
              <w:spacing w:after="0"/>
              <w:rPr>
                <w:sz w:val="24"/>
                <w:szCs w:val="24"/>
                <w:color w:val="auto"/>
              </w:rPr>
            </w:pPr>
          </w:p>
        </w:tc>
        <w:tc>
          <w:tcPr>
            <w:tcW w:w="1040" w:type="dxa"/>
            <w:vAlign w:val="bottom"/>
            <w:shd w:val="clear" w:color="auto" w:fill="E5E5E5"/>
          </w:tcPr>
          <w:p>
            <w:pPr>
              <w:spacing w:after="0"/>
              <w:rPr>
                <w:sz w:val="24"/>
                <w:szCs w:val="24"/>
                <w:color w:val="auto"/>
              </w:rPr>
            </w:pPr>
          </w:p>
        </w:tc>
        <w:tc>
          <w:tcPr>
            <w:tcW w:w="320" w:type="dxa"/>
            <w:vAlign w:val="bottom"/>
            <w:shd w:val="clear" w:color="auto" w:fill="E5E5E5"/>
          </w:tcPr>
          <w:p>
            <w:pPr>
              <w:spacing w:after="0"/>
              <w:rPr>
                <w:sz w:val="24"/>
                <w:szCs w:val="24"/>
                <w:color w:val="auto"/>
              </w:rPr>
            </w:pPr>
          </w:p>
        </w:tc>
        <w:tc>
          <w:tcPr>
            <w:tcW w:w="220" w:type="dxa"/>
            <w:vAlign w:val="bottom"/>
            <w:shd w:val="clear" w:color="auto" w:fill="E5E5E5"/>
          </w:tcPr>
          <w:p>
            <w:pPr>
              <w:spacing w:after="0"/>
              <w:rPr>
                <w:sz w:val="24"/>
                <w:szCs w:val="24"/>
                <w:color w:val="auto"/>
              </w:rPr>
            </w:pPr>
          </w:p>
        </w:tc>
        <w:tc>
          <w:tcPr>
            <w:tcW w:w="640" w:type="dxa"/>
            <w:vAlign w:val="bottom"/>
            <w:shd w:val="clear" w:color="auto" w:fill="E5E5E5"/>
          </w:tcPr>
          <w:p>
            <w:pPr>
              <w:spacing w:after="0"/>
              <w:rPr>
                <w:sz w:val="24"/>
                <w:szCs w:val="24"/>
                <w:color w:val="auto"/>
              </w:rPr>
            </w:pPr>
          </w:p>
        </w:tc>
        <w:tc>
          <w:tcPr>
            <w:tcW w:w="1180" w:type="dxa"/>
            <w:vAlign w:val="bottom"/>
            <w:shd w:val="clear" w:color="auto" w:fill="E5E5E5"/>
          </w:tcPr>
          <w:p>
            <w:pPr>
              <w:spacing w:after="0"/>
              <w:rPr>
                <w:sz w:val="24"/>
                <w:szCs w:val="24"/>
                <w:color w:val="auto"/>
              </w:rPr>
            </w:pPr>
          </w:p>
        </w:tc>
        <w:tc>
          <w:tcPr>
            <w:tcW w:w="780" w:type="dxa"/>
            <w:vAlign w:val="bottom"/>
            <w:shd w:val="clear" w:color="auto" w:fill="E5E5E5"/>
          </w:tcPr>
          <w:p>
            <w:pPr>
              <w:spacing w:after="0"/>
              <w:rPr>
                <w:sz w:val="24"/>
                <w:szCs w:val="24"/>
                <w:color w:val="auto"/>
              </w:rPr>
            </w:pPr>
          </w:p>
        </w:tc>
        <w:tc>
          <w:tcPr>
            <w:tcW w:w="420" w:type="dxa"/>
            <w:vAlign w:val="bottom"/>
            <w:shd w:val="clear" w:color="auto" w:fill="E5E5E5"/>
          </w:tcPr>
          <w:p>
            <w:pPr>
              <w:spacing w:after="0"/>
              <w:rPr>
                <w:sz w:val="24"/>
                <w:szCs w:val="24"/>
                <w:color w:val="auto"/>
              </w:rPr>
            </w:pPr>
          </w:p>
        </w:tc>
        <w:tc>
          <w:tcPr>
            <w:tcW w:w="760" w:type="dxa"/>
            <w:vAlign w:val="bottom"/>
            <w:shd w:val="clear" w:color="auto" w:fill="E5E5E5"/>
          </w:tcPr>
          <w:p>
            <w:pPr>
              <w:spacing w:after="0"/>
              <w:rPr>
                <w:sz w:val="24"/>
                <w:szCs w:val="24"/>
                <w:color w:val="auto"/>
              </w:rPr>
            </w:pPr>
          </w:p>
        </w:tc>
        <w:tc>
          <w:tcPr>
            <w:tcW w:w="100" w:type="dxa"/>
            <w:vAlign w:val="bottom"/>
            <w:shd w:val="clear" w:color="auto" w:fill="E5E5E5"/>
          </w:tcPr>
          <w:p>
            <w:pPr>
              <w:spacing w:after="0"/>
              <w:rPr>
                <w:sz w:val="24"/>
                <w:szCs w:val="24"/>
                <w:color w:val="auto"/>
              </w:rPr>
            </w:pPr>
          </w:p>
        </w:tc>
        <w:tc>
          <w:tcPr>
            <w:tcW w:w="860" w:type="dxa"/>
            <w:vAlign w:val="bottom"/>
            <w:shd w:val="clear" w:color="auto" w:fill="E5E5E5"/>
          </w:tcPr>
          <w:p>
            <w:pPr>
              <w:spacing w:after="0"/>
              <w:rPr>
                <w:sz w:val="24"/>
                <w:szCs w:val="24"/>
                <w:color w:val="auto"/>
              </w:rPr>
            </w:pPr>
          </w:p>
        </w:tc>
        <w:tc>
          <w:tcPr>
            <w:tcW w:w="320" w:type="dxa"/>
            <w:vAlign w:val="bottom"/>
            <w:shd w:val="clear" w:color="auto" w:fill="E5E5E5"/>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860" w:type="dxa"/>
            <w:vAlign w:val="bottom"/>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220" w:type="dxa"/>
            <w:vAlign w:val="bottom"/>
          </w:tcPr>
          <w:p>
            <w:pPr>
              <w:ind w:left="40"/>
              <w:spacing w:after="0"/>
              <w:rPr>
                <w:sz w:val="20"/>
                <w:szCs w:val="20"/>
                <w:color w:val="auto"/>
              </w:rPr>
            </w:pPr>
            <w:r>
              <w:rPr>
                <w:rFonts w:ascii="Arial" w:cs="Arial" w:eastAsia="Arial" w:hAnsi="Arial"/>
                <w:sz w:val="13"/>
                <w:szCs w:val="13"/>
                <w:b w:val="1"/>
                <w:bCs w:val="1"/>
                <w:color w:val="auto"/>
              </w:rPr>
              <w:t>Joseph G. Henry</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220" w:type="dxa"/>
            <w:vAlign w:val="bottom"/>
          </w:tcPr>
          <w:p>
            <w:pPr>
              <w:ind w:left="40"/>
              <w:spacing w:after="0"/>
              <w:rPr>
                <w:sz w:val="20"/>
                <w:szCs w:val="20"/>
                <w:color w:val="auto"/>
              </w:rPr>
            </w:pPr>
            <w:r>
              <w:rPr>
                <w:rFonts w:ascii="Arial" w:cs="Arial" w:eastAsia="Arial" w:hAnsi="Arial"/>
                <w:sz w:val="13"/>
                <w:szCs w:val="13"/>
                <w:color w:val="auto"/>
              </w:rPr>
              <w:t>Stock Options</w:t>
            </w:r>
          </w:p>
        </w:tc>
        <w:tc>
          <w:tcPr>
            <w:tcW w:w="1000" w:type="dxa"/>
            <w:vAlign w:val="bottom"/>
            <w:gridSpan w:val="2"/>
            <w:vMerge w:val="restart"/>
          </w:tcPr>
          <w:p>
            <w:pPr>
              <w:jc w:val="right"/>
              <w:spacing w:after="0"/>
              <w:rPr>
                <w:sz w:val="20"/>
                <w:szCs w:val="20"/>
                <w:color w:val="auto"/>
              </w:rPr>
            </w:pPr>
            <w:r>
              <w:rPr>
                <w:rFonts w:ascii="Arial" w:cs="Arial" w:eastAsia="Arial" w:hAnsi="Arial"/>
                <w:sz w:val="13"/>
                <w:szCs w:val="13"/>
                <w:color w:val="auto"/>
              </w:rPr>
              <w:t>3/2/2015</w:t>
            </w:r>
          </w:p>
        </w:tc>
        <w:tc>
          <w:tcPr>
            <w:tcW w:w="120" w:type="dxa"/>
            <w:vAlign w:val="bottom"/>
          </w:tcPr>
          <w:p>
            <w:pPr>
              <w:spacing w:after="0"/>
              <w:rPr>
                <w:sz w:val="23"/>
                <w:szCs w:val="23"/>
                <w:color w:val="auto"/>
              </w:rPr>
            </w:pPr>
          </w:p>
        </w:tc>
        <w:tc>
          <w:tcPr>
            <w:tcW w:w="1000" w:type="dxa"/>
            <w:vAlign w:val="bottom"/>
            <w:vMerge w:val="restart"/>
          </w:tcPr>
          <w:p>
            <w:pPr>
              <w:jc w:val="right"/>
              <w:ind w:right="63"/>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ind w:right="83"/>
              <w:spacing w:after="0"/>
              <w:rPr>
                <w:sz w:val="20"/>
                <w:szCs w:val="20"/>
                <w:color w:val="auto"/>
              </w:rPr>
            </w:pPr>
            <w:r>
              <w:rPr>
                <w:rFonts w:ascii="Arial" w:cs="Arial" w:eastAsia="Arial" w:hAnsi="Arial"/>
                <w:sz w:val="13"/>
                <w:szCs w:val="13"/>
                <w:color w:val="auto"/>
              </w:rPr>
              <w:t>10,362</w:t>
            </w:r>
          </w:p>
        </w:tc>
        <w:tc>
          <w:tcPr>
            <w:tcW w:w="320" w:type="dxa"/>
            <w:vAlign w:val="bottom"/>
            <w:vMerge w:val="restart"/>
          </w:tcPr>
          <w:p>
            <w:pPr>
              <w:jc w:val="center"/>
              <w:ind w:right="155"/>
              <w:spacing w:after="0"/>
              <w:rPr>
                <w:sz w:val="20"/>
                <w:szCs w:val="20"/>
                <w:color w:val="auto"/>
              </w:rPr>
            </w:pPr>
            <w:r>
              <w:rPr>
                <w:rFonts w:ascii="Arial" w:cs="Arial" w:eastAsia="Arial" w:hAnsi="Arial"/>
                <w:sz w:val="9"/>
                <w:szCs w:val="9"/>
                <w:b w:val="1"/>
                <w:bCs w:val="1"/>
                <w:color w:val="auto"/>
              </w:rPr>
              <w:t>(4)</w:t>
            </w:r>
          </w:p>
        </w:tc>
        <w:tc>
          <w:tcPr>
            <w:tcW w:w="220" w:type="dxa"/>
            <w:vAlign w:val="bottom"/>
          </w:tcPr>
          <w:p>
            <w:pPr>
              <w:spacing w:after="0"/>
              <w:rPr>
                <w:sz w:val="23"/>
                <w:szCs w:val="23"/>
                <w:color w:val="auto"/>
              </w:rPr>
            </w:pPr>
          </w:p>
        </w:tc>
        <w:tc>
          <w:tcPr>
            <w:tcW w:w="640" w:type="dxa"/>
            <w:vAlign w:val="bottom"/>
            <w:vMerge w:val="restart"/>
          </w:tcPr>
          <w:p>
            <w:pPr>
              <w:jc w:val="right"/>
              <w:ind w:right="41"/>
              <w:spacing w:after="0"/>
              <w:rPr>
                <w:sz w:val="20"/>
                <w:szCs w:val="20"/>
                <w:color w:val="auto"/>
              </w:rPr>
            </w:pPr>
            <w:r>
              <w:rPr>
                <w:rFonts w:ascii="Arial" w:cs="Arial" w:eastAsia="Arial" w:hAnsi="Arial"/>
                <w:sz w:val="13"/>
                <w:szCs w:val="13"/>
                <w:color w:val="auto"/>
              </w:rPr>
              <w:t>23.62</w:t>
            </w:r>
          </w:p>
        </w:tc>
        <w:tc>
          <w:tcPr>
            <w:tcW w:w="1180" w:type="dxa"/>
            <w:vAlign w:val="bottom"/>
            <w:vMerge w:val="restart"/>
          </w:tcPr>
          <w:p>
            <w:pPr>
              <w:jc w:val="right"/>
              <w:ind w:right="501"/>
              <w:spacing w:after="0"/>
              <w:rPr>
                <w:sz w:val="20"/>
                <w:szCs w:val="20"/>
                <w:color w:val="auto"/>
              </w:rPr>
            </w:pPr>
            <w:r>
              <w:rPr>
                <w:rFonts w:ascii="Arial" w:cs="Arial" w:eastAsia="Arial" w:hAnsi="Arial"/>
                <w:sz w:val="13"/>
                <w:szCs w:val="13"/>
                <w:color w:val="auto"/>
              </w:rPr>
              <w:t>3/2/2025</w:t>
            </w: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12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40"/>
              <w:spacing w:after="0"/>
              <w:rPr>
                <w:sz w:val="20"/>
                <w:szCs w:val="20"/>
                <w:color w:val="auto"/>
              </w:rPr>
            </w:pPr>
            <w:r>
              <w:rPr>
                <w:rFonts w:ascii="Arial" w:cs="Arial" w:eastAsia="Arial" w:hAnsi="Arial"/>
                <w:sz w:val="13"/>
                <w:szCs w:val="13"/>
                <w:color w:val="auto"/>
              </w:rPr>
              <w:t>RSU</w:t>
            </w:r>
          </w:p>
        </w:tc>
        <w:tc>
          <w:tcPr>
            <w:tcW w:w="1000" w:type="dxa"/>
            <w:vAlign w:val="bottom"/>
            <w:gridSpan w:val="2"/>
            <w:vMerge w:val="restart"/>
          </w:tcPr>
          <w:p>
            <w:pPr>
              <w:jc w:val="right"/>
              <w:spacing w:after="0"/>
              <w:rPr>
                <w:sz w:val="20"/>
                <w:szCs w:val="20"/>
                <w:color w:val="auto"/>
              </w:rPr>
            </w:pPr>
            <w:r>
              <w:rPr>
                <w:rFonts w:ascii="Arial" w:cs="Arial" w:eastAsia="Arial" w:hAnsi="Arial"/>
                <w:sz w:val="13"/>
                <w:szCs w:val="13"/>
                <w:color w:val="auto"/>
              </w:rPr>
              <w:t>3/2/2015</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vMerge w:val="restart"/>
          </w:tcPr>
          <w:p>
            <w:pPr>
              <w:jc w:val="right"/>
              <w:ind w:right="59"/>
              <w:spacing w:after="0"/>
              <w:rPr>
                <w:sz w:val="20"/>
                <w:szCs w:val="20"/>
                <w:color w:val="auto"/>
              </w:rPr>
            </w:pPr>
            <w:r>
              <w:rPr>
                <w:rFonts w:ascii="Arial" w:cs="Arial" w:eastAsia="Arial" w:hAnsi="Arial"/>
                <w:sz w:val="13"/>
                <w:szCs w:val="13"/>
                <w:color w:val="auto"/>
              </w:rPr>
              <w:t>5,760</w:t>
            </w:r>
          </w:p>
        </w:tc>
        <w:tc>
          <w:tcPr>
            <w:tcW w:w="420" w:type="dxa"/>
            <w:vAlign w:val="bottom"/>
            <w:vMerge w:val="restart"/>
          </w:tcPr>
          <w:p>
            <w:pPr>
              <w:ind w:left="20"/>
              <w:spacing w:after="0"/>
              <w:rPr>
                <w:sz w:val="20"/>
                <w:szCs w:val="20"/>
                <w:color w:val="auto"/>
              </w:rPr>
            </w:pPr>
            <w:r>
              <w:rPr>
                <w:rFonts w:ascii="Arial" w:cs="Arial" w:eastAsia="Arial" w:hAnsi="Arial"/>
                <w:sz w:val="9"/>
                <w:szCs w:val="9"/>
                <w:b w:val="1"/>
                <w:bCs w:val="1"/>
                <w:color w:val="auto"/>
              </w:rPr>
              <w:t>(9)</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348,422</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2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40"/>
              <w:spacing w:after="0"/>
              <w:rPr>
                <w:sz w:val="20"/>
                <w:szCs w:val="20"/>
                <w:color w:val="auto"/>
              </w:rPr>
            </w:pPr>
            <w:r>
              <w:rPr>
                <w:rFonts w:ascii="Arial" w:cs="Arial" w:eastAsia="Arial" w:hAnsi="Arial"/>
                <w:sz w:val="13"/>
                <w:szCs w:val="13"/>
                <w:color w:val="auto"/>
              </w:rPr>
              <w:t>RSU</w:t>
            </w:r>
          </w:p>
        </w:tc>
        <w:tc>
          <w:tcPr>
            <w:tcW w:w="1000" w:type="dxa"/>
            <w:vAlign w:val="bottom"/>
            <w:gridSpan w:val="2"/>
            <w:vMerge w:val="restart"/>
          </w:tcPr>
          <w:p>
            <w:pPr>
              <w:jc w:val="right"/>
              <w:spacing w:after="0"/>
              <w:rPr>
                <w:sz w:val="20"/>
                <w:szCs w:val="20"/>
                <w:color w:val="auto"/>
              </w:rPr>
            </w:pPr>
            <w:r>
              <w:rPr>
                <w:rFonts w:ascii="Arial" w:cs="Arial" w:eastAsia="Arial" w:hAnsi="Arial"/>
                <w:sz w:val="13"/>
                <w:szCs w:val="13"/>
                <w:color w:val="auto"/>
              </w:rPr>
              <w:t>3/2/2015</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vMerge w:val="restart"/>
          </w:tcPr>
          <w:p>
            <w:pPr>
              <w:jc w:val="right"/>
              <w:ind w:right="59"/>
              <w:spacing w:after="0"/>
              <w:rPr>
                <w:sz w:val="20"/>
                <w:szCs w:val="20"/>
                <w:color w:val="auto"/>
              </w:rPr>
            </w:pPr>
            <w:r>
              <w:rPr>
                <w:rFonts w:ascii="Arial" w:cs="Arial" w:eastAsia="Arial" w:hAnsi="Arial"/>
                <w:sz w:val="13"/>
                <w:szCs w:val="13"/>
                <w:color w:val="auto"/>
              </w:rPr>
              <w:t>1,860</w:t>
            </w:r>
          </w:p>
        </w:tc>
        <w:tc>
          <w:tcPr>
            <w:tcW w:w="420" w:type="dxa"/>
            <w:vAlign w:val="bottom"/>
            <w:vMerge w:val="restart"/>
          </w:tcPr>
          <w:p>
            <w:pPr>
              <w:ind w:left="20"/>
              <w:spacing w:after="0"/>
              <w:rPr>
                <w:sz w:val="20"/>
                <w:szCs w:val="20"/>
                <w:color w:val="auto"/>
              </w:rPr>
            </w:pPr>
            <w:r>
              <w:rPr>
                <w:rFonts w:ascii="Arial" w:cs="Arial" w:eastAsia="Arial" w:hAnsi="Arial"/>
                <w:sz w:val="9"/>
                <w:szCs w:val="9"/>
                <w:b w:val="1"/>
                <w:bCs w:val="1"/>
                <w:color w:val="auto"/>
              </w:rPr>
              <w:t>(10)</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112,511</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2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40"/>
              <w:spacing w:after="0"/>
              <w:rPr>
                <w:sz w:val="20"/>
                <w:szCs w:val="20"/>
                <w:color w:val="auto"/>
              </w:rPr>
            </w:pPr>
            <w:r>
              <w:rPr>
                <w:rFonts w:ascii="Arial" w:cs="Arial" w:eastAsia="Arial" w:hAnsi="Arial"/>
                <w:sz w:val="13"/>
                <w:szCs w:val="13"/>
                <w:color w:val="auto"/>
              </w:rPr>
              <w:t>RSU</w:t>
            </w:r>
          </w:p>
        </w:tc>
        <w:tc>
          <w:tcPr>
            <w:tcW w:w="1000" w:type="dxa"/>
            <w:vAlign w:val="bottom"/>
            <w:gridSpan w:val="2"/>
            <w:vMerge w:val="restart"/>
          </w:tcPr>
          <w:p>
            <w:pPr>
              <w:jc w:val="right"/>
              <w:spacing w:after="0"/>
              <w:rPr>
                <w:sz w:val="20"/>
                <w:szCs w:val="20"/>
                <w:color w:val="auto"/>
              </w:rPr>
            </w:pPr>
            <w:r>
              <w:rPr>
                <w:rFonts w:ascii="Arial" w:cs="Arial" w:eastAsia="Arial" w:hAnsi="Arial"/>
                <w:sz w:val="13"/>
                <w:szCs w:val="13"/>
                <w:color w:val="auto"/>
              </w:rPr>
              <w:t>2/29/2016</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vMerge w:val="restart"/>
          </w:tcPr>
          <w:p>
            <w:pPr>
              <w:jc w:val="right"/>
              <w:ind w:right="59"/>
              <w:spacing w:after="0"/>
              <w:rPr>
                <w:sz w:val="20"/>
                <w:szCs w:val="20"/>
                <w:color w:val="auto"/>
              </w:rPr>
            </w:pPr>
            <w:r>
              <w:rPr>
                <w:rFonts w:ascii="Arial" w:cs="Arial" w:eastAsia="Arial" w:hAnsi="Arial"/>
                <w:sz w:val="13"/>
                <w:szCs w:val="13"/>
                <w:color w:val="auto"/>
              </w:rPr>
              <w:t>4,002</w:t>
            </w:r>
          </w:p>
        </w:tc>
        <w:tc>
          <w:tcPr>
            <w:tcW w:w="420" w:type="dxa"/>
            <w:vAlign w:val="bottom"/>
            <w:vMerge w:val="restart"/>
          </w:tcPr>
          <w:p>
            <w:pPr>
              <w:ind w:left="20"/>
              <w:spacing w:after="0"/>
              <w:rPr>
                <w:sz w:val="20"/>
                <w:szCs w:val="20"/>
                <w:color w:val="auto"/>
              </w:rPr>
            </w:pPr>
            <w:r>
              <w:rPr>
                <w:rFonts w:ascii="Arial" w:cs="Arial" w:eastAsia="Arial" w:hAnsi="Arial"/>
                <w:sz w:val="9"/>
                <w:szCs w:val="9"/>
                <w:b w:val="1"/>
                <w:bCs w:val="1"/>
                <w:color w:val="auto"/>
              </w:rPr>
              <w:t>(7)</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242,081</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2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40"/>
              <w:spacing w:after="0"/>
              <w:rPr>
                <w:sz w:val="20"/>
                <w:szCs w:val="20"/>
                <w:color w:val="auto"/>
              </w:rPr>
            </w:pPr>
            <w:r>
              <w:rPr>
                <w:rFonts w:ascii="Arial" w:cs="Arial" w:eastAsia="Arial" w:hAnsi="Arial"/>
                <w:sz w:val="13"/>
                <w:szCs w:val="13"/>
                <w:color w:val="auto"/>
              </w:rPr>
              <w:t>Performance RSU</w:t>
            </w:r>
          </w:p>
        </w:tc>
        <w:tc>
          <w:tcPr>
            <w:tcW w:w="1000" w:type="dxa"/>
            <w:vAlign w:val="bottom"/>
            <w:gridSpan w:val="2"/>
            <w:vMerge w:val="restart"/>
          </w:tcPr>
          <w:p>
            <w:pPr>
              <w:jc w:val="right"/>
              <w:spacing w:after="0"/>
              <w:rPr>
                <w:sz w:val="20"/>
                <w:szCs w:val="20"/>
                <w:color w:val="auto"/>
              </w:rPr>
            </w:pPr>
            <w:r>
              <w:rPr>
                <w:rFonts w:ascii="Arial" w:cs="Arial" w:eastAsia="Arial" w:hAnsi="Arial"/>
                <w:sz w:val="13"/>
                <w:szCs w:val="13"/>
                <w:color w:val="auto"/>
              </w:rPr>
              <w:t>2/29/2016</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8,710</w:t>
            </w:r>
          </w:p>
        </w:tc>
        <w:tc>
          <w:tcPr>
            <w:tcW w:w="320" w:type="dxa"/>
            <w:vAlign w:val="bottom"/>
            <w:vMerge w:val="restart"/>
          </w:tcPr>
          <w:p>
            <w:pPr>
              <w:jc w:val="right"/>
              <w:ind w:right="15"/>
              <w:spacing w:after="0"/>
              <w:rPr>
                <w:sz w:val="20"/>
                <w:szCs w:val="20"/>
                <w:color w:val="auto"/>
              </w:rPr>
            </w:pPr>
            <w:r>
              <w:rPr>
                <w:rFonts w:ascii="Arial" w:cs="Arial" w:eastAsia="Arial" w:hAnsi="Arial"/>
                <w:sz w:val="9"/>
                <w:szCs w:val="9"/>
                <w:b w:val="1"/>
                <w:bCs w:val="1"/>
                <w:color w:val="auto"/>
              </w:rPr>
              <w:t>(13 )</w:t>
            </w:r>
          </w:p>
        </w:tc>
        <w:tc>
          <w:tcPr>
            <w:tcW w:w="980" w:type="dxa"/>
            <w:vAlign w:val="bottom"/>
            <w:gridSpan w:val="2"/>
            <w:vMerge w:val="restart"/>
          </w:tcPr>
          <w:p>
            <w:pPr>
              <w:jc w:val="right"/>
              <w:ind w:right="44"/>
              <w:spacing w:after="0"/>
              <w:rPr>
                <w:sz w:val="20"/>
                <w:szCs w:val="20"/>
                <w:color w:val="auto"/>
              </w:rPr>
            </w:pPr>
            <w:r>
              <w:rPr>
                <w:rFonts w:ascii="Arial" w:cs="Arial" w:eastAsia="Arial" w:hAnsi="Arial"/>
                <w:sz w:val="13"/>
                <w:szCs w:val="13"/>
                <w:color w:val="auto"/>
              </w:rPr>
              <w:t>526,868</w:t>
            </w:r>
          </w:p>
        </w:tc>
        <w:tc>
          <w:tcPr>
            <w:tcW w:w="0" w:type="dxa"/>
            <w:vAlign w:val="bottom"/>
          </w:tcPr>
          <w:p>
            <w:pPr>
              <w:spacing w:after="0"/>
              <w:rPr>
                <w:sz w:val="1"/>
                <w:szCs w:val="1"/>
                <w:color w:val="auto"/>
              </w:rPr>
            </w:pPr>
          </w:p>
        </w:tc>
      </w:tr>
      <w:tr>
        <w:trPr>
          <w:trHeight w:val="81"/>
        </w:trPr>
        <w:tc>
          <w:tcPr>
            <w:tcW w:w="12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40"/>
              <w:spacing w:after="0"/>
              <w:rPr>
                <w:sz w:val="20"/>
                <w:szCs w:val="20"/>
                <w:color w:val="auto"/>
              </w:rPr>
            </w:pPr>
            <w:r>
              <w:rPr>
                <w:rFonts w:ascii="Arial" w:cs="Arial" w:eastAsia="Arial" w:hAnsi="Arial"/>
                <w:sz w:val="13"/>
                <w:szCs w:val="13"/>
                <w:color w:val="auto"/>
              </w:rPr>
              <w:t>RSU</w:t>
            </w:r>
          </w:p>
        </w:tc>
        <w:tc>
          <w:tcPr>
            <w:tcW w:w="1000" w:type="dxa"/>
            <w:vAlign w:val="bottom"/>
            <w:gridSpan w:val="2"/>
            <w:vMerge w:val="restart"/>
          </w:tcPr>
          <w:p>
            <w:pPr>
              <w:jc w:val="right"/>
              <w:spacing w:after="0"/>
              <w:rPr>
                <w:sz w:val="20"/>
                <w:szCs w:val="20"/>
                <w:color w:val="auto"/>
              </w:rPr>
            </w:pPr>
            <w:r>
              <w:rPr>
                <w:rFonts w:ascii="Arial" w:cs="Arial" w:eastAsia="Arial" w:hAnsi="Arial"/>
                <w:sz w:val="13"/>
                <w:szCs w:val="13"/>
                <w:color w:val="auto"/>
              </w:rPr>
              <w:t>3/2/2017</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vMerge w:val="restart"/>
          </w:tcPr>
          <w:p>
            <w:pPr>
              <w:jc w:val="right"/>
              <w:ind w:right="59"/>
              <w:spacing w:after="0"/>
              <w:rPr>
                <w:sz w:val="20"/>
                <w:szCs w:val="20"/>
                <w:color w:val="auto"/>
              </w:rPr>
            </w:pPr>
            <w:r>
              <w:rPr>
                <w:rFonts w:ascii="Arial" w:cs="Arial" w:eastAsia="Arial" w:hAnsi="Arial"/>
                <w:sz w:val="13"/>
                <w:szCs w:val="13"/>
                <w:color w:val="auto"/>
              </w:rPr>
              <w:t>4,614</w:t>
            </w:r>
          </w:p>
        </w:tc>
        <w:tc>
          <w:tcPr>
            <w:tcW w:w="420" w:type="dxa"/>
            <w:vAlign w:val="bottom"/>
            <w:vMerge w:val="restart"/>
          </w:tcPr>
          <w:p>
            <w:pPr>
              <w:ind w:left="20"/>
              <w:spacing w:after="0"/>
              <w:rPr>
                <w:sz w:val="20"/>
                <w:szCs w:val="20"/>
                <w:color w:val="auto"/>
              </w:rPr>
            </w:pPr>
            <w:r>
              <w:rPr>
                <w:rFonts w:ascii="Arial" w:cs="Arial" w:eastAsia="Arial" w:hAnsi="Arial"/>
                <w:sz w:val="9"/>
                <w:szCs w:val="9"/>
                <w:b w:val="1"/>
                <w:bCs w:val="1"/>
                <w:color w:val="auto"/>
              </w:rPr>
              <w:t>(8)</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279,101</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2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40"/>
              <w:spacing w:after="0"/>
              <w:rPr>
                <w:sz w:val="20"/>
                <w:szCs w:val="20"/>
                <w:color w:val="auto"/>
              </w:rPr>
            </w:pPr>
            <w:r>
              <w:rPr>
                <w:rFonts w:ascii="Arial" w:cs="Arial" w:eastAsia="Arial" w:hAnsi="Arial"/>
                <w:sz w:val="13"/>
                <w:szCs w:val="13"/>
                <w:color w:val="auto"/>
              </w:rPr>
              <w:t>Performance RSU</w:t>
            </w:r>
          </w:p>
        </w:tc>
        <w:tc>
          <w:tcPr>
            <w:tcW w:w="1000" w:type="dxa"/>
            <w:vAlign w:val="bottom"/>
            <w:gridSpan w:val="2"/>
            <w:vMerge w:val="restart"/>
          </w:tcPr>
          <w:p>
            <w:pPr>
              <w:jc w:val="right"/>
              <w:spacing w:after="0"/>
              <w:rPr>
                <w:sz w:val="20"/>
                <w:szCs w:val="20"/>
                <w:color w:val="auto"/>
              </w:rPr>
            </w:pPr>
            <w:r>
              <w:rPr>
                <w:rFonts w:ascii="Arial" w:cs="Arial" w:eastAsia="Arial" w:hAnsi="Arial"/>
                <w:sz w:val="13"/>
                <w:szCs w:val="13"/>
                <w:color w:val="auto"/>
              </w:rPr>
              <w:t>3/2/2017</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6,589</w:t>
            </w:r>
          </w:p>
        </w:tc>
        <w:tc>
          <w:tcPr>
            <w:tcW w:w="320" w:type="dxa"/>
            <w:vAlign w:val="bottom"/>
            <w:vMerge w:val="restart"/>
          </w:tcPr>
          <w:p>
            <w:pPr>
              <w:jc w:val="right"/>
              <w:ind w:right="15"/>
              <w:spacing w:after="0"/>
              <w:rPr>
                <w:sz w:val="20"/>
                <w:szCs w:val="20"/>
                <w:color w:val="auto"/>
              </w:rPr>
            </w:pPr>
            <w:r>
              <w:rPr>
                <w:rFonts w:ascii="Arial" w:cs="Arial" w:eastAsia="Arial" w:hAnsi="Arial"/>
                <w:sz w:val="9"/>
                <w:szCs w:val="9"/>
                <w:b w:val="1"/>
                <w:bCs w:val="1"/>
                <w:color w:val="auto"/>
              </w:rPr>
              <w:t>(14 )</w:t>
            </w:r>
          </w:p>
        </w:tc>
        <w:tc>
          <w:tcPr>
            <w:tcW w:w="980" w:type="dxa"/>
            <w:vAlign w:val="bottom"/>
            <w:gridSpan w:val="2"/>
            <w:vMerge w:val="restart"/>
          </w:tcPr>
          <w:p>
            <w:pPr>
              <w:jc w:val="right"/>
              <w:ind w:right="44"/>
              <w:spacing w:after="0"/>
              <w:rPr>
                <w:sz w:val="20"/>
                <w:szCs w:val="20"/>
                <w:color w:val="auto"/>
              </w:rPr>
            </w:pPr>
            <w:r>
              <w:rPr>
                <w:rFonts w:ascii="Arial" w:cs="Arial" w:eastAsia="Arial" w:hAnsi="Arial"/>
                <w:sz w:val="13"/>
                <w:szCs w:val="13"/>
                <w:color w:val="auto"/>
              </w:rPr>
              <w:t>398,569</w:t>
            </w:r>
          </w:p>
        </w:tc>
        <w:tc>
          <w:tcPr>
            <w:tcW w:w="0" w:type="dxa"/>
            <w:vAlign w:val="bottom"/>
          </w:tcPr>
          <w:p>
            <w:pPr>
              <w:spacing w:after="0"/>
              <w:rPr>
                <w:sz w:val="1"/>
                <w:szCs w:val="1"/>
                <w:color w:val="auto"/>
              </w:rPr>
            </w:pPr>
          </w:p>
        </w:tc>
      </w:tr>
      <w:tr>
        <w:trPr>
          <w:trHeight w:val="81"/>
        </w:trPr>
        <w:tc>
          <w:tcPr>
            <w:tcW w:w="12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-7930515</wp:posOffset>
            </wp:positionV>
            <wp:extent cx="547116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sectPr>
          <w:pgSz w:w="11900" w:h="16838" w:orient="portrait"/>
          <w:cols w:equalWidth="0" w:num="1">
            <w:col w:w="11420"/>
          </w:cols>
          <w:pgMar w:left="240" w:top="125" w:right="239" w:bottom="594" w:gutter="0" w:footer="0" w:header="0"/>
        </w:sectPr>
      </w:pPr>
    </w:p>
    <w:p>
      <w:pPr>
        <w:spacing w:after="0" w:line="200" w:lineRule="exact"/>
        <w:rPr>
          <w:sz w:val="20"/>
          <w:szCs w:val="20"/>
          <w:color w:val="auto"/>
        </w:rPr>
      </w:pPr>
    </w:p>
    <w:p>
      <w:pPr>
        <w:spacing w:after="0" w:line="275" w:lineRule="exact"/>
        <w:rPr>
          <w:sz w:val="20"/>
          <w:szCs w:val="20"/>
          <w:color w:val="auto"/>
        </w:rPr>
      </w:pPr>
    </w:p>
    <w:p>
      <w:pPr>
        <w:ind w:left="8160"/>
        <w:spacing w:after="0"/>
        <w:rPr>
          <w:sz w:val="20"/>
          <w:szCs w:val="20"/>
          <w:color w:val="auto"/>
        </w:rPr>
      </w:pPr>
      <w:r>
        <w:rPr>
          <w:sz w:val="1"/>
          <w:szCs w:val="1"/>
          <w:color w:val="auto"/>
        </w:rPr>
        <w:drawing>
          <wp:inline distT="0" distB="0" distL="0" distR="0">
            <wp:extent cx="488950" cy="20574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88950" cy="205740"/>
                    </a:xfrm>
                    <a:prstGeom prst="rect">
                      <a:avLst/>
                    </a:prstGeom>
                    <a:noFill/>
                    <a:ln>
                      <a:noFill/>
                    </a:ln>
                  </pic:spPr>
                </pic:pic>
              </a:graphicData>
            </a:graphic>
          </wp:inline>
        </w:drawing>
      </w:r>
      <w:r>
        <w:rPr>
          <w:rFonts w:ascii="Arial" w:cs="Arial" w:eastAsia="Arial" w:hAnsi="Arial"/>
          <w:sz w:val="17"/>
          <w:szCs w:val="17"/>
          <w:color w:val="auto"/>
        </w:rPr>
        <w:t xml:space="preserve"> 2018 PROXY STATEMENT </w:t>
      </w:r>
      <w:r>
        <w:rPr>
          <w:rFonts w:ascii="Arial" w:cs="Arial" w:eastAsia="Arial" w:hAnsi="Arial"/>
          <w:sz w:val="17"/>
          <w:szCs w:val="17"/>
          <w:b w:val="1"/>
          <w:bCs w:val="1"/>
          <w:color w:val="2C2C2C"/>
        </w:rPr>
        <w:t>45</w:t>
      </w:r>
    </w:p>
    <w:p>
      <w:pPr>
        <w:sectPr>
          <w:pgSz w:w="11900" w:h="16838" w:orient="portrait"/>
          <w:cols w:equalWidth="0" w:num="1">
            <w:col w:w="11420"/>
          </w:cols>
          <w:pgMar w:left="240" w:top="125" w:right="239" w:bottom="594" w:gutter="0" w:footer="0" w:header="0"/>
          <w:type w:val="continuous"/>
        </w:sectPr>
      </w:pPr>
    </w:p>
    <w:bookmarkStart w:id="54" w:name="page55"/>
    <w:bookmarkEnd w:id="54"/>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7240"/>
        <w:spacing w:after="0"/>
        <w:rPr>
          <w:sz w:val="20"/>
          <w:szCs w:val="20"/>
          <w:color w:val="auto"/>
        </w:rPr>
      </w:pPr>
      <w:r>
        <w:rPr>
          <w:rFonts w:ascii="Arial" w:cs="Arial" w:eastAsia="Arial" w:hAnsi="Arial"/>
          <w:sz w:val="14"/>
          <w:szCs w:val="14"/>
          <w:color w:val="auto"/>
        </w:rPr>
        <w:t>COMPENSATION OF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460" w:hanging="330"/>
        <w:spacing w:after="0"/>
        <w:tabs>
          <w:tab w:leader="none" w:pos="460" w:val="left"/>
        </w:tabs>
        <w:numPr>
          <w:ilvl w:val="0"/>
          <w:numId w:val="99"/>
        </w:numPr>
        <w:rPr>
          <w:rFonts w:ascii="Arial" w:cs="Arial" w:eastAsia="Arial" w:hAnsi="Arial"/>
          <w:sz w:val="14"/>
          <w:szCs w:val="14"/>
          <w:i w:val="1"/>
          <w:iCs w:val="1"/>
          <w:color w:val="auto"/>
        </w:rPr>
      </w:pPr>
      <w:r>
        <w:rPr>
          <w:rFonts w:ascii="Arial" w:cs="Arial" w:eastAsia="Arial" w:hAnsi="Arial"/>
          <w:sz w:val="14"/>
          <w:szCs w:val="14"/>
          <w:i w:val="1"/>
          <w:iCs w:val="1"/>
          <w:color w:val="auto"/>
        </w:rPr>
        <w:t>Number of securities underlying unexercised options and option exercise prices reflect adjustments made to option awards in connection with the spin-off.</w:t>
      </w:r>
    </w:p>
    <w:p>
      <w:pPr>
        <w:spacing w:after="0" w:line="15" w:lineRule="exact"/>
        <w:rPr>
          <w:rFonts w:ascii="Arial" w:cs="Arial" w:eastAsia="Arial" w:hAnsi="Arial"/>
          <w:sz w:val="14"/>
          <w:szCs w:val="14"/>
          <w:i w:val="1"/>
          <w:iCs w:val="1"/>
          <w:color w:val="auto"/>
        </w:rPr>
      </w:pPr>
    </w:p>
    <w:p>
      <w:pPr>
        <w:ind w:left="460" w:right="80" w:hanging="330"/>
        <w:spacing w:after="0" w:line="241" w:lineRule="auto"/>
        <w:tabs>
          <w:tab w:leader="none" w:pos="460" w:val="left"/>
        </w:tabs>
        <w:numPr>
          <w:ilvl w:val="0"/>
          <w:numId w:val="99"/>
        </w:numPr>
        <w:rPr>
          <w:rFonts w:ascii="Arial" w:cs="Arial" w:eastAsia="Arial" w:hAnsi="Arial"/>
          <w:sz w:val="14"/>
          <w:szCs w:val="14"/>
          <w:i w:val="1"/>
          <w:iCs w:val="1"/>
          <w:color w:val="auto"/>
        </w:rPr>
      </w:pPr>
      <w:r>
        <w:rPr>
          <w:rFonts w:ascii="Arial" w:cs="Arial" w:eastAsia="Arial" w:hAnsi="Arial"/>
          <w:sz w:val="14"/>
          <w:szCs w:val="14"/>
          <w:i w:val="1"/>
          <w:iCs w:val="1"/>
          <w:color w:val="auto"/>
        </w:rPr>
        <w:t>Stock awards shown include restricted stock units that have time-based vesting and performance shares that vest depending upon the attainment of specified performance goals. The number of stock awards and vesting schedules reflect adjustments made to stock awards in connection with the spin-off.</w:t>
      </w:r>
    </w:p>
    <w:p>
      <w:pPr>
        <w:ind w:left="460" w:hanging="330"/>
        <w:spacing w:after="0"/>
        <w:tabs>
          <w:tab w:leader="none" w:pos="460" w:val="left"/>
        </w:tabs>
        <w:numPr>
          <w:ilvl w:val="0"/>
          <w:numId w:val="99"/>
        </w:numPr>
        <w:rPr>
          <w:rFonts w:ascii="Arial" w:cs="Arial" w:eastAsia="Arial" w:hAnsi="Arial"/>
          <w:sz w:val="14"/>
          <w:szCs w:val="14"/>
          <w:i w:val="1"/>
          <w:iCs w:val="1"/>
          <w:color w:val="auto"/>
        </w:rPr>
      </w:pPr>
      <w:r>
        <w:rPr>
          <w:rFonts w:ascii="Arial" w:cs="Arial" w:eastAsia="Arial" w:hAnsi="Arial"/>
          <w:sz w:val="14"/>
          <w:szCs w:val="14"/>
          <w:i w:val="1"/>
          <w:iCs w:val="1"/>
          <w:color w:val="auto"/>
        </w:rPr>
        <w:t>Market values in this column are based on the closing price of company common stock as of December 29, 2017 ($60.49), as reported on the New York Stock Exchange.</w:t>
      </w:r>
    </w:p>
    <w:p>
      <w:pPr>
        <w:spacing w:after="0" w:line="1" w:lineRule="exact"/>
        <w:rPr>
          <w:rFonts w:ascii="Arial" w:cs="Arial" w:eastAsia="Arial" w:hAnsi="Arial"/>
          <w:sz w:val="14"/>
          <w:szCs w:val="14"/>
          <w:i w:val="1"/>
          <w:iCs w:val="1"/>
          <w:color w:val="auto"/>
        </w:rPr>
      </w:pPr>
    </w:p>
    <w:p>
      <w:pPr>
        <w:ind w:left="460" w:hanging="330"/>
        <w:spacing w:after="0"/>
        <w:tabs>
          <w:tab w:leader="none" w:pos="460" w:val="left"/>
        </w:tabs>
        <w:numPr>
          <w:ilvl w:val="0"/>
          <w:numId w:val="99"/>
        </w:numPr>
        <w:rPr>
          <w:rFonts w:ascii="Arial" w:cs="Arial" w:eastAsia="Arial" w:hAnsi="Arial"/>
          <w:sz w:val="14"/>
          <w:szCs w:val="14"/>
          <w:i w:val="1"/>
          <w:iCs w:val="1"/>
          <w:color w:val="auto"/>
        </w:rPr>
      </w:pPr>
      <w:r>
        <w:rPr>
          <w:rFonts w:ascii="Arial" w:cs="Arial" w:eastAsia="Arial" w:hAnsi="Arial"/>
          <w:sz w:val="14"/>
          <w:szCs w:val="14"/>
          <w:i w:val="1"/>
          <w:iCs w:val="1"/>
          <w:color w:val="auto"/>
        </w:rPr>
        <w:t>One-third of these stock options vested on March 2, 2016, one-third vested on March 2, 2017, and the remaining one-third vested on March 2, 2018.</w:t>
      </w:r>
    </w:p>
    <w:p>
      <w:pPr>
        <w:spacing w:after="0" w:line="1" w:lineRule="exact"/>
        <w:rPr>
          <w:rFonts w:ascii="Arial" w:cs="Arial" w:eastAsia="Arial" w:hAnsi="Arial"/>
          <w:sz w:val="14"/>
          <w:szCs w:val="14"/>
          <w:i w:val="1"/>
          <w:iCs w:val="1"/>
          <w:color w:val="auto"/>
        </w:rPr>
      </w:pPr>
    </w:p>
    <w:p>
      <w:pPr>
        <w:ind w:left="460" w:hanging="330"/>
        <w:spacing w:after="0"/>
        <w:tabs>
          <w:tab w:leader="none" w:pos="460" w:val="left"/>
        </w:tabs>
        <w:numPr>
          <w:ilvl w:val="0"/>
          <w:numId w:val="99"/>
        </w:numPr>
        <w:rPr>
          <w:rFonts w:ascii="Arial" w:cs="Arial" w:eastAsia="Arial" w:hAnsi="Arial"/>
          <w:sz w:val="14"/>
          <w:szCs w:val="14"/>
          <w:i w:val="1"/>
          <w:iCs w:val="1"/>
          <w:color w:val="auto"/>
        </w:rPr>
      </w:pPr>
      <w:r>
        <w:rPr>
          <w:rFonts w:ascii="Arial" w:cs="Arial" w:eastAsia="Arial" w:hAnsi="Arial"/>
          <w:sz w:val="14"/>
          <w:szCs w:val="14"/>
          <w:i w:val="1"/>
          <w:iCs w:val="1"/>
          <w:color w:val="auto"/>
        </w:rPr>
        <w:t>One-third of these stock options vested on July 1, 2016, one-third vested on July 1, 2017, and the remaining one-third will vest on July 1, 2018.</w:t>
      </w:r>
    </w:p>
    <w:p>
      <w:pPr>
        <w:spacing w:after="0" w:line="1" w:lineRule="exact"/>
        <w:rPr>
          <w:rFonts w:ascii="Arial" w:cs="Arial" w:eastAsia="Arial" w:hAnsi="Arial"/>
          <w:sz w:val="14"/>
          <w:szCs w:val="14"/>
          <w:i w:val="1"/>
          <w:iCs w:val="1"/>
          <w:color w:val="auto"/>
        </w:rPr>
      </w:pPr>
    </w:p>
    <w:p>
      <w:pPr>
        <w:ind w:left="460" w:right="200" w:hanging="330"/>
        <w:spacing w:after="0" w:line="241" w:lineRule="auto"/>
        <w:tabs>
          <w:tab w:leader="none" w:pos="460" w:val="left"/>
        </w:tabs>
        <w:numPr>
          <w:ilvl w:val="0"/>
          <w:numId w:val="99"/>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final one-third of RSUs granted vesting in one-third increments beginning on the first anniversary of the grant date. These RSUs will vest on November 9, 2018.</w:t>
      </w:r>
    </w:p>
    <w:p>
      <w:pPr>
        <w:ind w:left="460" w:right="80" w:hanging="330"/>
        <w:spacing w:after="0" w:line="241" w:lineRule="auto"/>
        <w:tabs>
          <w:tab w:leader="none" w:pos="460" w:val="left"/>
        </w:tabs>
        <w:numPr>
          <w:ilvl w:val="0"/>
          <w:numId w:val="99"/>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remaining two-thirds of RSUs granted with vesting in one-third increments beginning with the first anniversary of the grant date. An additional one-third (50% of the unvested RSUs shown) vested on March 1, 2018 and the remaining one-third will vest on March 1, 2019.</w:t>
      </w:r>
    </w:p>
    <w:p>
      <w:pPr>
        <w:ind w:left="460" w:right="140" w:hanging="330"/>
        <w:spacing w:after="0" w:line="241" w:lineRule="auto"/>
        <w:tabs>
          <w:tab w:leader="none" w:pos="460" w:val="left"/>
        </w:tabs>
        <w:numPr>
          <w:ilvl w:val="0"/>
          <w:numId w:val="99"/>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100% of RSUs granted with vesting in one-third increments beginning with the first anniversary of the grant date. One-third of these RSUs vested on March 2, 2018, and the remaining RSUs will vest in equal installments on March 2, 2019 and 2020.</w:t>
      </w:r>
    </w:p>
    <w:p>
      <w:pPr>
        <w:ind w:left="460" w:hanging="330"/>
        <w:spacing w:after="0"/>
        <w:tabs>
          <w:tab w:leader="none" w:pos="460" w:val="left"/>
        </w:tabs>
        <w:numPr>
          <w:ilvl w:val="0"/>
          <w:numId w:val="99"/>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100% of RSUs granted with vesting on the third-anniversary of the grant date. These RSUs vested on March 2, 2018.</w:t>
      </w:r>
    </w:p>
    <w:p>
      <w:pPr>
        <w:spacing w:after="0" w:line="1" w:lineRule="exact"/>
        <w:rPr>
          <w:rFonts w:ascii="Arial" w:cs="Arial" w:eastAsia="Arial" w:hAnsi="Arial"/>
          <w:sz w:val="14"/>
          <w:szCs w:val="14"/>
          <w:i w:val="1"/>
          <w:iCs w:val="1"/>
          <w:color w:val="auto"/>
        </w:rPr>
      </w:pPr>
    </w:p>
    <w:p>
      <w:pPr>
        <w:ind w:left="460" w:hanging="330"/>
        <w:spacing w:after="0"/>
        <w:tabs>
          <w:tab w:leader="none" w:pos="460" w:val="left"/>
        </w:tabs>
        <w:numPr>
          <w:ilvl w:val="0"/>
          <w:numId w:val="99"/>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final one-third of RSUs granted which vested on on March 2, 2018.</w:t>
      </w:r>
    </w:p>
    <w:p>
      <w:pPr>
        <w:spacing w:after="0" w:line="1" w:lineRule="exact"/>
        <w:rPr>
          <w:rFonts w:ascii="Arial" w:cs="Arial" w:eastAsia="Arial" w:hAnsi="Arial"/>
          <w:sz w:val="14"/>
          <w:szCs w:val="14"/>
          <w:i w:val="1"/>
          <w:iCs w:val="1"/>
          <w:color w:val="auto"/>
        </w:rPr>
      </w:pPr>
    </w:p>
    <w:p>
      <w:pPr>
        <w:ind w:left="460" w:hanging="330"/>
        <w:spacing w:after="0"/>
        <w:tabs>
          <w:tab w:leader="none" w:pos="460" w:val="left"/>
        </w:tabs>
        <w:numPr>
          <w:ilvl w:val="0"/>
          <w:numId w:val="99"/>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100% of RSUs granted with vesting on the third-anniversary of the grant date. These RSUs will vest on July 1, 2018.</w:t>
      </w:r>
    </w:p>
    <w:p>
      <w:pPr>
        <w:spacing w:after="0" w:line="1" w:lineRule="exact"/>
        <w:rPr>
          <w:rFonts w:ascii="Arial" w:cs="Arial" w:eastAsia="Arial" w:hAnsi="Arial"/>
          <w:sz w:val="14"/>
          <w:szCs w:val="14"/>
          <w:i w:val="1"/>
          <w:iCs w:val="1"/>
          <w:color w:val="auto"/>
        </w:rPr>
      </w:pPr>
    </w:p>
    <w:p>
      <w:pPr>
        <w:ind w:left="460" w:hanging="330"/>
        <w:spacing w:after="0"/>
        <w:tabs>
          <w:tab w:leader="none" w:pos="460" w:val="left"/>
        </w:tabs>
        <w:numPr>
          <w:ilvl w:val="0"/>
          <w:numId w:val="99"/>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final one-third of RSUs granted which will vest on on July 1, 2018.</w:t>
      </w:r>
    </w:p>
    <w:p>
      <w:pPr>
        <w:spacing w:after="0" w:line="1" w:lineRule="exact"/>
        <w:rPr>
          <w:rFonts w:ascii="Arial" w:cs="Arial" w:eastAsia="Arial" w:hAnsi="Arial"/>
          <w:sz w:val="14"/>
          <w:szCs w:val="14"/>
          <w:i w:val="1"/>
          <w:iCs w:val="1"/>
          <w:color w:val="auto"/>
        </w:rPr>
      </w:pPr>
    </w:p>
    <w:p>
      <w:pPr>
        <w:ind w:left="460" w:hanging="330"/>
        <w:spacing w:after="0" w:line="241" w:lineRule="auto"/>
        <w:tabs>
          <w:tab w:leader="none" w:pos="460" w:val="left"/>
        </w:tabs>
        <w:numPr>
          <w:ilvl w:val="0"/>
          <w:numId w:val="99"/>
        </w:numPr>
        <w:rPr>
          <w:rFonts w:ascii="Arial" w:cs="Arial" w:eastAsia="Arial" w:hAnsi="Arial"/>
          <w:sz w:val="14"/>
          <w:szCs w:val="14"/>
          <w:i w:val="1"/>
          <w:iCs w:val="1"/>
          <w:color w:val="auto"/>
        </w:rPr>
      </w:pPr>
      <w:r>
        <w:rPr>
          <w:rFonts w:ascii="Arial" w:cs="Arial" w:eastAsia="Arial" w:hAnsi="Arial"/>
          <w:sz w:val="14"/>
          <w:szCs w:val="14"/>
          <w:i w:val="1"/>
          <w:iCs w:val="1"/>
          <w:color w:val="auto"/>
        </w:rPr>
        <w:t>These performance RSUs represent the right to receive one share of our common stock for each performance RSU that vests. The number and value of performance RSUs that vest depend upon the attainment of specified performance goals. The number and value of performance RSUs reported are based on achieving target performance levels. These performance RSUs are generally scheduled to vest 100% on March 1, 2019.</w:t>
      </w:r>
    </w:p>
    <w:p>
      <w:pPr>
        <w:spacing w:after="0" w:line="1" w:lineRule="exact"/>
        <w:rPr>
          <w:rFonts w:ascii="Arial" w:cs="Arial" w:eastAsia="Arial" w:hAnsi="Arial"/>
          <w:sz w:val="14"/>
          <w:szCs w:val="14"/>
          <w:i w:val="1"/>
          <w:iCs w:val="1"/>
          <w:color w:val="auto"/>
        </w:rPr>
      </w:pPr>
    </w:p>
    <w:p>
      <w:pPr>
        <w:ind w:left="460" w:hanging="330"/>
        <w:spacing w:after="0" w:line="247" w:lineRule="auto"/>
        <w:tabs>
          <w:tab w:leader="none" w:pos="460" w:val="left"/>
        </w:tabs>
        <w:numPr>
          <w:ilvl w:val="0"/>
          <w:numId w:val="99"/>
        </w:numPr>
        <w:rPr>
          <w:rFonts w:ascii="Arial" w:cs="Arial" w:eastAsia="Arial" w:hAnsi="Arial"/>
          <w:sz w:val="14"/>
          <w:szCs w:val="14"/>
          <w:i w:val="1"/>
          <w:iCs w:val="1"/>
          <w:color w:val="auto"/>
        </w:rPr>
      </w:pPr>
      <w:r>
        <w:rPr>
          <w:rFonts w:ascii="Arial" w:cs="Arial" w:eastAsia="Arial" w:hAnsi="Arial"/>
          <w:sz w:val="14"/>
          <w:szCs w:val="14"/>
          <w:i w:val="1"/>
          <w:iCs w:val="1"/>
          <w:color w:val="auto"/>
        </w:rPr>
        <w:t>These performance RSUs represent the right to receive one share of our common stock for each performance RSU that vests. The number and value of performance RSUs that vest depend upon the attainment of specified performance goals. The number and value of performance RSUs reported are based on achieving threshold performance levels. These performance RSUs are generally scheduled to vest 100% on March 2, 2020. See the "Grants of Plan-Based Awards" table for more information about performance RSUs.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Vesting of Option Awards</w:t>
      </w:r>
    </w:p>
    <w:p>
      <w:pPr>
        <w:spacing w:after="0" w:line="112"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Each option represents the right to purchase one share of Company common stock at the exercise price. Options generally expire ten years from the grant date. The stock options are generally scheduled to vest and become exercisable one-third each year beginning one year from the grant date.</w:t>
      </w:r>
    </w:p>
    <w:p>
      <w:pPr>
        <w:spacing w:after="0" w:line="14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option awards granted in 2015 are subject to an additional accelerated vesting schedule if the Named Executive retires after attaining age 65 or is involuntarily terminated due to a reduction in force prior to the third anniversary of the applicable grant date. If such Named Executive retires or is involuntarily terminated due to a reduction in force after the first anniversary of the grant date but prior to the second anniversary of the grant date, 25% of the then-unvested stock options will vest upon the Named Executive’s retirement or termination. If such Named Executive retires or is involuntarily terminated due to a reduction in force after the second anniversary of the grant date but prior to the third anniversary of the grant date, 50% of the then-unvested stock options will vest upon the Named Executive’s retirement or termination.</w:t>
      </w:r>
    </w:p>
    <w:p>
      <w:pPr>
        <w:spacing w:after="0" w:line="15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In connection with the spin-off, the exercise price and number of shares covered by option awards granted in 2015 were adjusted to preserve the intrinsic value of the original option and the ratio of the exercise price to the fair market value of the stock subject to the option.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Vesting of Restricted Stock Units</w:t>
      </w:r>
    </w:p>
    <w:p>
      <w:pPr>
        <w:spacing w:after="0" w:line="13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Except as noted below, restricted stock units generally vest one-third each year. Prior to the spin-off, the Company granted performance restricted stock units that represented the right to receive one share of Company common stock for each performance restricted stock unit that would vest. The number and value of performance restricted stock units that would vest depended upon the attainment of specified performance goals. Performance restricted stock units were generally scheduled to vest fully three years after the grant date. As a result of the spin-off, unvested performance restricted stock units were converted into (1) adjusted Company restricted stock units with time-based vesting and (2) a corresponding Babcock &amp; Wilcox Enterprises, Inc. ("BWE") award subject to the same vesting schedule as the Company awards, but covering half as many BWE shares as reflected in the table above, which, when combined, generally preserved the value of the original award (assuming achievement of target performance goals). Except as noted below, these restricted stock units generally vest fully at the end of a three-year period and are not tied to performance conditions or the attainment of specified performance goals.</w:t>
      </w:r>
    </w:p>
    <w:p>
      <w:pPr>
        <w:spacing w:after="0" w:line="78"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In connection with the spin-off, restricted stock units granted in 2015 prior to the spin-off to Named Executives who remained officers of the Company were adjusted to generally preserve the value of the original award.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2C2C2C"/>
        </w:rPr>
        <w:t xml:space="preserve">46 </w:t>
      </w:r>
      <w:r>
        <w:rPr>
          <w:sz w:val="1"/>
          <w:szCs w:val="1"/>
          <w:color w:val="auto"/>
        </w:rPr>
        <w:drawing>
          <wp:inline distT="0" distB="0" distL="0" distR="0">
            <wp:extent cx="445770" cy="18034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45770" cy="180340"/>
                    </a:xfrm>
                    <a:prstGeom prst="rect">
                      <a:avLst/>
                    </a:prstGeom>
                    <a:noFill/>
                    <a:ln>
                      <a:noFill/>
                    </a:ln>
                  </pic:spPr>
                </pic:pic>
              </a:graphicData>
            </a:graphic>
          </wp:inline>
        </w:drawing>
      </w:r>
      <w:r>
        <w:rPr>
          <w:rFonts w:ascii="Arial" w:cs="Arial" w:eastAsia="Arial" w:hAnsi="Arial"/>
          <w:sz w:val="18"/>
          <w:szCs w:val="18"/>
          <w:color w:val="auto"/>
        </w:rPr>
        <w:t xml:space="preserve"> 2018 PROXY STATEMENT</w:t>
      </w:r>
    </w:p>
    <w:p>
      <w:pPr>
        <w:sectPr>
          <w:pgSz w:w="11900" w:h="16838" w:orient="portrait"/>
          <w:cols w:equalWidth="0" w:num="1">
            <w:col w:w="11400"/>
          </w:cols>
          <w:pgMar w:left="240" w:top="125" w:right="259" w:bottom="1440" w:gutter="0" w:footer="0" w:header="0"/>
        </w:sectPr>
      </w:pPr>
    </w:p>
    <w:bookmarkStart w:id="55" w:name="page56"/>
    <w:bookmarkEnd w:id="55"/>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left="960"/>
        <w:spacing w:after="0"/>
        <w:rPr>
          <w:sz w:val="20"/>
          <w:szCs w:val="20"/>
          <w:color w:val="auto"/>
        </w:rPr>
      </w:pPr>
      <w:r>
        <w:rPr>
          <w:rFonts w:ascii="Arial" w:cs="Arial" w:eastAsia="Arial" w:hAnsi="Arial"/>
          <w:sz w:val="14"/>
          <w:szCs w:val="14"/>
          <w:color w:val="auto"/>
        </w:rPr>
        <w:t>COMPENSATION OF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 EXERCISES AND STOCK VESTED IN 2017</w:t>
      </w:r>
    </w:p>
    <w:p>
      <w:pPr>
        <w:spacing w:after="0" w:line="103"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 following Option Exercises and Stock Vested table provides additional information about the value realized by our Named Executives on the exercise of option awards and vesting of BWXT stock awards during the year ended December 31, 2017.</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780" w:type="dxa"/>
            <w:vAlign w:val="bottom"/>
            <w:shd w:val="clear" w:color="auto" w:fill="525252"/>
          </w:tcPr>
          <w:p>
            <w:pPr>
              <w:spacing w:after="0"/>
              <w:rPr>
                <w:sz w:val="22"/>
                <w:szCs w:val="22"/>
                <w:color w:val="auto"/>
              </w:rPr>
            </w:pPr>
          </w:p>
        </w:tc>
        <w:tc>
          <w:tcPr>
            <w:tcW w:w="3940" w:type="dxa"/>
            <w:vAlign w:val="bottom"/>
            <w:gridSpan w:val="3"/>
            <w:shd w:val="clear" w:color="auto" w:fill="525252"/>
          </w:tcPr>
          <w:p>
            <w:pPr>
              <w:jc w:val="right"/>
              <w:ind w:right="1375"/>
              <w:spacing w:after="0"/>
              <w:rPr>
                <w:sz w:val="20"/>
                <w:szCs w:val="20"/>
                <w:color w:val="auto"/>
              </w:rPr>
            </w:pPr>
            <w:r>
              <w:rPr>
                <w:rFonts w:ascii="Arial" w:cs="Arial" w:eastAsia="Arial" w:hAnsi="Arial"/>
                <w:sz w:val="14"/>
                <w:szCs w:val="14"/>
                <w:b w:val="1"/>
                <w:bCs w:val="1"/>
                <w:color w:val="FFFFFF"/>
              </w:rPr>
              <w:t>Option Awards</w:t>
            </w:r>
          </w:p>
        </w:tc>
        <w:tc>
          <w:tcPr>
            <w:tcW w:w="3700" w:type="dxa"/>
            <w:vAlign w:val="bottom"/>
            <w:gridSpan w:val="3"/>
            <w:shd w:val="clear" w:color="auto" w:fill="525252"/>
          </w:tcPr>
          <w:p>
            <w:pPr>
              <w:jc w:val="right"/>
              <w:ind w:right="1295"/>
              <w:spacing w:after="0"/>
              <w:rPr>
                <w:sz w:val="20"/>
                <w:szCs w:val="20"/>
                <w:color w:val="auto"/>
              </w:rPr>
            </w:pPr>
            <w:r>
              <w:rPr>
                <w:rFonts w:ascii="Arial" w:cs="Arial" w:eastAsia="Arial" w:hAnsi="Arial"/>
                <w:sz w:val="14"/>
                <w:szCs w:val="14"/>
                <w:b w:val="1"/>
                <w:bCs w:val="1"/>
                <w:color w:val="FFFFFF"/>
              </w:rPr>
              <w:t>Stock Awards</w:t>
            </w:r>
          </w:p>
        </w:tc>
      </w:tr>
      <w:tr>
        <w:trPr>
          <w:trHeight w:val="201"/>
        </w:trPr>
        <w:tc>
          <w:tcPr>
            <w:tcW w:w="3780" w:type="dxa"/>
            <w:vAlign w:val="bottom"/>
            <w:shd w:val="clear" w:color="auto" w:fill="525252"/>
          </w:tcPr>
          <w:p>
            <w:pPr>
              <w:spacing w:after="0"/>
              <w:rPr>
                <w:sz w:val="17"/>
                <w:szCs w:val="17"/>
                <w:color w:val="auto"/>
              </w:rPr>
            </w:pPr>
          </w:p>
        </w:tc>
        <w:tc>
          <w:tcPr>
            <w:tcW w:w="1960" w:type="dxa"/>
            <w:vAlign w:val="bottom"/>
            <w:shd w:val="clear" w:color="auto" w:fill="525252"/>
          </w:tcPr>
          <w:p>
            <w:pPr>
              <w:jc w:val="center"/>
              <w:ind w:left="38"/>
              <w:spacing w:after="0"/>
              <w:rPr>
                <w:sz w:val="20"/>
                <w:szCs w:val="20"/>
                <w:color w:val="auto"/>
              </w:rPr>
            </w:pPr>
            <w:r>
              <w:rPr>
                <w:rFonts w:ascii="Arial" w:cs="Arial" w:eastAsia="Arial" w:hAnsi="Arial"/>
                <w:sz w:val="14"/>
                <w:szCs w:val="14"/>
                <w:b w:val="1"/>
                <w:bCs w:val="1"/>
                <w:color w:val="FFFFFF"/>
              </w:rPr>
              <w:t>Number of</w:t>
            </w:r>
          </w:p>
        </w:tc>
        <w:tc>
          <w:tcPr>
            <w:tcW w:w="340" w:type="dxa"/>
            <w:vAlign w:val="bottom"/>
            <w:shd w:val="clear" w:color="auto" w:fill="525252"/>
          </w:tcPr>
          <w:p>
            <w:pPr>
              <w:spacing w:after="0"/>
              <w:rPr>
                <w:sz w:val="17"/>
                <w:szCs w:val="17"/>
                <w:color w:val="auto"/>
              </w:rPr>
            </w:pPr>
          </w:p>
        </w:tc>
        <w:tc>
          <w:tcPr>
            <w:tcW w:w="1640" w:type="dxa"/>
            <w:vAlign w:val="bottom"/>
            <w:shd w:val="clear" w:color="auto" w:fill="525252"/>
          </w:tcPr>
          <w:p>
            <w:pPr>
              <w:spacing w:after="0"/>
              <w:rPr>
                <w:sz w:val="17"/>
                <w:szCs w:val="17"/>
                <w:color w:val="auto"/>
              </w:rPr>
            </w:pPr>
          </w:p>
        </w:tc>
        <w:tc>
          <w:tcPr>
            <w:tcW w:w="1760" w:type="dxa"/>
            <w:vAlign w:val="bottom"/>
            <w:shd w:val="clear" w:color="auto" w:fill="525252"/>
          </w:tcPr>
          <w:p>
            <w:pPr>
              <w:jc w:val="center"/>
              <w:spacing w:after="0"/>
              <w:rPr>
                <w:sz w:val="20"/>
                <w:szCs w:val="20"/>
                <w:color w:val="auto"/>
              </w:rPr>
            </w:pPr>
            <w:r>
              <w:rPr>
                <w:rFonts w:ascii="Arial" w:cs="Arial" w:eastAsia="Arial" w:hAnsi="Arial"/>
                <w:sz w:val="14"/>
                <w:szCs w:val="14"/>
                <w:b w:val="1"/>
                <w:bCs w:val="1"/>
                <w:color w:val="FFFFFF"/>
              </w:rPr>
              <w:t>Number of</w:t>
            </w:r>
          </w:p>
        </w:tc>
        <w:tc>
          <w:tcPr>
            <w:tcW w:w="380" w:type="dxa"/>
            <w:vAlign w:val="bottom"/>
            <w:shd w:val="clear" w:color="auto" w:fill="525252"/>
          </w:tcPr>
          <w:p>
            <w:pPr>
              <w:spacing w:after="0"/>
              <w:rPr>
                <w:sz w:val="17"/>
                <w:szCs w:val="17"/>
                <w:color w:val="auto"/>
              </w:rPr>
            </w:pPr>
          </w:p>
        </w:tc>
        <w:tc>
          <w:tcPr>
            <w:tcW w:w="1560" w:type="dxa"/>
            <w:vAlign w:val="bottom"/>
            <w:shd w:val="clear" w:color="auto" w:fill="525252"/>
          </w:tcPr>
          <w:p>
            <w:pPr>
              <w:spacing w:after="0"/>
              <w:rPr>
                <w:sz w:val="17"/>
                <w:szCs w:val="17"/>
                <w:color w:val="auto"/>
              </w:rPr>
            </w:pPr>
          </w:p>
        </w:tc>
      </w:tr>
      <w:tr>
        <w:trPr>
          <w:trHeight w:val="162"/>
        </w:trPr>
        <w:tc>
          <w:tcPr>
            <w:tcW w:w="3780" w:type="dxa"/>
            <w:vAlign w:val="bottom"/>
            <w:shd w:val="clear" w:color="auto" w:fill="525252"/>
          </w:tcPr>
          <w:p>
            <w:pPr>
              <w:spacing w:after="0"/>
              <w:rPr>
                <w:sz w:val="14"/>
                <w:szCs w:val="14"/>
                <w:color w:val="auto"/>
              </w:rPr>
            </w:pPr>
          </w:p>
        </w:tc>
        <w:tc>
          <w:tcPr>
            <w:tcW w:w="1960" w:type="dxa"/>
            <w:vAlign w:val="bottom"/>
            <w:shd w:val="clear" w:color="auto" w:fill="525252"/>
          </w:tcPr>
          <w:p>
            <w:pPr>
              <w:jc w:val="center"/>
              <w:ind w:left="18"/>
              <w:spacing w:after="0"/>
              <w:rPr>
                <w:sz w:val="20"/>
                <w:szCs w:val="20"/>
                <w:color w:val="auto"/>
              </w:rPr>
            </w:pPr>
            <w:r>
              <w:rPr>
                <w:rFonts w:ascii="Arial" w:cs="Arial" w:eastAsia="Arial" w:hAnsi="Arial"/>
                <w:sz w:val="14"/>
                <w:szCs w:val="14"/>
                <w:b w:val="1"/>
                <w:bCs w:val="1"/>
                <w:color w:val="FFFFFF"/>
              </w:rPr>
              <w:t>Shares Acquired</w:t>
            </w:r>
          </w:p>
        </w:tc>
        <w:tc>
          <w:tcPr>
            <w:tcW w:w="340" w:type="dxa"/>
            <w:vAlign w:val="bottom"/>
            <w:shd w:val="clear" w:color="auto" w:fill="525252"/>
          </w:tcPr>
          <w:p>
            <w:pPr>
              <w:spacing w:after="0"/>
              <w:rPr>
                <w:sz w:val="14"/>
                <w:szCs w:val="14"/>
                <w:color w:val="auto"/>
              </w:rPr>
            </w:pPr>
          </w:p>
        </w:tc>
        <w:tc>
          <w:tcPr>
            <w:tcW w:w="1640" w:type="dxa"/>
            <w:vAlign w:val="bottom"/>
            <w:shd w:val="clear" w:color="auto" w:fill="525252"/>
          </w:tcPr>
          <w:p>
            <w:pPr>
              <w:jc w:val="right"/>
              <w:ind w:right="435"/>
              <w:spacing w:after="0"/>
              <w:rPr>
                <w:sz w:val="20"/>
                <w:szCs w:val="20"/>
                <w:color w:val="auto"/>
              </w:rPr>
            </w:pPr>
            <w:r>
              <w:rPr>
                <w:rFonts w:ascii="Arial" w:cs="Arial" w:eastAsia="Arial" w:hAnsi="Arial"/>
                <w:sz w:val="14"/>
                <w:szCs w:val="14"/>
                <w:b w:val="1"/>
                <w:bCs w:val="1"/>
                <w:color w:val="FFFFFF"/>
              </w:rPr>
              <w:t>Value Realized</w:t>
            </w:r>
          </w:p>
        </w:tc>
        <w:tc>
          <w:tcPr>
            <w:tcW w:w="1760" w:type="dxa"/>
            <w:vAlign w:val="bottom"/>
            <w:shd w:val="clear" w:color="auto" w:fill="525252"/>
          </w:tcPr>
          <w:p>
            <w:pPr>
              <w:jc w:val="center"/>
              <w:spacing w:after="0"/>
              <w:rPr>
                <w:sz w:val="20"/>
                <w:szCs w:val="20"/>
                <w:color w:val="auto"/>
              </w:rPr>
            </w:pPr>
            <w:r>
              <w:rPr>
                <w:rFonts w:ascii="Arial" w:cs="Arial" w:eastAsia="Arial" w:hAnsi="Arial"/>
                <w:sz w:val="14"/>
                <w:szCs w:val="14"/>
                <w:b w:val="1"/>
                <w:bCs w:val="1"/>
                <w:color w:val="FFFFFF"/>
              </w:rPr>
              <w:t>Shares Acquired</w:t>
            </w:r>
          </w:p>
        </w:tc>
        <w:tc>
          <w:tcPr>
            <w:tcW w:w="380" w:type="dxa"/>
            <w:vAlign w:val="bottom"/>
            <w:shd w:val="clear" w:color="auto" w:fill="525252"/>
          </w:tcPr>
          <w:p>
            <w:pPr>
              <w:spacing w:after="0"/>
              <w:rPr>
                <w:sz w:val="14"/>
                <w:szCs w:val="14"/>
                <w:color w:val="auto"/>
              </w:rPr>
            </w:pPr>
          </w:p>
        </w:tc>
        <w:tc>
          <w:tcPr>
            <w:tcW w:w="1560" w:type="dxa"/>
            <w:vAlign w:val="bottom"/>
            <w:shd w:val="clear" w:color="auto" w:fill="525252"/>
          </w:tcPr>
          <w:p>
            <w:pPr>
              <w:jc w:val="right"/>
              <w:ind w:right="335"/>
              <w:spacing w:after="0"/>
              <w:rPr>
                <w:sz w:val="20"/>
                <w:szCs w:val="20"/>
                <w:color w:val="auto"/>
              </w:rPr>
            </w:pPr>
            <w:r>
              <w:rPr>
                <w:rFonts w:ascii="Arial" w:cs="Arial" w:eastAsia="Arial" w:hAnsi="Arial"/>
                <w:sz w:val="14"/>
                <w:szCs w:val="14"/>
                <w:b w:val="1"/>
                <w:bCs w:val="1"/>
                <w:color w:val="FFFFFF"/>
              </w:rPr>
              <w:t>Value Realized</w:t>
            </w:r>
          </w:p>
        </w:tc>
      </w:tr>
      <w:tr>
        <w:trPr>
          <w:trHeight w:val="202"/>
        </w:trPr>
        <w:tc>
          <w:tcPr>
            <w:tcW w:w="3780" w:type="dxa"/>
            <w:vAlign w:val="bottom"/>
            <w:shd w:val="clear" w:color="auto" w:fill="525252"/>
          </w:tcPr>
          <w:p>
            <w:pPr>
              <w:ind w:left="40"/>
              <w:spacing w:after="0"/>
              <w:rPr>
                <w:sz w:val="20"/>
                <w:szCs w:val="20"/>
                <w:color w:val="auto"/>
              </w:rPr>
            </w:pPr>
            <w:r>
              <w:rPr>
                <w:rFonts w:ascii="Arial" w:cs="Arial" w:eastAsia="Arial" w:hAnsi="Arial"/>
                <w:sz w:val="14"/>
                <w:szCs w:val="14"/>
                <w:b w:val="1"/>
                <w:bCs w:val="1"/>
                <w:color w:val="FFFFFF"/>
              </w:rPr>
              <w:t>Name</w:t>
            </w:r>
          </w:p>
        </w:tc>
        <w:tc>
          <w:tcPr>
            <w:tcW w:w="1960" w:type="dxa"/>
            <w:vAlign w:val="bottom"/>
            <w:shd w:val="clear" w:color="auto" w:fill="525252"/>
          </w:tcPr>
          <w:p>
            <w:pPr>
              <w:jc w:val="center"/>
              <w:ind w:left="18"/>
              <w:spacing w:after="0"/>
              <w:rPr>
                <w:sz w:val="20"/>
                <w:szCs w:val="20"/>
                <w:color w:val="auto"/>
              </w:rPr>
            </w:pPr>
            <w:r>
              <w:rPr>
                <w:rFonts w:ascii="Arial" w:cs="Arial" w:eastAsia="Arial" w:hAnsi="Arial"/>
                <w:sz w:val="14"/>
                <w:szCs w:val="14"/>
                <w:b w:val="1"/>
                <w:bCs w:val="1"/>
                <w:color w:val="FFFFFF"/>
              </w:rPr>
              <w:t>on Exercise (#)</w:t>
            </w:r>
          </w:p>
        </w:tc>
        <w:tc>
          <w:tcPr>
            <w:tcW w:w="340" w:type="dxa"/>
            <w:vAlign w:val="bottom"/>
            <w:shd w:val="clear" w:color="auto" w:fill="525252"/>
          </w:tcPr>
          <w:p>
            <w:pPr>
              <w:spacing w:after="0"/>
              <w:rPr>
                <w:sz w:val="17"/>
                <w:szCs w:val="17"/>
                <w:color w:val="auto"/>
              </w:rPr>
            </w:pPr>
          </w:p>
        </w:tc>
        <w:tc>
          <w:tcPr>
            <w:tcW w:w="1640" w:type="dxa"/>
            <w:vAlign w:val="bottom"/>
            <w:shd w:val="clear" w:color="auto" w:fill="525252"/>
          </w:tcPr>
          <w:p>
            <w:pPr>
              <w:jc w:val="right"/>
              <w:ind w:right="535"/>
              <w:spacing w:after="0"/>
              <w:rPr>
                <w:sz w:val="20"/>
                <w:szCs w:val="20"/>
                <w:color w:val="auto"/>
              </w:rPr>
            </w:pPr>
            <w:r>
              <w:rPr>
                <w:rFonts w:ascii="Arial" w:cs="Arial" w:eastAsia="Arial" w:hAnsi="Arial"/>
                <w:sz w:val="14"/>
                <w:szCs w:val="14"/>
                <w:b w:val="1"/>
                <w:bCs w:val="1"/>
                <w:color w:val="FFFFFF"/>
              </w:rPr>
              <w:t>on Exercise</w:t>
            </w:r>
          </w:p>
        </w:tc>
        <w:tc>
          <w:tcPr>
            <w:tcW w:w="1760" w:type="dxa"/>
            <w:vAlign w:val="bottom"/>
            <w:shd w:val="clear" w:color="auto" w:fill="525252"/>
          </w:tcPr>
          <w:p>
            <w:pPr>
              <w:jc w:val="center"/>
              <w:spacing w:after="0"/>
              <w:rPr>
                <w:sz w:val="20"/>
                <w:szCs w:val="20"/>
                <w:color w:val="auto"/>
              </w:rPr>
            </w:pPr>
            <w:r>
              <w:rPr>
                <w:rFonts w:ascii="Arial" w:cs="Arial" w:eastAsia="Arial" w:hAnsi="Arial"/>
                <w:sz w:val="14"/>
                <w:szCs w:val="14"/>
                <w:b w:val="1"/>
                <w:bCs w:val="1"/>
                <w:color w:val="FFFFFF"/>
              </w:rPr>
              <w:t>on Vesting (#)</w:t>
            </w:r>
          </w:p>
        </w:tc>
        <w:tc>
          <w:tcPr>
            <w:tcW w:w="380" w:type="dxa"/>
            <w:vAlign w:val="bottom"/>
            <w:shd w:val="clear" w:color="auto" w:fill="525252"/>
          </w:tcPr>
          <w:p>
            <w:pPr>
              <w:spacing w:after="0"/>
              <w:rPr>
                <w:sz w:val="17"/>
                <w:szCs w:val="17"/>
                <w:color w:val="auto"/>
              </w:rPr>
            </w:pPr>
          </w:p>
        </w:tc>
        <w:tc>
          <w:tcPr>
            <w:tcW w:w="1560" w:type="dxa"/>
            <w:vAlign w:val="bottom"/>
            <w:shd w:val="clear" w:color="auto" w:fill="525252"/>
          </w:tcPr>
          <w:p>
            <w:pPr>
              <w:jc w:val="right"/>
              <w:ind w:right="475"/>
              <w:spacing w:after="0"/>
              <w:rPr>
                <w:sz w:val="20"/>
                <w:szCs w:val="20"/>
                <w:color w:val="auto"/>
              </w:rPr>
            </w:pPr>
            <w:r>
              <w:rPr>
                <w:rFonts w:ascii="Arial" w:cs="Arial" w:eastAsia="Arial" w:hAnsi="Arial"/>
                <w:sz w:val="14"/>
                <w:szCs w:val="14"/>
                <w:b w:val="1"/>
                <w:bCs w:val="1"/>
                <w:color w:val="FFFFFF"/>
              </w:rPr>
              <w:t>on Vesting</w:t>
            </w:r>
          </w:p>
        </w:tc>
      </w:tr>
      <w:tr>
        <w:trPr>
          <w:trHeight w:val="263"/>
        </w:trPr>
        <w:tc>
          <w:tcPr>
            <w:tcW w:w="3780" w:type="dxa"/>
            <w:vAlign w:val="bottom"/>
          </w:tcPr>
          <w:p>
            <w:pPr>
              <w:ind w:left="40"/>
              <w:spacing w:after="0"/>
              <w:rPr>
                <w:sz w:val="20"/>
                <w:szCs w:val="20"/>
                <w:color w:val="auto"/>
              </w:rPr>
            </w:pPr>
            <w:r>
              <w:rPr>
                <w:rFonts w:ascii="Arial" w:cs="Arial" w:eastAsia="Arial" w:hAnsi="Arial"/>
                <w:sz w:val="18"/>
                <w:szCs w:val="18"/>
                <w:color w:val="auto"/>
              </w:rPr>
              <w:t>Rex D. Geveden</w:t>
            </w:r>
          </w:p>
        </w:tc>
        <w:tc>
          <w:tcPr>
            <w:tcW w:w="196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640" w:type="dxa"/>
            <w:vAlign w:val="bottom"/>
          </w:tcPr>
          <w:p>
            <w:pPr>
              <w:jc w:val="right"/>
              <w:ind w:right="195"/>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38"/>
              <w:spacing w:after="0"/>
              <w:rPr>
                <w:sz w:val="20"/>
                <w:szCs w:val="20"/>
                <w:color w:val="auto"/>
              </w:rPr>
            </w:pPr>
            <w:r>
              <w:rPr>
                <w:rFonts w:ascii="Arial" w:cs="Arial" w:eastAsia="Arial" w:hAnsi="Arial"/>
                <w:sz w:val="18"/>
                <w:szCs w:val="18"/>
                <w:color w:val="auto"/>
              </w:rPr>
              <w:t>12,163</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665,747</w:t>
            </w:r>
          </w:p>
        </w:tc>
      </w:tr>
      <w:tr>
        <w:trPr>
          <w:trHeight w:val="277"/>
        </w:trPr>
        <w:tc>
          <w:tcPr>
            <w:tcW w:w="3780" w:type="dxa"/>
            <w:vAlign w:val="bottom"/>
            <w:shd w:val="clear" w:color="auto" w:fill="E5E5E5"/>
          </w:tcPr>
          <w:p>
            <w:pPr>
              <w:ind w:left="40"/>
              <w:spacing w:after="0"/>
              <w:rPr>
                <w:sz w:val="20"/>
                <w:szCs w:val="20"/>
                <w:color w:val="auto"/>
              </w:rPr>
            </w:pPr>
            <w:r>
              <w:rPr>
                <w:rFonts w:ascii="Arial" w:cs="Arial" w:eastAsia="Arial" w:hAnsi="Arial"/>
                <w:sz w:val="18"/>
                <w:szCs w:val="18"/>
                <w:color w:val="auto"/>
              </w:rPr>
              <w:t>David S. Black</w:t>
            </w:r>
          </w:p>
        </w:tc>
        <w:tc>
          <w:tcPr>
            <w:tcW w:w="1960" w:type="dxa"/>
            <w:vAlign w:val="bottom"/>
            <w:shd w:val="clear" w:color="auto" w:fill="E5E5E5"/>
          </w:tcPr>
          <w:p>
            <w:pPr>
              <w:jc w:val="right"/>
              <w:ind w:right="38"/>
              <w:spacing w:after="0"/>
              <w:rPr>
                <w:sz w:val="20"/>
                <w:szCs w:val="20"/>
                <w:color w:val="auto"/>
              </w:rPr>
            </w:pPr>
            <w:r>
              <w:rPr>
                <w:rFonts w:ascii="Arial" w:cs="Arial" w:eastAsia="Arial" w:hAnsi="Arial"/>
                <w:sz w:val="18"/>
                <w:szCs w:val="18"/>
                <w:color w:val="auto"/>
              </w:rPr>
              <w:t>23,355</w:t>
            </w:r>
          </w:p>
        </w:tc>
        <w:tc>
          <w:tcPr>
            <w:tcW w:w="34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574,044</w:t>
            </w:r>
          </w:p>
        </w:tc>
        <w:tc>
          <w:tcPr>
            <w:tcW w:w="1760" w:type="dxa"/>
            <w:vAlign w:val="bottom"/>
            <w:shd w:val="clear" w:color="auto" w:fill="E5E5E5"/>
          </w:tcPr>
          <w:p>
            <w:pPr>
              <w:jc w:val="right"/>
              <w:ind w:right="38"/>
              <w:spacing w:after="0"/>
              <w:rPr>
                <w:sz w:val="20"/>
                <w:szCs w:val="20"/>
                <w:color w:val="auto"/>
              </w:rPr>
            </w:pPr>
            <w:r>
              <w:rPr>
                <w:rFonts w:ascii="Arial" w:cs="Arial" w:eastAsia="Arial" w:hAnsi="Arial"/>
                <w:sz w:val="18"/>
                <w:szCs w:val="18"/>
                <w:color w:val="auto"/>
              </w:rPr>
              <w:t>9,616</w:t>
            </w:r>
          </w:p>
        </w:tc>
        <w:tc>
          <w:tcPr>
            <w:tcW w:w="380" w:type="dxa"/>
            <w:vAlign w:val="bottom"/>
            <w:shd w:val="clear" w:color="auto" w:fill="E5E5E5"/>
          </w:tcPr>
          <w:p>
            <w:pPr>
              <w:spacing w:after="0"/>
              <w:rPr>
                <w:sz w:val="24"/>
                <w:szCs w:val="24"/>
                <w:color w:val="auto"/>
              </w:rPr>
            </w:pPr>
          </w:p>
        </w:tc>
        <w:tc>
          <w:tcPr>
            <w:tcW w:w="156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460,424</w:t>
            </w:r>
          </w:p>
        </w:tc>
      </w:tr>
      <w:tr>
        <w:trPr>
          <w:trHeight w:val="270"/>
        </w:trPr>
        <w:tc>
          <w:tcPr>
            <w:tcW w:w="3780" w:type="dxa"/>
            <w:vAlign w:val="bottom"/>
          </w:tcPr>
          <w:p>
            <w:pPr>
              <w:ind w:left="40"/>
              <w:spacing w:after="0"/>
              <w:rPr>
                <w:sz w:val="20"/>
                <w:szCs w:val="20"/>
                <w:color w:val="auto"/>
              </w:rPr>
            </w:pPr>
            <w:r>
              <w:rPr>
                <w:rFonts w:ascii="Arial" w:cs="Arial" w:eastAsia="Arial" w:hAnsi="Arial"/>
                <w:sz w:val="18"/>
                <w:szCs w:val="18"/>
                <w:color w:val="auto"/>
              </w:rPr>
              <w:t>John A. Fees</w:t>
            </w:r>
            <w:r>
              <w:rPr>
                <w:rFonts w:ascii="Arial" w:cs="Arial" w:eastAsia="Arial" w:hAnsi="Arial"/>
                <w:sz w:val="21"/>
                <w:szCs w:val="21"/>
                <w:color w:val="auto"/>
                <w:vertAlign w:val="superscript"/>
              </w:rPr>
              <w:t>(1)</w:t>
            </w:r>
          </w:p>
        </w:tc>
        <w:tc>
          <w:tcPr>
            <w:tcW w:w="196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640" w:type="dxa"/>
            <w:vAlign w:val="bottom"/>
          </w:tcPr>
          <w:p>
            <w:pPr>
              <w:jc w:val="right"/>
              <w:ind w:right="195"/>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38"/>
              <w:spacing w:after="0"/>
              <w:rPr>
                <w:sz w:val="20"/>
                <w:szCs w:val="20"/>
                <w:color w:val="auto"/>
              </w:rPr>
            </w:pPr>
            <w:r>
              <w:rPr>
                <w:rFonts w:ascii="Arial" w:cs="Arial" w:eastAsia="Arial" w:hAnsi="Arial"/>
                <w:sz w:val="18"/>
                <w:szCs w:val="18"/>
                <w:color w:val="auto"/>
              </w:rPr>
              <w:t>4,752</w:t>
            </w:r>
          </w:p>
        </w:tc>
        <w:tc>
          <w:tcPr>
            <w:tcW w:w="380" w:type="dxa"/>
            <w:vAlign w:val="bottom"/>
          </w:tcPr>
          <w:p>
            <w:pPr>
              <w:spacing w:after="0"/>
              <w:rPr>
                <w:sz w:val="23"/>
                <w:szCs w:val="23"/>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228,144</w:t>
            </w:r>
          </w:p>
        </w:tc>
      </w:tr>
      <w:tr>
        <w:trPr>
          <w:trHeight w:val="270"/>
        </w:trPr>
        <w:tc>
          <w:tcPr>
            <w:tcW w:w="3780" w:type="dxa"/>
            <w:vAlign w:val="bottom"/>
            <w:shd w:val="clear" w:color="auto" w:fill="E5E5E5"/>
          </w:tcPr>
          <w:p>
            <w:pPr>
              <w:ind w:left="40"/>
              <w:spacing w:after="0"/>
              <w:rPr>
                <w:sz w:val="20"/>
                <w:szCs w:val="20"/>
                <w:color w:val="auto"/>
              </w:rPr>
            </w:pPr>
            <w:r>
              <w:rPr>
                <w:rFonts w:ascii="Arial" w:cs="Arial" w:eastAsia="Arial" w:hAnsi="Arial"/>
                <w:sz w:val="18"/>
                <w:szCs w:val="18"/>
                <w:color w:val="auto"/>
              </w:rPr>
              <w:t>James D. Canafax</w:t>
            </w:r>
          </w:p>
        </w:tc>
        <w:tc>
          <w:tcPr>
            <w:tcW w:w="1960" w:type="dxa"/>
            <w:vAlign w:val="bottom"/>
            <w:shd w:val="clear" w:color="auto" w:fill="E5E5E5"/>
          </w:tcPr>
          <w:p>
            <w:pPr>
              <w:jc w:val="right"/>
              <w:ind w:right="38"/>
              <w:spacing w:after="0"/>
              <w:rPr>
                <w:sz w:val="20"/>
                <w:szCs w:val="20"/>
                <w:color w:val="auto"/>
              </w:rPr>
            </w:pPr>
            <w:r>
              <w:rPr>
                <w:rFonts w:ascii="Arial" w:cs="Arial" w:eastAsia="Arial" w:hAnsi="Arial"/>
                <w:sz w:val="18"/>
                <w:szCs w:val="18"/>
                <w:color w:val="auto"/>
              </w:rPr>
              <w:t>141,512</w:t>
            </w:r>
          </w:p>
        </w:tc>
        <w:tc>
          <w:tcPr>
            <w:tcW w:w="340" w:type="dxa"/>
            <w:vAlign w:val="bottom"/>
            <w:shd w:val="clear" w:color="auto" w:fill="E5E5E5"/>
          </w:tcPr>
          <w:p>
            <w:pPr>
              <w:spacing w:after="0"/>
              <w:rPr>
                <w:sz w:val="23"/>
                <w:szCs w:val="23"/>
                <w:color w:val="auto"/>
              </w:rPr>
            </w:pPr>
          </w:p>
        </w:tc>
        <w:tc>
          <w:tcPr>
            <w:tcW w:w="164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3,622,343</w:t>
            </w:r>
          </w:p>
        </w:tc>
        <w:tc>
          <w:tcPr>
            <w:tcW w:w="1760" w:type="dxa"/>
            <w:vAlign w:val="bottom"/>
            <w:shd w:val="clear" w:color="auto" w:fill="E5E5E5"/>
          </w:tcPr>
          <w:p>
            <w:pPr>
              <w:jc w:val="right"/>
              <w:ind w:right="38"/>
              <w:spacing w:after="0"/>
              <w:rPr>
                <w:sz w:val="20"/>
                <w:szCs w:val="20"/>
                <w:color w:val="auto"/>
              </w:rPr>
            </w:pPr>
            <w:r>
              <w:rPr>
                <w:rFonts w:ascii="Arial" w:cs="Arial" w:eastAsia="Arial" w:hAnsi="Arial"/>
                <w:sz w:val="18"/>
                <w:szCs w:val="18"/>
                <w:color w:val="auto"/>
              </w:rPr>
              <w:t>20,936</w:t>
            </w:r>
          </w:p>
        </w:tc>
        <w:tc>
          <w:tcPr>
            <w:tcW w:w="380" w:type="dxa"/>
            <w:vAlign w:val="bottom"/>
            <w:shd w:val="clear" w:color="auto" w:fill="E5E5E5"/>
          </w:tcPr>
          <w:p>
            <w:pPr>
              <w:spacing w:after="0"/>
              <w:rPr>
                <w:sz w:val="23"/>
                <w:szCs w:val="23"/>
                <w:color w:val="auto"/>
              </w:rPr>
            </w:pPr>
          </w:p>
        </w:tc>
        <w:tc>
          <w:tcPr>
            <w:tcW w:w="156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999,856</w:t>
            </w:r>
          </w:p>
        </w:tc>
      </w:tr>
      <w:tr>
        <w:trPr>
          <w:trHeight w:val="264"/>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Joseph G. Henry</w:t>
            </w:r>
          </w:p>
        </w:tc>
        <w:tc>
          <w:tcPr>
            <w:tcW w:w="19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43,257</w:t>
            </w:r>
          </w:p>
        </w:tc>
        <w:tc>
          <w:tcPr>
            <w:tcW w:w="3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1,114,891</w:t>
            </w:r>
          </w:p>
        </w:tc>
        <w:tc>
          <w:tcPr>
            <w:tcW w:w="17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7,894</w:t>
            </w:r>
          </w:p>
        </w:tc>
        <w:tc>
          <w:tcPr>
            <w:tcW w:w="3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376,969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-1217295</wp:posOffset>
            </wp:positionV>
            <wp:extent cx="477647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pacing w:after="0" w:line="133" w:lineRule="exact"/>
        <w:rPr>
          <w:sz w:val="20"/>
          <w:szCs w:val="20"/>
          <w:color w:val="auto"/>
        </w:rPr>
      </w:pPr>
    </w:p>
    <w:p>
      <w:pPr>
        <w:ind w:left="460" w:right="220" w:hanging="330"/>
        <w:spacing w:after="0" w:line="260" w:lineRule="auto"/>
        <w:tabs>
          <w:tab w:leader="none" w:pos="460" w:val="left"/>
        </w:tabs>
        <w:numPr>
          <w:ilvl w:val="0"/>
          <w:numId w:val="100"/>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 reported in the Stock Awards – Value Realized on vesting column represents the realized value of the restricted stock units that Mr. Fees elected to defer pursuant to the terms of our 2010 LTIP. Notwithstanding the deferral election, a small number of shares were withheld for required FICA tax withholding as set forth in the table below.</w:t>
      </w:r>
    </w:p>
    <w:p>
      <w:pPr>
        <w:spacing w:after="0" w:line="16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auto"/>
        </w:rPr>
        <w:t xml:space="preserve">Stock Awards. </w:t>
      </w:r>
      <w:r>
        <w:rPr>
          <w:rFonts w:ascii="Arial" w:cs="Arial" w:eastAsia="Arial" w:hAnsi="Arial"/>
          <w:sz w:val="18"/>
          <w:szCs w:val="18"/>
          <w:color w:val="auto"/>
        </w:rPr>
        <w:t>For each Named Executive, the amounts reported in the number of shares acquired on vesting column in the table above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 the aggregate number of shares of our common stock acquired by the Named Executive in connection with restricted stock units and restricted stock awarded under our 2010 LTIP that vested in 2017. The amounts reported in the value realized on vesting column were calculated by multiplying the number of shares acquired on the date of vesting by the closing price of our common stock on the date of vesting.</w:t>
      </w:r>
    </w:p>
    <w:p>
      <w:pPr>
        <w:spacing w:after="0" w:line="6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 number of shares acquired in connection with the vesting of restricted stock units includes shares withheld by us in the amounts and for the Named Executives reported below to satisfy the minimum statutory withholding tax due on vesting as set forth below for each Named Executive.</w:t>
      </w:r>
    </w:p>
    <w:p>
      <w:pPr>
        <w:spacing w:after="0" w:line="122" w:lineRule="exact"/>
        <w:rPr>
          <w:sz w:val="20"/>
          <w:szCs w:val="20"/>
          <w:color w:val="auto"/>
        </w:rPr>
      </w:pPr>
    </w:p>
    <w:tbl>
      <w:tblPr>
        <w:tblLayout w:type="fixed"/>
        <w:tblInd w:w="3200" w:type="dxa"/>
        <w:tblCellMar>
          <w:top w:w="0" w:type="dxa"/>
          <w:left w:w="0" w:type="dxa"/>
          <w:bottom w:w="0" w:type="dxa"/>
          <w:right w:w="0" w:type="dxa"/>
        </w:tblCellMar>
      </w:tblPr>
      <w:tr>
        <w:trPr>
          <w:trHeight w:val="176"/>
        </w:trPr>
        <w:tc>
          <w:tcPr>
            <w:tcW w:w="2120" w:type="dxa"/>
            <w:vAlign w:val="bottom"/>
            <w:shd w:val="clear" w:color="auto" w:fill="525252"/>
          </w:tcPr>
          <w:p>
            <w:pPr>
              <w:spacing w:after="0"/>
              <w:rPr>
                <w:sz w:val="15"/>
                <w:szCs w:val="15"/>
                <w:color w:val="auto"/>
              </w:rPr>
            </w:pPr>
          </w:p>
        </w:tc>
        <w:tc>
          <w:tcPr>
            <w:tcW w:w="2900" w:type="dxa"/>
            <w:vAlign w:val="bottom"/>
            <w:shd w:val="clear" w:color="auto" w:fill="525252"/>
          </w:tcPr>
          <w:p>
            <w:pPr>
              <w:jc w:val="center"/>
              <w:ind w:left="337"/>
              <w:spacing w:after="0"/>
              <w:rPr>
                <w:sz w:val="20"/>
                <w:szCs w:val="20"/>
                <w:color w:val="auto"/>
              </w:rPr>
            </w:pPr>
            <w:r>
              <w:rPr>
                <w:rFonts w:ascii="Arial" w:cs="Arial" w:eastAsia="Arial" w:hAnsi="Arial"/>
                <w:sz w:val="14"/>
                <w:szCs w:val="14"/>
                <w:b w:val="1"/>
                <w:bCs w:val="1"/>
                <w:color w:val="FFFFFF"/>
              </w:rPr>
              <w:t>Shares Withheld on Vesting of</w:t>
            </w:r>
          </w:p>
        </w:tc>
      </w:tr>
      <w:tr>
        <w:trPr>
          <w:trHeight w:val="162"/>
        </w:trPr>
        <w:tc>
          <w:tcPr>
            <w:tcW w:w="2120" w:type="dxa"/>
            <w:vAlign w:val="bottom"/>
            <w:shd w:val="clear" w:color="auto" w:fill="525252"/>
          </w:tcPr>
          <w:p>
            <w:pPr>
              <w:spacing w:after="0"/>
              <w:rPr>
                <w:sz w:val="14"/>
                <w:szCs w:val="14"/>
                <w:color w:val="auto"/>
              </w:rPr>
            </w:pPr>
          </w:p>
        </w:tc>
        <w:tc>
          <w:tcPr>
            <w:tcW w:w="2900" w:type="dxa"/>
            <w:vAlign w:val="bottom"/>
            <w:shd w:val="clear" w:color="auto" w:fill="525252"/>
          </w:tcPr>
          <w:p>
            <w:pPr>
              <w:jc w:val="center"/>
              <w:ind w:left="377"/>
              <w:spacing w:after="0"/>
              <w:rPr>
                <w:sz w:val="20"/>
                <w:szCs w:val="20"/>
                <w:color w:val="auto"/>
              </w:rPr>
            </w:pPr>
            <w:r>
              <w:rPr>
                <w:rFonts w:ascii="Arial" w:cs="Arial" w:eastAsia="Arial" w:hAnsi="Arial"/>
                <w:sz w:val="14"/>
                <w:szCs w:val="14"/>
                <w:b w:val="1"/>
                <w:bCs w:val="1"/>
                <w:color w:val="FFFFFF"/>
              </w:rPr>
              <w:t>Restricted Stock and</w:t>
            </w:r>
          </w:p>
        </w:tc>
      </w:tr>
      <w:tr>
        <w:trPr>
          <w:trHeight w:val="202"/>
        </w:trPr>
        <w:tc>
          <w:tcPr>
            <w:tcW w:w="2120" w:type="dxa"/>
            <w:vAlign w:val="bottom"/>
            <w:shd w:val="clear" w:color="auto" w:fill="525252"/>
          </w:tcPr>
          <w:p>
            <w:pPr>
              <w:ind w:left="40"/>
              <w:spacing w:after="0"/>
              <w:rPr>
                <w:sz w:val="20"/>
                <w:szCs w:val="20"/>
                <w:color w:val="auto"/>
              </w:rPr>
            </w:pPr>
            <w:r>
              <w:rPr>
                <w:rFonts w:ascii="Arial" w:cs="Arial" w:eastAsia="Arial" w:hAnsi="Arial"/>
                <w:sz w:val="14"/>
                <w:szCs w:val="14"/>
                <w:b w:val="1"/>
                <w:bCs w:val="1"/>
                <w:color w:val="FFFFFF"/>
              </w:rPr>
              <w:t>Name</w:t>
            </w:r>
          </w:p>
        </w:tc>
        <w:tc>
          <w:tcPr>
            <w:tcW w:w="2900" w:type="dxa"/>
            <w:vAlign w:val="bottom"/>
            <w:shd w:val="clear" w:color="auto" w:fill="525252"/>
          </w:tcPr>
          <w:p>
            <w:pPr>
              <w:jc w:val="center"/>
              <w:ind w:left="357"/>
              <w:spacing w:after="0"/>
              <w:rPr>
                <w:sz w:val="20"/>
                <w:szCs w:val="20"/>
                <w:color w:val="auto"/>
              </w:rPr>
            </w:pPr>
            <w:r>
              <w:rPr>
                <w:rFonts w:ascii="Arial" w:cs="Arial" w:eastAsia="Arial" w:hAnsi="Arial"/>
                <w:sz w:val="14"/>
                <w:szCs w:val="14"/>
                <w:b w:val="1"/>
                <w:bCs w:val="1"/>
                <w:color w:val="FFFFFF"/>
              </w:rPr>
              <w:t>Restricted Stock Units</w:t>
            </w:r>
          </w:p>
        </w:tc>
      </w:tr>
      <w:tr>
        <w:trPr>
          <w:trHeight w:val="250"/>
        </w:trPr>
        <w:tc>
          <w:tcPr>
            <w:tcW w:w="2120" w:type="dxa"/>
            <w:vAlign w:val="bottom"/>
          </w:tcPr>
          <w:p>
            <w:pPr>
              <w:ind w:left="40"/>
              <w:spacing w:after="0"/>
              <w:rPr>
                <w:sz w:val="20"/>
                <w:szCs w:val="20"/>
                <w:color w:val="auto"/>
              </w:rPr>
            </w:pPr>
            <w:r>
              <w:rPr>
                <w:rFonts w:ascii="Arial" w:cs="Arial" w:eastAsia="Arial" w:hAnsi="Arial"/>
                <w:sz w:val="18"/>
                <w:szCs w:val="18"/>
                <w:color w:val="auto"/>
              </w:rPr>
              <w:t>Rex D. Geveden</w:t>
            </w:r>
          </w:p>
        </w:tc>
        <w:tc>
          <w:tcPr>
            <w:tcW w:w="2900" w:type="dxa"/>
            <w:vAlign w:val="bottom"/>
          </w:tcPr>
          <w:p>
            <w:pPr>
              <w:jc w:val="right"/>
              <w:spacing w:after="0"/>
              <w:rPr>
                <w:sz w:val="20"/>
                <w:szCs w:val="20"/>
                <w:color w:val="auto"/>
              </w:rPr>
            </w:pPr>
            <w:r>
              <w:rPr>
                <w:rFonts w:ascii="Arial" w:cs="Arial" w:eastAsia="Arial" w:hAnsi="Arial"/>
                <w:sz w:val="18"/>
                <w:szCs w:val="18"/>
                <w:color w:val="auto"/>
              </w:rPr>
              <w:t>5,005</w:t>
            </w:r>
          </w:p>
        </w:tc>
      </w:tr>
      <w:tr>
        <w:trPr>
          <w:trHeight w:val="263"/>
        </w:trPr>
        <w:tc>
          <w:tcPr>
            <w:tcW w:w="2120" w:type="dxa"/>
            <w:vAlign w:val="bottom"/>
            <w:shd w:val="clear" w:color="auto" w:fill="E5E5E5"/>
          </w:tcPr>
          <w:p>
            <w:pPr>
              <w:ind w:left="40"/>
              <w:spacing w:after="0"/>
              <w:rPr>
                <w:sz w:val="20"/>
                <w:szCs w:val="20"/>
                <w:color w:val="auto"/>
              </w:rPr>
            </w:pPr>
            <w:r>
              <w:rPr>
                <w:rFonts w:ascii="Arial" w:cs="Arial" w:eastAsia="Arial" w:hAnsi="Arial"/>
                <w:sz w:val="18"/>
                <w:szCs w:val="18"/>
                <w:color w:val="auto"/>
              </w:rPr>
              <w:t>David S. Black</w:t>
            </w:r>
          </w:p>
        </w:tc>
        <w:tc>
          <w:tcPr>
            <w:tcW w:w="2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3,355</w:t>
            </w:r>
          </w:p>
        </w:tc>
      </w:tr>
      <w:tr>
        <w:trPr>
          <w:trHeight w:val="250"/>
        </w:trPr>
        <w:tc>
          <w:tcPr>
            <w:tcW w:w="2120" w:type="dxa"/>
            <w:vAlign w:val="bottom"/>
          </w:tcPr>
          <w:p>
            <w:pPr>
              <w:ind w:left="40"/>
              <w:spacing w:after="0"/>
              <w:rPr>
                <w:sz w:val="20"/>
                <w:szCs w:val="20"/>
                <w:color w:val="auto"/>
              </w:rPr>
            </w:pPr>
            <w:r>
              <w:rPr>
                <w:rFonts w:ascii="Arial" w:cs="Arial" w:eastAsia="Arial" w:hAnsi="Arial"/>
                <w:sz w:val="18"/>
                <w:szCs w:val="18"/>
                <w:color w:val="auto"/>
              </w:rPr>
              <w:t>John A. Fees</w:t>
            </w:r>
          </w:p>
        </w:tc>
        <w:tc>
          <w:tcPr>
            <w:tcW w:w="290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63"/>
        </w:trPr>
        <w:tc>
          <w:tcPr>
            <w:tcW w:w="2120" w:type="dxa"/>
            <w:vAlign w:val="bottom"/>
            <w:shd w:val="clear" w:color="auto" w:fill="E5E5E5"/>
          </w:tcPr>
          <w:p>
            <w:pPr>
              <w:ind w:left="40"/>
              <w:spacing w:after="0"/>
              <w:rPr>
                <w:sz w:val="20"/>
                <w:szCs w:val="20"/>
                <w:color w:val="auto"/>
              </w:rPr>
            </w:pPr>
            <w:r>
              <w:rPr>
                <w:rFonts w:ascii="Arial" w:cs="Arial" w:eastAsia="Arial" w:hAnsi="Arial"/>
                <w:sz w:val="18"/>
                <w:szCs w:val="18"/>
                <w:color w:val="auto"/>
              </w:rPr>
              <w:t>James D. Canafax</w:t>
            </w:r>
          </w:p>
        </w:tc>
        <w:tc>
          <w:tcPr>
            <w:tcW w:w="2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6,936</w:t>
            </w:r>
          </w:p>
        </w:tc>
      </w:tr>
      <w:tr>
        <w:trPr>
          <w:trHeight w:val="243"/>
        </w:trPr>
        <w:tc>
          <w:tcPr>
            <w:tcW w:w="2120" w:type="dxa"/>
            <w:vAlign w:val="bottom"/>
          </w:tcPr>
          <w:p>
            <w:pPr>
              <w:ind w:left="40"/>
              <w:spacing w:after="0"/>
              <w:rPr>
                <w:sz w:val="20"/>
                <w:szCs w:val="20"/>
                <w:color w:val="auto"/>
              </w:rPr>
            </w:pPr>
            <w:r>
              <w:rPr>
                <w:rFonts w:ascii="Arial" w:cs="Arial" w:eastAsia="Arial" w:hAnsi="Arial"/>
                <w:sz w:val="18"/>
                <w:szCs w:val="18"/>
                <w:color w:val="auto"/>
              </w:rPr>
              <w:t>Joseph G. Henry</w:t>
            </w:r>
          </w:p>
        </w:tc>
        <w:tc>
          <w:tcPr>
            <w:tcW w:w="2900" w:type="dxa"/>
            <w:vAlign w:val="bottom"/>
          </w:tcPr>
          <w:p>
            <w:pPr>
              <w:jc w:val="right"/>
              <w:spacing w:after="0"/>
              <w:rPr>
                <w:sz w:val="20"/>
                <w:szCs w:val="20"/>
                <w:color w:val="auto"/>
              </w:rPr>
            </w:pPr>
            <w:r>
              <w:rPr>
                <w:rFonts w:ascii="Arial" w:cs="Arial" w:eastAsia="Arial" w:hAnsi="Arial"/>
                <w:sz w:val="18"/>
                <w:szCs w:val="18"/>
                <w:color w:val="auto"/>
              </w:rPr>
              <w:t>2,648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sz w:val="1"/>
          <w:szCs w:val="1"/>
          <w:color w:val="auto"/>
        </w:rPr>
        <w:drawing>
          <wp:inline distT="0" distB="0" distL="0" distR="0">
            <wp:extent cx="488950" cy="20574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88950" cy="205740"/>
                    </a:xfrm>
                    <a:prstGeom prst="rect">
                      <a:avLst/>
                    </a:prstGeom>
                    <a:noFill/>
                    <a:ln>
                      <a:noFill/>
                    </a:ln>
                  </pic:spPr>
                </pic:pic>
              </a:graphicData>
            </a:graphic>
          </wp:inline>
        </w:drawing>
      </w:r>
      <w:r>
        <w:rPr>
          <w:rFonts w:ascii="Arial" w:cs="Arial" w:eastAsia="Arial" w:hAnsi="Arial"/>
          <w:sz w:val="18"/>
          <w:szCs w:val="18"/>
          <w:color w:val="auto"/>
        </w:rPr>
        <w:t xml:space="preserve"> 2018 PROXY STATEMENT </w:t>
      </w:r>
      <w:r>
        <w:rPr>
          <w:rFonts w:ascii="Arial" w:cs="Arial" w:eastAsia="Arial" w:hAnsi="Arial"/>
          <w:sz w:val="18"/>
          <w:szCs w:val="18"/>
          <w:b w:val="1"/>
          <w:bCs w:val="1"/>
          <w:color w:val="2C2C2C"/>
        </w:rPr>
        <w:t>47</w:t>
      </w:r>
    </w:p>
    <w:p>
      <w:pPr>
        <w:sectPr>
          <w:pgSz w:w="11900" w:h="16838" w:orient="portrait"/>
          <w:cols w:equalWidth="0" w:num="1">
            <w:col w:w="11420"/>
          </w:cols>
          <w:pgMar w:left="240" w:top="125" w:right="239" w:bottom="1440" w:gutter="0" w:footer="0" w:header="0"/>
        </w:sectPr>
      </w:pPr>
    </w:p>
    <w:bookmarkStart w:id="56" w:name="page57"/>
    <w:bookmarkEnd w:id="56"/>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7240"/>
        <w:spacing w:after="0"/>
        <w:rPr>
          <w:sz w:val="20"/>
          <w:szCs w:val="20"/>
          <w:color w:val="auto"/>
        </w:rPr>
      </w:pPr>
      <w:r>
        <w:rPr>
          <w:rFonts w:ascii="Arial" w:cs="Arial" w:eastAsia="Arial" w:hAnsi="Arial"/>
          <w:sz w:val="14"/>
          <w:szCs w:val="14"/>
          <w:color w:val="auto"/>
        </w:rPr>
        <w:t>COMPENSATION OF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PENSION BENEFITS FOR 2017</w:t>
      </w:r>
    </w:p>
    <w:p>
      <w:pPr>
        <w:spacing w:after="0" w:line="103"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The following Pension Benefits table shows the present value of accumulated benefits payable to each of our Named Executives under our qualified and nonqualified pension plans.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160" w:type="dxa"/>
            <w:vAlign w:val="bottom"/>
            <w:shd w:val="clear" w:color="auto" w:fill="525252"/>
          </w:tcPr>
          <w:p>
            <w:pPr>
              <w:spacing w:after="0"/>
              <w:rPr>
                <w:sz w:val="15"/>
                <w:szCs w:val="15"/>
                <w:color w:val="auto"/>
              </w:rPr>
            </w:pPr>
          </w:p>
        </w:tc>
        <w:tc>
          <w:tcPr>
            <w:tcW w:w="4820" w:type="dxa"/>
            <w:vAlign w:val="bottom"/>
            <w:shd w:val="clear" w:color="auto" w:fill="525252"/>
          </w:tcPr>
          <w:p>
            <w:pPr>
              <w:spacing w:after="0"/>
              <w:rPr>
                <w:sz w:val="15"/>
                <w:szCs w:val="15"/>
                <w:color w:val="auto"/>
              </w:rPr>
            </w:pPr>
          </w:p>
        </w:tc>
        <w:tc>
          <w:tcPr>
            <w:tcW w:w="2240" w:type="dxa"/>
            <w:vAlign w:val="bottom"/>
            <w:shd w:val="clear" w:color="auto" w:fill="525252"/>
          </w:tcPr>
          <w:p>
            <w:pPr>
              <w:jc w:val="center"/>
              <w:ind w:left="628"/>
              <w:spacing w:after="0"/>
              <w:rPr>
                <w:sz w:val="20"/>
                <w:szCs w:val="20"/>
                <w:color w:val="auto"/>
              </w:rPr>
            </w:pPr>
            <w:r>
              <w:rPr>
                <w:rFonts w:ascii="Arial" w:cs="Arial" w:eastAsia="Arial" w:hAnsi="Arial"/>
                <w:sz w:val="14"/>
                <w:szCs w:val="14"/>
                <w:b w:val="1"/>
                <w:bCs w:val="1"/>
                <w:color w:val="FFFFFF"/>
              </w:rPr>
              <w:t>Number</w:t>
            </w:r>
          </w:p>
        </w:tc>
        <w:tc>
          <w:tcPr>
            <w:tcW w:w="340" w:type="dxa"/>
            <w:vAlign w:val="bottom"/>
            <w:shd w:val="clear" w:color="auto" w:fill="525252"/>
          </w:tcPr>
          <w:p>
            <w:pPr>
              <w:spacing w:after="0"/>
              <w:rPr>
                <w:sz w:val="15"/>
                <w:szCs w:val="15"/>
                <w:color w:val="auto"/>
              </w:rPr>
            </w:pPr>
          </w:p>
        </w:tc>
        <w:tc>
          <w:tcPr>
            <w:tcW w:w="1420" w:type="dxa"/>
            <w:vAlign w:val="bottom"/>
            <w:shd w:val="clear" w:color="auto" w:fill="525252"/>
          </w:tcPr>
          <w:p>
            <w:pPr>
              <w:jc w:val="center"/>
              <w:ind w:right="108"/>
              <w:spacing w:after="0"/>
              <w:rPr>
                <w:sz w:val="20"/>
                <w:szCs w:val="20"/>
                <w:color w:val="auto"/>
              </w:rPr>
            </w:pPr>
            <w:r>
              <w:rPr>
                <w:rFonts w:ascii="Arial" w:cs="Arial" w:eastAsia="Arial" w:hAnsi="Arial"/>
                <w:sz w:val="14"/>
                <w:szCs w:val="14"/>
                <w:b w:val="1"/>
                <w:bCs w:val="1"/>
                <w:color w:val="FFFFFF"/>
              </w:rPr>
              <w:t>Present Value of</w:t>
            </w:r>
          </w:p>
        </w:tc>
        <w:tc>
          <w:tcPr>
            <w:tcW w:w="280" w:type="dxa"/>
            <w:vAlign w:val="bottom"/>
            <w:shd w:val="clear" w:color="auto" w:fill="525252"/>
          </w:tcPr>
          <w:p>
            <w:pPr>
              <w:spacing w:after="0"/>
              <w:rPr>
                <w:sz w:val="15"/>
                <w:szCs w:val="15"/>
                <w:color w:val="auto"/>
              </w:rPr>
            </w:pPr>
          </w:p>
        </w:tc>
        <w:tc>
          <w:tcPr>
            <w:tcW w:w="1160" w:type="dxa"/>
            <w:vAlign w:val="bottom"/>
            <w:shd w:val="clear" w:color="auto" w:fill="525252"/>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60" w:type="dxa"/>
            <w:vAlign w:val="bottom"/>
            <w:shd w:val="clear" w:color="auto" w:fill="525252"/>
          </w:tcPr>
          <w:p>
            <w:pPr>
              <w:spacing w:after="0"/>
              <w:rPr>
                <w:sz w:val="14"/>
                <w:szCs w:val="14"/>
                <w:color w:val="auto"/>
              </w:rPr>
            </w:pPr>
          </w:p>
        </w:tc>
        <w:tc>
          <w:tcPr>
            <w:tcW w:w="4820" w:type="dxa"/>
            <w:vAlign w:val="bottom"/>
            <w:shd w:val="clear" w:color="auto" w:fill="525252"/>
          </w:tcPr>
          <w:p>
            <w:pPr>
              <w:spacing w:after="0"/>
              <w:rPr>
                <w:sz w:val="14"/>
                <w:szCs w:val="14"/>
                <w:color w:val="auto"/>
              </w:rPr>
            </w:pPr>
          </w:p>
        </w:tc>
        <w:tc>
          <w:tcPr>
            <w:tcW w:w="2240" w:type="dxa"/>
            <w:vAlign w:val="bottom"/>
            <w:shd w:val="clear" w:color="auto" w:fill="525252"/>
          </w:tcPr>
          <w:p>
            <w:pPr>
              <w:jc w:val="center"/>
              <w:ind w:left="648"/>
              <w:spacing w:after="0"/>
              <w:rPr>
                <w:sz w:val="20"/>
                <w:szCs w:val="20"/>
                <w:color w:val="auto"/>
              </w:rPr>
            </w:pPr>
            <w:r>
              <w:rPr>
                <w:rFonts w:ascii="Arial" w:cs="Arial" w:eastAsia="Arial" w:hAnsi="Arial"/>
                <w:sz w:val="14"/>
                <w:szCs w:val="14"/>
                <w:b w:val="1"/>
                <w:bCs w:val="1"/>
                <w:color w:val="FFFFFF"/>
              </w:rPr>
              <w:t>of Years</w:t>
            </w:r>
          </w:p>
        </w:tc>
        <w:tc>
          <w:tcPr>
            <w:tcW w:w="340" w:type="dxa"/>
            <w:vAlign w:val="bottom"/>
            <w:shd w:val="clear" w:color="auto" w:fill="525252"/>
          </w:tcPr>
          <w:p>
            <w:pPr>
              <w:spacing w:after="0"/>
              <w:rPr>
                <w:sz w:val="14"/>
                <w:szCs w:val="14"/>
                <w:color w:val="auto"/>
              </w:rPr>
            </w:pPr>
          </w:p>
        </w:tc>
        <w:tc>
          <w:tcPr>
            <w:tcW w:w="1420" w:type="dxa"/>
            <w:vAlign w:val="bottom"/>
            <w:shd w:val="clear" w:color="auto" w:fill="525252"/>
          </w:tcPr>
          <w:p>
            <w:pPr>
              <w:jc w:val="center"/>
              <w:ind w:right="128"/>
              <w:spacing w:after="0"/>
              <w:rPr>
                <w:sz w:val="20"/>
                <w:szCs w:val="20"/>
                <w:color w:val="auto"/>
              </w:rPr>
            </w:pPr>
            <w:r>
              <w:rPr>
                <w:rFonts w:ascii="Arial" w:cs="Arial" w:eastAsia="Arial" w:hAnsi="Arial"/>
                <w:sz w:val="14"/>
                <w:szCs w:val="14"/>
                <w:b w:val="1"/>
                <w:bCs w:val="1"/>
                <w:color w:val="FFFFFF"/>
              </w:rPr>
              <w:t>Accumulated</w:t>
            </w:r>
          </w:p>
        </w:tc>
        <w:tc>
          <w:tcPr>
            <w:tcW w:w="280" w:type="dxa"/>
            <w:vAlign w:val="bottom"/>
            <w:shd w:val="clear" w:color="auto" w:fill="525252"/>
          </w:tcPr>
          <w:p>
            <w:pPr>
              <w:spacing w:after="0"/>
              <w:rPr>
                <w:sz w:val="14"/>
                <w:szCs w:val="14"/>
                <w:color w:val="auto"/>
              </w:rPr>
            </w:pPr>
          </w:p>
        </w:tc>
        <w:tc>
          <w:tcPr>
            <w:tcW w:w="1160" w:type="dxa"/>
            <w:vAlign w:val="bottom"/>
            <w:shd w:val="clear" w:color="auto" w:fill="525252"/>
          </w:tcPr>
          <w:p>
            <w:pPr>
              <w:jc w:val="center"/>
              <w:ind w:right="128"/>
              <w:spacing w:after="0"/>
              <w:rPr>
                <w:sz w:val="20"/>
                <w:szCs w:val="20"/>
                <w:color w:val="auto"/>
              </w:rPr>
            </w:pPr>
            <w:r>
              <w:rPr>
                <w:rFonts w:ascii="Arial" w:cs="Arial" w:eastAsia="Arial" w:hAnsi="Arial"/>
                <w:sz w:val="14"/>
                <w:szCs w:val="14"/>
                <w:b w:val="1"/>
                <w:bCs w:val="1"/>
                <w:color w:val="FFFFFF"/>
              </w:rPr>
              <w:t>Payments</w:t>
            </w:r>
          </w:p>
        </w:tc>
        <w:tc>
          <w:tcPr>
            <w:tcW w:w="0" w:type="dxa"/>
            <w:vAlign w:val="bottom"/>
          </w:tcPr>
          <w:p>
            <w:pPr>
              <w:spacing w:after="0"/>
              <w:rPr>
                <w:sz w:val="1"/>
                <w:szCs w:val="1"/>
                <w:color w:val="auto"/>
              </w:rPr>
            </w:pPr>
          </w:p>
        </w:tc>
      </w:tr>
      <w:tr>
        <w:trPr>
          <w:trHeight w:val="202"/>
        </w:trPr>
        <w:tc>
          <w:tcPr>
            <w:tcW w:w="1160" w:type="dxa"/>
            <w:vAlign w:val="bottom"/>
            <w:shd w:val="clear" w:color="auto" w:fill="525252"/>
          </w:tcPr>
          <w:p>
            <w:pPr>
              <w:ind w:left="40"/>
              <w:spacing w:after="0"/>
              <w:rPr>
                <w:sz w:val="20"/>
                <w:szCs w:val="20"/>
                <w:color w:val="auto"/>
              </w:rPr>
            </w:pPr>
            <w:r>
              <w:rPr>
                <w:rFonts w:ascii="Arial" w:cs="Arial" w:eastAsia="Arial" w:hAnsi="Arial"/>
                <w:sz w:val="14"/>
                <w:szCs w:val="14"/>
                <w:b w:val="1"/>
                <w:bCs w:val="1"/>
                <w:color w:val="FFFFFF"/>
              </w:rPr>
              <w:t>Name</w:t>
            </w:r>
          </w:p>
        </w:tc>
        <w:tc>
          <w:tcPr>
            <w:tcW w:w="4820" w:type="dxa"/>
            <w:vAlign w:val="bottom"/>
            <w:shd w:val="clear" w:color="auto" w:fill="525252"/>
          </w:tcPr>
          <w:p>
            <w:pPr>
              <w:ind w:left="140"/>
              <w:spacing w:after="0"/>
              <w:rPr>
                <w:sz w:val="20"/>
                <w:szCs w:val="20"/>
                <w:color w:val="auto"/>
              </w:rPr>
            </w:pPr>
            <w:r>
              <w:rPr>
                <w:rFonts w:ascii="Arial" w:cs="Arial" w:eastAsia="Arial" w:hAnsi="Arial"/>
                <w:sz w:val="14"/>
                <w:szCs w:val="14"/>
                <w:b w:val="1"/>
                <w:bCs w:val="1"/>
                <w:color w:val="FFFFFF"/>
              </w:rPr>
              <w:t>Plan Name</w:t>
            </w:r>
          </w:p>
        </w:tc>
        <w:tc>
          <w:tcPr>
            <w:tcW w:w="2240" w:type="dxa"/>
            <w:vAlign w:val="bottom"/>
            <w:shd w:val="clear" w:color="auto" w:fill="525252"/>
          </w:tcPr>
          <w:p>
            <w:pPr>
              <w:jc w:val="center"/>
              <w:ind w:left="628"/>
              <w:spacing w:after="0"/>
              <w:rPr>
                <w:sz w:val="20"/>
                <w:szCs w:val="20"/>
                <w:color w:val="auto"/>
              </w:rPr>
            </w:pPr>
            <w:r>
              <w:rPr>
                <w:rFonts w:ascii="Arial" w:cs="Arial" w:eastAsia="Arial" w:hAnsi="Arial"/>
                <w:sz w:val="14"/>
                <w:szCs w:val="14"/>
                <w:b w:val="1"/>
                <w:bCs w:val="1"/>
                <w:color w:val="FFFFFF"/>
              </w:rPr>
              <w:t>Credited Service</w:t>
            </w:r>
          </w:p>
        </w:tc>
        <w:tc>
          <w:tcPr>
            <w:tcW w:w="340" w:type="dxa"/>
            <w:vAlign w:val="bottom"/>
            <w:shd w:val="clear" w:color="auto" w:fill="525252"/>
          </w:tcPr>
          <w:p>
            <w:pPr>
              <w:spacing w:after="0"/>
              <w:rPr>
                <w:sz w:val="17"/>
                <w:szCs w:val="17"/>
                <w:color w:val="auto"/>
              </w:rPr>
            </w:pPr>
          </w:p>
        </w:tc>
        <w:tc>
          <w:tcPr>
            <w:tcW w:w="1420" w:type="dxa"/>
            <w:vAlign w:val="bottom"/>
            <w:shd w:val="clear" w:color="auto" w:fill="525252"/>
          </w:tcPr>
          <w:p>
            <w:pPr>
              <w:jc w:val="center"/>
              <w:ind w:right="128"/>
              <w:spacing w:after="0"/>
              <w:rPr>
                <w:sz w:val="20"/>
                <w:szCs w:val="20"/>
                <w:color w:val="auto"/>
              </w:rPr>
            </w:pPr>
            <w:r>
              <w:rPr>
                <w:rFonts w:ascii="Arial" w:cs="Arial" w:eastAsia="Arial" w:hAnsi="Arial"/>
                <w:sz w:val="14"/>
                <w:szCs w:val="14"/>
                <w:b w:val="1"/>
                <w:bCs w:val="1"/>
                <w:color w:val="FFFFFF"/>
              </w:rPr>
              <w:t>Benefit</w:t>
            </w:r>
          </w:p>
        </w:tc>
        <w:tc>
          <w:tcPr>
            <w:tcW w:w="280" w:type="dxa"/>
            <w:vAlign w:val="bottom"/>
            <w:shd w:val="clear" w:color="auto" w:fill="525252"/>
          </w:tcPr>
          <w:p>
            <w:pPr>
              <w:spacing w:after="0"/>
              <w:rPr>
                <w:sz w:val="17"/>
                <w:szCs w:val="17"/>
                <w:color w:val="auto"/>
              </w:rPr>
            </w:pPr>
          </w:p>
        </w:tc>
        <w:tc>
          <w:tcPr>
            <w:tcW w:w="1160" w:type="dxa"/>
            <w:vAlign w:val="bottom"/>
            <w:shd w:val="clear" w:color="auto" w:fill="525252"/>
          </w:tcPr>
          <w:p>
            <w:pPr>
              <w:jc w:val="center"/>
              <w:ind w:right="108"/>
              <w:spacing w:after="0"/>
              <w:rPr>
                <w:sz w:val="20"/>
                <w:szCs w:val="20"/>
                <w:color w:val="auto"/>
              </w:rPr>
            </w:pPr>
            <w:r>
              <w:rPr>
                <w:rFonts w:ascii="Arial" w:cs="Arial" w:eastAsia="Arial" w:hAnsi="Arial"/>
                <w:sz w:val="14"/>
                <w:szCs w:val="14"/>
                <w:b w:val="1"/>
                <w:bCs w:val="1"/>
                <w:color w:val="FFFFFF"/>
              </w:rPr>
              <w:t>During 2017</w:t>
            </w:r>
          </w:p>
        </w:tc>
        <w:tc>
          <w:tcPr>
            <w:tcW w:w="0" w:type="dxa"/>
            <w:vAlign w:val="bottom"/>
          </w:tcPr>
          <w:p>
            <w:pPr>
              <w:spacing w:after="0"/>
              <w:rPr>
                <w:sz w:val="1"/>
                <w:szCs w:val="1"/>
                <w:color w:val="auto"/>
              </w:rPr>
            </w:pPr>
          </w:p>
        </w:tc>
      </w:tr>
      <w:tr>
        <w:trPr>
          <w:trHeight w:val="204"/>
        </w:trPr>
        <w:tc>
          <w:tcPr>
            <w:tcW w:w="1160" w:type="dxa"/>
            <w:vAlign w:val="bottom"/>
          </w:tcPr>
          <w:p>
            <w:pPr>
              <w:ind w:left="40"/>
              <w:spacing w:after="0"/>
              <w:rPr>
                <w:sz w:val="20"/>
                <w:szCs w:val="20"/>
                <w:color w:val="auto"/>
              </w:rPr>
            </w:pPr>
            <w:r>
              <w:rPr>
                <w:rFonts w:ascii="Arial" w:cs="Arial" w:eastAsia="Arial" w:hAnsi="Arial"/>
                <w:sz w:val="14"/>
                <w:szCs w:val="14"/>
                <w:color w:val="auto"/>
              </w:rPr>
              <w:t>Mr. Geveden</w:t>
            </w:r>
          </w:p>
        </w:tc>
        <w:tc>
          <w:tcPr>
            <w:tcW w:w="4820" w:type="dxa"/>
            <w:vAlign w:val="bottom"/>
            <w:vMerge w:val="restart"/>
          </w:tcPr>
          <w:p>
            <w:pPr>
              <w:ind w:left="140"/>
              <w:spacing w:after="0"/>
              <w:rPr>
                <w:sz w:val="20"/>
                <w:szCs w:val="20"/>
                <w:color w:val="auto"/>
              </w:rPr>
            </w:pPr>
            <w:r>
              <w:rPr>
                <w:rFonts w:ascii="Arial" w:cs="Arial" w:eastAsia="Arial" w:hAnsi="Arial"/>
                <w:sz w:val="14"/>
                <w:szCs w:val="14"/>
                <w:color w:val="auto"/>
              </w:rPr>
              <w:t>N/A</w:t>
            </w:r>
          </w:p>
        </w:tc>
        <w:tc>
          <w:tcPr>
            <w:tcW w:w="2240" w:type="dxa"/>
            <w:vAlign w:val="bottom"/>
            <w:vMerge w:val="restart"/>
          </w:tcPr>
          <w:p>
            <w:pPr>
              <w:jc w:val="center"/>
              <w:ind w:left="648"/>
              <w:spacing w:after="0"/>
              <w:rPr>
                <w:sz w:val="20"/>
                <w:szCs w:val="20"/>
                <w:color w:val="auto"/>
              </w:rPr>
            </w:pPr>
            <w:r>
              <w:rPr>
                <w:rFonts w:ascii="Arial" w:cs="Arial" w:eastAsia="Arial" w:hAnsi="Arial"/>
                <w:sz w:val="14"/>
                <w:szCs w:val="14"/>
                <w:color w:val="auto"/>
              </w:rPr>
              <w:t>N/A</w:t>
            </w:r>
          </w:p>
        </w:tc>
        <w:tc>
          <w:tcPr>
            <w:tcW w:w="340" w:type="dxa"/>
            <w:vAlign w:val="bottom"/>
          </w:tcPr>
          <w:p>
            <w:pPr>
              <w:spacing w:after="0"/>
              <w:rPr>
                <w:sz w:val="17"/>
                <w:szCs w:val="17"/>
                <w:color w:val="auto"/>
              </w:rPr>
            </w:pPr>
          </w:p>
        </w:tc>
        <w:tc>
          <w:tcPr>
            <w:tcW w:w="1420" w:type="dxa"/>
            <w:vAlign w:val="bottom"/>
            <w:vMerge w:val="restart"/>
          </w:tcPr>
          <w:p>
            <w:pPr>
              <w:jc w:val="center"/>
              <w:ind w:right="108"/>
              <w:spacing w:after="0"/>
              <w:rPr>
                <w:sz w:val="20"/>
                <w:szCs w:val="20"/>
                <w:color w:val="auto"/>
              </w:rPr>
            </w:pPr>
            <w:r>
              <w:rPr>
                <w:rFonts w:ascii="Arial" w:cs="Arial" w:eastAsia="Arial" w:hAnsi="Arial"/>
                <w:sz w:val="14"/>
                <w:szCs w:val="14"/>
                <w:color w:val="auto"/>
              </w:rPr>
              <w:t>N/A</w:t>
            </w:r>
          </w:p>
        </w:tc>
        <w:tc>
          <w:tcPr>
            <w:tcW w:w="280" w:type="dxa"/>
            <w:vAlign w:val="bottom"/>
          </w:tcPr>
          <w:p>
            <w:pPr>
              <w:spacing w:after="0"/>
              <w:rPr>
                <w:sz w:val="17"/>
                <w:szCs w:val="17"/>
                <w:color w:val="auto"/>
              </w:rPr>
            </w:pPr>
          </w:p>
        </w:tc>
        <w:tc>
          <w:tcPr>
            <w:tcW w:w="1160" w:type="dxa"/>
            <w:vAlign w:val="bottom"/>
            <w:vMerge w:val="restart"/>
          </w:tcPr>
          <w:p>
            <w:pPr>
              <w:jc w:val="center"/>
              <w:ind w:right="12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60"/>
        </w:trPr>
        <w:tc>
          <w:tcPr>
            <w:tcW w:w="1160" w:type="dxa"/>
            <w:vAlign w:val="bottom"/>
          </w:tcPr>
          <w:p>
            <w:pPr>
              <w:spacing w:after="0"/>
              <w:rPr>
                <w:sz w:val="5"/>
                <w:szCs w:val="5"/>
                <w:color w:val="auto"/>
              </w:rPr>
            </w:pPr>
          </w:p>
        </w:tc>
        <w:tc>
          <w:tcPr>
            <w:tcW w:w="4820" w:type="dxa"/>
            <w:vAlign w:val="bottom"/>
            <w:vMerge w:val="continue"/>
          </w:tcPr>
          <w:p>
            <w:pPr>
              <w:spacing w:after="0"/>
              <w:rPr>
                <w:sz w:val="5"/>
                <w:szCs w:val="5"/>
                <w:color w:val="auto"/>
              </w:rPr>
            </w:pPr>
          </w:p>
        </w:tc>
        <w:tc>
          <w:tcPr>
            <w:tcW w:w="22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160" w:type="dxa"/>
            <w:vAlign w:val="bottom"/>
            <w:shd w:val="clear" w:color="auto" w:fill="E5E5E5"/>
          </w:tcPr>
          <w:p>
            <w:pPr>
              <w:ind w:left="40"/>
              <w:spacing w:after="0"/>
              <w:rPr>
                <w:sz w:val="20"/>
                <w:szCs w:val="20"/>
                <w:color w:val="auto"/>
              </w:rPr>
            </w:pPr>
            <w:r>
              <w:rPr>
                <w:rFonts w:ascii="Arial" w:cs="Arial" w:eastAsia="Arial" w:hAnsi="Arial"/>
                <w:sz w:val="14"/>
                <w:szCs w:val="14"/>
                <w:color w:val="auto"/>
              </w:rPr>
              <w:t>Mr. Black</w:t>
            </w:r>
          </w:p>
        </w:tc>
        <w:tc>
          <w:tcPr>
            <w:tcW w:w="4820" w:type="dxa"/>
            <w:vAlign w:val="bottom"/>
            <w:vMerge w:val="restart"/>
            <w:shd w:val="clear" w:color="auto" w:fill="E5E5E5"/>
          </w:tcPr>
          <w:p>
            <w:pPr>
              <w:ind w:left="140"/>
              <w:spacing w:after="0"/>
              <w:rPr>
                <w:sz w:val="20"/>
                <w:szCs w:val="20"/>
                <w:color w:val="auto"/>
              </w:rPr>
            </w:pPr>
            <w:r>
              <w:rPr>
                <w:rFonts w:ascii="Arial" w:cs="Arial" w:eastAsia="Arial" w:hAnsi="Arial"/>
                <w:sz w:val="14"/>
                <w:szCs w:val="14"/>
                <w:color w:val="auto"/>
              </w:rPr>
              <w:t>BWXT Governmental Operations Qualified Retirement Plan</w:t>
            </w:r>
          </w:p>
        </w:tc>
        <w:tc>
          <w:tcPr>
            <w:tcW w:w="2240" w:type="dxa"/>
            <w:vAlign w:val="bottom"/>
            <w:vMerge w:val="restart"/>
            <w:shd w:val="clear" w:color="auto" w:fill="E5E5E5"/>
          </w:tcPr>
          <w:p>
            <w:pPr>
              <w:jc w:val="center"/>
              <w:ind w:left="648"/>
              <w:spacing w:after="0"/>
              <w:rPr>
                <w:sz w:val="20"/>
                <w:szCs w:val="20"/>
                <w:color w:val="auto"/>
              </w:rPr>
            </w:pPr>
            <w:r>
              <w:rPr>
                <w:rFonts w:ascii="Arial" w:cs="Arial" w:eastAsia="Arial" w:hAnsi="Arial"/>
                <w:sz w:val="14"/>
                <w:szCs w:val="14"/>
                <w:color w:val="auto"/>
              </w:rPr>
              <w:t>24.417</w:t>
            </w:r>
          </w:p>
        </w:tc>
        <w:tc>
          <w:tcPr>
            <w:tcW w:w="340" w:type="dxa"/>
            <w:vAlign w:val="bottom"/>
            <w:vMerge w:val="restart"/>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vMerge w:val="restart"/>
            <w:shd w:val="clear" w:color="auto" w:fill="E5E5E5"/>
          </w:tcPr>
          <w:p>
            <w:pPr>
              <w:jc w:val="right"/>
              <w:ind w:right="48"/>
              <w:spacing w:after="0"/>
              <w:rPr>
                <w:sz w:val="20"/>
                <w:szCs w:val="20"/>
                <w:color w:val="auto"/>
              </w:rPr>
            </w:pPr>
            <w:r>
              <w:rPr>
                <w:rFonts w:ascii="Arial" w:cs="Arial" w:eastAsia="Arial" w:hAnsi="Arial"/>
                <w:sz w:val="14"/>
                <w:szCs w:val="14"/>
                <w:color w:val="auto"/>
              </w:rPr>
              <w:t>1,304,802</w:t>
            </w:r>
          </w:p>
        </w:tc>
        <w:tc>
          <w:tcPr>
            <w:tcW w:w="280" w:type="dxa"/>
            <w:vAlign w:val="bottom"/>
            <w:vMerge w:val="restart"/>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E5E5E5"/>
          </w:tcPr>
          <w:p>
            <w:pPr>
              <w:jc w:val="right"/>
              <w:ind w:right="2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4"/>
        </w:trPr>
        <w:tc>
          <w:tcPr>
            <w:tcW w:w="1160" w:type="dxa"/>
            <w:vAlign w:val="bottom"/>
            <w:shd w:val="clear" w:color="auto" w:fill="E5E5E5"/>
          </w:tcPr>
          <w:p>
            <w:pPr>
              <w:spacing w:after="0"/>
              <w:rPr>
                <w:sz w:val="4"/>
                <w:szCs w:val="4"/>
                <w:color w:val="auto"/>
              </w:rPr>
            </w:pPr>
          </w:p>
        </w:tc>
        <w:tc>
          <w:tcPr>
            <w:tcW w:w="4820" w:type="dxa"/>
            <w:vAlign w:val="bottom"/>
            <w:vMerge w:val="continue"/>
            <w:shd w:val="clear" w:color="auto" w:fill="E5E5E5"/>
          </w:tcPr>
          <w:p>
            <w:pPr>
              <w:spacing w:after="0"/>
              <w:rPr>
                <w:sz w:val="4"/>
                <w:szCs w:val="4"/>
                <w:color w:val="auto"/>
              </w:rPr>
            </w:pPr>
          </w:p>
        </w:tc>
        <w:tc>
          <w:tcPr>
            <w:tcW w:w="2240" w:type="dxa"/>
            <w:vAlign w:val="bottom"/>
            <w:vMerge w:val="continue"/>
            <w:shd w:val="clear" w:color="auto" w:fill="E5E5E5"/>
          </w:tcPr>
          <w:p>
            <w:pPr>
              <w:spacing w:after="0"/>
              <w:rPr>
                <w:sz w:val="4"/>
                <w:szCs w:val="4"/>
                <w:color w:val="auto"/>
              </w:rPr>
            </w:pPr>
          </w:p>
        </w:tc>
        <w:tc>
          <w:tcPr>
            <w:tcW w:w="340" w:type="dxa"/>
            <w:vAlign w:val="bottom"/>
            <w:vMerge w:val="continue"/>
            <w:shd w:val="clear" w:color="auto" w:fill="E5E5E5"/>
          </w:tcPr>
          <w:p>
            <w:pPr>
              <w:spacing w:after="0"/>
              <w:rPr>
                <w:sz w:val="4"/>
                <w:szCs w:val="4"/>
                <w:color w:val="auto"/>
              </w:rPr>
            </w:pPr>
          </w:p>
        </w:tc>
        <w:tc>
          <w:tcPr>
            <w:tcW w:w="1420" w:type="dxa"/>
            <w:vAlign w:val="bottom"/>
            <w:vMerge w:val="continue"/>
            <w:shd w:val="clear" w:color="auto" w:fill="E5E5E5"/>
          </w:tcPr>
          <w:p>
            <w:pPr>
              <w:spacing w:after="0"/>
              <w:rPr>
                <w:sz w:val="4"/>
                <w:szCs w:val="4"/>
                <w:color w:val="auto"/>
              </w:rPr>
            </w:pPr>
          </w:p>
        </w:tc>
        <w:tc>
          <w:tcPr>
            <w:tcW w:w="280" w:type="dxa"/>
            <w:vAlign w:val="bottom"/>
            <w:vMerge w:val="continue"/>
            <w:shd w:val="clear" w:color="auto" w:fill="E5E5E5"/>
          </w:tcPr>
          <w:p>
            <w:pPr>
              <w:spacing w:after="0"/>
              <w:rPr>
                <w:sz w:val="4"/>
                <w:szCs w:val="4"/>
                <w:color w:val="auto"/>
              </w:rPr>
            </w:pPr>
          </w:p>
        </w:tc>
        <w:tc>
          <w:tcPr>
            <w:tcW w:w="1160" w:type="dxa"/>
            <w:vAlign w:val="bottom"/>
            <w:vMerge w:val="continue"/>
            <w:shd w:val="clear" w:color="auto" w:fill="E5E5E5"/>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1160" w:type="dxa"/>
            <w:vAlign w:val="bottom"/>
            <w:shd w:val="clear" w:color="auto" w:fill="E5E5E5"/>
          </w:tcPr>
          <w:p>
            <w:pPr>
              <w:spacing w:after="0"/>
              <w:rPr>
                <w:sz w:val="24"/>
                <w:szCs w:val="24"/>
                <w:color w:val="auto"/>
              </w:rPr>
            </w:pPr>
          </w:p>
        </w:tc>
        <w:tc>
          <w:tcPr>
            <w:tcW w:w="4820" w:type="dxa"/>
            <w:vAlign w:val="bottom"/>
            <w:shd w:val="clear" w:color="auto" w:fill="E5E5E5"/>
          </w:tcPr>
          <w:p>
            <w:pPr>
              <w:ind w:left="140"/>
              <w:spacing w:after="0"/>
              <w:rPr>
                <w:sz w:val="20"/>
                <w:szCs w:val="20"/>
                <w:color w:val="auto"/>
              </w:rPr>
            </w:pPr>
            <w:r>
              <w:rPr>
                <w:rFonts w:ascii="Arial" w:cs="Arial" w:eastAsia="Arial" w:hAnsi="Arial"/>
                <w:sz w:val="14"/>
                <w:szCs w:val="14"/>
                <w:color w:val="auto"/>
              </w:rPr>
              <w:t>BWXT Governmental Operations Excess Plan</w:t>
            </w:r>
          </w:p>
        </w:tc>
        <w:tc>
          <w:tcPr>
            <w:tcW w:w="2240" w:type="dxa"/>
            <w:vAlign w:val="bottom"/>
            <w:shd w:val="clear" w:color="auto" w:fill="E5E5E5"/>
          </w:tcPr>
          <w:p>
            <w:pPr>
              <w:jc w:val="center"/>
              <w:ind w:left="648"/>
              <w:spacing w:after="0"/>
              <w:rPr>
                <w:sz w:val="20"/>
                <w:szCs w:val="20"/>
                <w:color w:val="auto"/>
              </w:rPr>
            </w:pPr>
            <w:r>
              <w:rPr>
                <w:rFonts w:ascii="Arial" w:cs="Arial" w:eastAsia="Arial" w:hAnsi="Arial"/>
                <w:sz w:val="14"/>
                <w:szCs w:val="14"/>
                <w:color w:val="auto"/>
              </w:rPr>
              <w:t>24.417</w:t>
            </w:r>
          </w:p>
        </w:tc>
        <w:tc>
          <w:tcPr>
            <w:tcW w:w="340" w:type="dxa"/>
            <w:vAlign w:val="bottom"/>
            <w:shd w:val="clear" w:color="auto" w:fill="E5E5E5"/>
          </w:tcPr>
          <w:p>
            <w:pPr>
              <w:spacing w:after="0"/>
              <w:rPr>
                <w:sz w:val="24"/>
                <w:szCs w:val="24"/>
                <w:color w:val="auto"/>
              </w:rPr>
            </w:pPr>
          </w:p>
        </w:tc>
        <w:tc>
          <w:tcPr>
            <w:tcW w:w="14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697,125</w:t>
            </w:r>
          </w:p>
        </w:tc>
        <w:tc>
          <w:tcPr>
            <w:tcW w:w="280" w:type="dxa"/>
            <w:vAlign w:val="bottom"/>
            <w:shd w:val="clear" w:color="auto" w:fill="E5E5E5"/>
          </w:tcPr>
          <w:p>
            <w:pPr>
              <w:spacing w:after="0"/>
              <w:rPr>
                <w:sz w:val="24"/>
                <w:szCs w:val="24"/>
                <w:color w:val="auto"/>
              </w:rPr>
            </w:pPr>
          </w:p>
        </w:tc>
        <w:tc>
          <w:tcPr>
            <w:tcW w:w="11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04"/>
        </w:trPr>
        <w:tc>
          <w:tcPr>
            <w:tcW w:w="1160" w:type="dxa"/>
            <w:vAlign w:val="bottom"/>
          </w:tcPr>
          <w:p>
            <w:pPr>
              <w:ind w:left="40"/>
              <w:spacing w:after="0"/>
              <w:rPr>
                <w:sz w:val="20"/>
                <w:szCs w:val="20"/>
                <w:color w:val="auto"/>
              </w:rPr>
            </w:pPr>
            <w:r>
              <w:rPr>
                <w:rFonts w:ascii="Arial" w:cs="Arial" w:eastAsia="Arial" w:hAnsi="Arial"/>
                <w:sz w:val="14"/>
                <w:szCs w:val="14"/>
                <w:color w:val="auto"/>
              </w:rPr>
              <w:t>Mr. Fees</w:t>
            </w:r>
          </w:p>
        </w:tc>
        <w:tc>
          <w:tcPr>
            <w:tcW w:w="4820" w:type="dxa"/>
            <w:vAlign w:val="bottom"/>
            <w:vMerge w:val="restart"/>
          </w:tcPr>
          <w:p>
            <w:pPr>
              <w:ind w:left="140"/>
              <w:spacing w:after="0"/>
              <w:rPr>
                <w:sz w:val="20"/>
                <w:szCs w:val="20"/>
                <w:color w:val="auto"/>
              </w:rPr>
            </w:pPr>
            <w:r>
              <w:rPr>
                <w:rFonts w:ascii="Arial" w:cs="Arial" w:eastAsia="Arial" w:hAnsi="Arial"/>
                <w:sz w:val="14"/>
                <w:szCs w:val="14"/>
                <w:color w:val="auto"/>
              </w:rPr>
              <w:t>BWXT Governmental Operations Qualified Retirement Plan</w:t>
            </w:r>
          </w:p>
        </w:tc>
        <w:tc>
          <w:tcPr>
            <w:tcW w:w="2240" w:type="dxa"/>
            <w:vAlign w:val="bottom"/>
            <w:vMerge w:val="restart"/>
          </w:tcPr>
          <w:p>
            <w:pPr>
              <w:jc w:val="center"/>
              <w:ind w:left="648"/>
              <w:spacing w:after="0"/>
              <w:rPr>
                <w:sz w:val="20"/>
                <w:szCs w:val="20"/>
                <w:color w:val="auto"/>
              </w:rPr>
            </w:pPr>
            <w:r>
              <w:rPr>
                <w:rFonts w:ascii="Arial" w:cs="Arial" w:eastAsia="Arial" w:hAnsi="Arial"/>
                <w:sz w:val="14"/>
                <w:szCs w:val="14"/>
                <w:color w:val="auto"/>
              </w:rPr>
              <w:t>31.167</w:t>
            </w:r>
          </w:p>
        </w:tc>
        <w:tc>
          <w:tcPr>
            <w:tcW w:w="340" w:type="dxa"/>
            <w:vAlign w:val="bottom"/>
          </w:tcPr>
          <w:p>
            <w:pPr>
              <w:spacing w:after="0"/>
              <w:rPr>
                <w:sz w:val="17"/>
                <w:szCs w:val="17"/>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1,410,660</w:t>
            </w:r>
          </w:p>
        </w:tc>
        <w:tc>
          <w:tcPr>
            <w:tcW w:w="280" w:type="dxa"/>
            <w:vAlign w:val="bottom"/>
          </w:tcPr>
          <w:p>
            <w:pPr>
              <w:spacing w:after="0"/>
              <w:rPr>
                <w:sz w:val="17"/>
                <w:szCs w:val="17"/>
                <w:color w:val="auto"/>
              </w:rPr>
            </w:pP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79,312</w:t>
            </w:r>
          </w:p>
        </w:tc>
        <w:tc>
          <w:tcPr>
            <w:tcW w:w="0" w:type="dxa"/>
            <w:vAlign w:val="bottom"/>
          </w:tcPr>
          <w:p>
            <w:pPr>
              <w:spacing w:after="0"/>
              <w:rPr>
                <w:sz w:val="1"/>
                <w:szCs w:val="1"/>
                <w:color w:val="auto"/>
              </w:rPr>
            </w:pPr>
          </w:p>
        </w:tc>
      </w:tr>
      <w:tr>
        <w:trPr>
          <w:trHeight w:val="54"/>
        </w:trPr>
        <w:tc>
          <w:tcPr>
            <w:tcW w:w="1160" w:type="dxa"/>
            <w:vAlign w:val="bottom"/>
          </w:tcPr>
          <w:p>
            <w:pPr>
              <w:spacing w:after="0"/>
              <w:rPr>
                <w:sz w:val="4"/>
                <w:szCs w:val="4"/>
                <w:color w:val="auto"/>
              </w:rPr>
            </w:pPr>
          </w:p>
        </w:tc>
        <w:tc>
          <w:tcPr>
            <w:tcW w:w="4820" w:type="dxa"/>
            <w:vAlign w:val="bottom"/>
            <w:vMerge w:val="continue"/>
          </w:tcPr>
          <w:p>
            <w:pPr>
              <w:spacing w:after="0"/>
              <w:rPr>
                <w:sz w:val="4"/>
                <w:szCs w:val="4"/>
                <w:color w:val="auto"/>
              </w:rPr>
            </w:pPr>
          </w:p>
        </w:tc>
        <w:tc>
          <w:tcPr>
            <w:tcW w:w="224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1160" w:type="dxa"/>
            <w:vAlign w:val="bottom"/>
          </w:tcPr>
          <w:p>
            <w:pPr>
              <w:spacing w:after="0"/>
              <w:rPr>
                <w:sz w:val="24"/>
                <w:szCs w:val="24"/>
                <w:color w:val="auto"/>
              </w:rPr>
            </w:pPr>
          </w:p>
        </w:tc>
        <w:tc>
          <w:tcPr>
            <w:tcW w:w="4820" w:type="dxa"/>
            <w:vAlign w:val="bottom"/>
          </w:tcPr>
          <w:p>
            <w:pPr>
              <w:ind w:left="140"/>
              <w:spacing w:after="0"/>
              <w:rPr>
                <w:sz w:val="20"/>
                <w:szCs w:val="20"/>
                <w:color w:val="auto"/>
              </w:rPr>
            </w:pPr>
            <w:r>
              <w:rPr>
                <w:rFonts w:ascii="Arial" w:cs="Arial" w:eastAsia="Arial" w:hAnsi="Arial"/>
                <w:sz w:val="14"/>
                <w:szCs w:val="14"/>
                <w:color w:val="auto"/>
              </w:rPr>
              <w:t>BWXT Governmental Operations Excess Plan</w:t>
            </w:r>
          </w:p>
        </w:tc>
        <w:tc>
          <w:tcPr>
            <w:tcW w:w="2240" w:type="dxa"/>
            <w:vAlign w:val="bottom"/>
          </w:tcPr>
          <w:p>
            <w:pPr>
              <w:jc w:val="center"/>
              <w:ind w:left="648"/>
              <w:spacing w:after="0"/>
              <w:rPr>
                <w:sz w:val="20"/>
                <w:szCs w:val="20"/>
                <w:color w:val="auto"/>
              </w:rPr>
            </w:pPr>
            <w:r>
              <w:rPr>
                <w:rFonts w:ascii="Arial" w:cs="Arial" w:eastAsia="Arial" w:hAnsi="Arial"/>
                <w:sz w:val="14"/>
                <w:szCs w:val="14"/>
                <w:color w:val="auto"/>
              </w:rPr>
              <w:t>31.167</w:t>
            </w:r>
          </w:p>
        </w:tc>
        <w:tc>
          <w:tcPr>
            <w:tcW w:w="340" w:type="dxa"/>
            <w:vAlign w:val="bottom"/>
          </w:tcPr>
          <w:p>
            <w:pPr>
              <w:spacing w:after="0"/>
              <w:rPr>
                <w:sz w:val="24"/>
                <w:szCs w:val="24"/>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3,655,852</w:t>
            </w:r>
          </w:p>
        </w:tc>
        <w:tc>
          <w:tcPr>
            <w:tcW w:w="280" w:type="dxa"/>
            <w:vAlign w:val="bottom"/>
          </w:tcPr>
          <w:p>
            <w:pPr>
              <w:spacing w:after="0"/>
              <w:rPr>
                <w:sz w:val="24"/>
                <w:szCs w:val="24"/>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202,841</w:t>
            </w:r>
          </w:p>
        </w:tc>
        <w:tc>
          <w:tcPr>
            <w:tcW w:w="0" w:type="dxa"/>
            <w:vAlign w:val="bottom"/>
          </w:tcPr>
          <w:p>
            <w:pPr>
              <w:spacing w:after="0"/>
              <w:rPr>
                <w:sz w:val="1"/>
                <w:szCs w:val="1"/>
                <w:color w:val="auto"/>
              </w:rPr>
            </w:pPr>
          </w:p>
        </w:tc>
      </w:tr>
      <w:tr>
        <w:trPr>
          <w:trHeight w:val="210"/>
        </w:trPr>
        <w:tc>
          <w:tcPr>
            <w:tcW w:w="1160" w:type="dxa"/>
            <w:vAlign w:val="bottom"/>
            <w:shd w:val="clear" w:color="auto" w:fill="E5E5E5"/>
          </w:tcPr>
          <w:p>
            <w:pPr>
              <w:ind w:left="40"/>
              <w:spacing w:after="0"/>
              <w:rPr>
                <w:sz w:val="20"/>
                <w:szCs w:val="20"/>
                <w:color w:val="auto"/>
              </w:rPr>
            </w:pPr>
            <w:r>
              <w:rPr>
                <w:rFonts w:ascii="Arial" w:cs="Arial" w:eastAsia="Arial" w:hAnsi="Arial"/>
                <w:sz w:val="14"/>
                <w:szCs w:val="14"/>
                <w:color w:val="auto"/>
              </w:rPr>
              <w:t>Mr. Canafax</w:t>
            </w:r>
          </w:p>
        </w:tc>
        <w:tc>
          <w:tcPr>
            <w:tcW w:w="4820" w:type="dxa"/>
            <w:vAlign w:val="bottom"/>
            <w:vMerge w:val="restart"/>
            <w:shd w:val="clear" w:color="auto" w:fill="E5E5E5"/>
          </w:tcPr>
          <w:p>
            <w:pPr>
              <w:ind w:left="140"/>
              <w:spacing w:after="0"/>
              <w:rPr>
                <w:sz w:val="20"/>
                <w:szCs w:val="20"/>
                <w:color w:val="auto"/>
              </w:rPr>
            </w:pPr>
            <w:r>
              <w:rPr>
                <w:rFonts w:ascii="Arial" w:cs="Arial" w:eastAsia="Arial" w:hAnsi="Arial"/>
                <w:sz w:val="14"/>
                <w:szCs w:val="14"/>
                <w:color w:val="auto"/>
              </w:rPr>
              <w:t>N/A</w:t>
            </w:r>
          </w:p>
        </w:tc>
        <w:tc>
          <w:tcPr>
            <w:tcW w:w="2240" w:type="dxa"/>
            <w:vAlign w:val="bottom"/>
            <w:vMerge w:val="restart"/>
            <w:shd w:val="clear" w:color="auto" w:fill="E5E5E5"/>
          </w:tcPr>
          <w:p>
            <w:pPr>
              <w:jc w:val="center"/>
              <w:ind w:left="648"/>
              <w:spacing w:after="0"/>
              <w:rPr>
                <w:sz w:val="20"/>
                <w:szCs w:val="20"/>
                <w:color w:val="auto"/>
              </w:rPr>
            </w:pPr>
            <w:r>
              <w:rPr>
                <w:rFonts w:ascii="Arial" w:cs="Arial" w:eastAsia="Arial" w:hAnsi="Arial"/>
                <w:sz w:val="14"/>
                <w:szCs w:val="14"/>
                <w:color w:val="auto"/>
              </w:rPr>
              <w:t>N/A</w:t>
            </w:r>
          </w:p>
        </w:tc>
        <w:tc>
          <w:tcPr>
            <w:tcW w:w="340" w:type="dxa"/>
            <w:vAlign w:val="bottom"/>
            <w:shd w:val="clear" w:color="auto" w:fill="E5E5E5"/>
          </w:tcPr>
          <w:p>
            <w:pPr>
              <w:spacing w:after="0"/>
              <w:rPr>
                <w:sz w:val="18"/>
                <w:szCs w:val="18"/>
                <w:color w:val="auto"/>
              </w:rPr>
            </w:pPr>
          </w:p>
        </w:tc>
        <w:tc>
          <w:tcPr>
            <w:tcW w:w="1420" w:type="dxa"/>
            <w:vAlign w:val="bottom"/>
            <w:vMerge w:val="restart"/>
            <w:shd w:val="clear" w:color="auto" w:fill="E5E5E5"/>
          </w:tcPr>
          <w:p>
            <w:pPr>
              <w:jc w:val="center"/>
              <w:ind w:right="108"/>
              <w:spacing w:after="0"/>
              <w:rPr>
                <w:sz w:val="20"/>
                <w:szCs w:val="20"/>
                <w:color w:val="auto"/>
              </w:rPr>
            </w:pPr>
            <w:r>
              <w:rPr>
                <w:rFonts w:ascii="Arial" w:cs="Arial" w:eastAsia="Arial" w:hAnsi="Arial"/>
                <w:sz w:val="14"/>
                <w:szCs w:val="14"/>
                <w:color w:val="auto"/>
              </w:rPr>
              <w:t>N/A</w:t>
            </w:r>
          </w:p>
        </w:tc>
        <w:tc>
          <w:tcPr>
            <w:tcW w:w="280" w:type="dxa"/>
            <w:vAlign w:val="bottom"/>
            <w:shd w:val="clear" w:color="auto" w:fill="E5E5E5"/>
          </w:tcPr>
          <w:p>
            <w:pPr>
              <w:spacing w:after="0"/>
              <w:rPr>
                <w:sz w:val="18"/>
                <w:szCs w:val="18"/>
                <w:color w:val="auto"/>
              </w:rPr>
            </w:pPr>
          </w:p>
        </w:tc>
        <w:tc>
          <w:tcPr>
            <w:tcW w:w="1160" w:type="dxa"/>
            <w:vAlign w:val="bottom"/>
            <w:vMerge w:val="restart"/>
            <w:shd w:val="clear" w:color="auto" w:fill="E5E5E5"/>
          </w:tcPr>
          <w:p>
            <w:pPr>
              <w:jc w:val="center"/>
              <w:ind w:right="12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66"/>
        </w:trPr>
        <w:tc>
          <w:tcPr>
            <w:tcW w:w="1160" w:type="dxa"/>
            <w:vAlign w:val="bottom"/>
            <w:shd w:val="clear" w:color="auto" w:fill="E5E5E5"/>
          </w:tcPr>
          <w:p>
            <w:pPr>
              <w:spacing w:after="0"/>
              <w:rPr>
                <w:sz w:val="5"/>
                <w:szCs w:val="5"/>
                <w:color w:val="auto"/>
              </w:rPr>
            </w:pPr>
          </w:p>
        </w:tc>
        <w:tc>
          <w:tcPr>
            <w:tcW w:w="4820" w:type="dxa"/>
            <w:vAlign w:val="bottom"/>
            <w:vMerge w:val="continue"/>
            <w:shd w:val="clear" w:color="auto" w:fill="E5E5E5"/>
          </w:tcPr>
          <w:p>
            <w:pPr>
              <w:spacing w:after="0"/>
              <w:rPr>
                <w:sz w:val="5"/>
                <w:szCs w:val="5"/>
                <w:color w:val="auto"/>
              </w:rPr>
            </w:pPr>
          </w:p>
        </w:tc>
        <w:tc>
          <w:tcPr>
            <w:tcW w:w="2240" w:type="dxa"/>
            <w:vAlign w:val="bottom"/>
            <w:vMerge w:val="continue"/>
            <w:shd w:val="clear" w:color="auto" w:fill="E5E5E5"/>
          </w:tcPr>
          <w:p>
            <w:pPr>
              <w:spacing w:after="0"/>
              <w:rPr>
                <w:sz w:val="5"/>
                <w:szCs w:val="5"/>
                <w:color w:val="auto"/>
              </w:rPr>
            </w:pPr>
          </w:p>
        </w:tc>
        <w:tc>
          <w:tcPr>
            <w:tcW w:w="340" w:type="dxa"/>
            <w:vAlign w:val="bottom"/>
            <w:shd w:val="clear" w:color="auto" w:fill="E5E5E5"/>
          </w:tcPr>
          <w:p>
            <w:pPr>
              <w:spacing w:after="0"/>
              <w:rPr>
                <w:sz w:val="5"/>
                <w:szCs w:val="5"/>
                <w:color w:val="auto"/>
              </w:rPr>
            </w:pPr>
          </w:p>
        </w:tc>
        <w:tc>
          <w:tcPr>
            <w:tcW w:w="1420" w:type="dxa"/>
            <w:vAlign w:val="bottom"/>
            <w:vMerge w:val="continue"/>
            <w:shd w:val="clear" w:color="auto" w:fill="E5E5E5"/>
          </w:tcPr>
          <w:p>
            <w:pPr>
              <w:spacing w:after="0"/>
              <w:rPr>
                <w:sz w:val="5"/>
                <w:szCs w:val="5"/>
                <w:color w:val="auto"/>
              </w:rPr>
            </w:pPr>
          </w:p>
        </w:tc>
        <w:tc>
          <w:tcPr>
            <w:tcW w:w="280" w:type="dxa"/>
            <w:vAlign w:val="bottom"/>
            <w:shd w:val="clear" w:color="auto" w:fill="E5E5E5"/>
          </w:tcPr>
          <w:p>
            <w:pPr>
              <w:spacing w:after="0"/>
              <w:rPr>
                <w:sz w:val="5"/>
                <w:szCs w:val="5"/>
                <w:color w:val="auto"/>
              </w:rPr>
            </w:pPr>
          </w:p>
        </w:tc>
        <w:tc>
          <w:tcPr>
            <w:tcW w:w="1160" w:type="dxa"/>
            <w:vAlign w:val="bottom"/>
            <w:vMerge w:val="continue"/>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1160" w:type="dxa"/>
            <w:vAlign w:val="bottom"/>
          </w:tcPr>
          <w:p>
            <w:pPr>
              <w:ind w:left="40"/>
              <w:spacing w:after="0"/>
              <w:rPr>
                <w:sz w:val="20"/>
                <w:szCs w:val="20"/>
                <w:color w:val="auto"/>
              </w:rPr>
            </w:pPr>
            <w:r>
              <w:rPr>
                <w:rFonts w:ascii="Arial" w:cs="Arial" w:eastAsia="Arial" w:hAnsi="Arial"/>
                <w:sz w:val="14"/>
                <w:szCs w:val="14"/>
                <w:color w:val="auto"/>
              </w:rPr>
              <w:t>Mr. Henry</w:t>
            </w:r>
          </w:p>
        </w:tc>
        <w:tc>
          <w:tcPr>
            <w:tcW w:w="4820" w:type="dxa"/>
            <w:vAlign w:val="bottom"/>
            <w:vMerge w:val="restart"/>
          </w:tcPr>
          <w:p>
            <w:pPr>
              <w:ind w:left="140"/>
              <w:spacing w:after="0"/>
              <w:rPr>
                <w:sz w:val="20"/>
                <w:szCs w:val="20"/>
                <w:color w:val="auto"/>
              </w:rPr>
            </w:pPr>
            <w:r>
              <w:rPr>
                <w:rFonts w:ascii="Arial" w:cs="Arial" w:eastAsia="Arial" w:hAnsi="Arial"/>
                <w:sz w:val="14"/>
                <w:szCs w:val="14"/>
                <w:color w:val="auto"/>
              </w:rPr>
              <w:t>N/A</w:t>
            </w:r>
          </w:p>
        </w:tc>
        <w:tc>
          <w:tcPr>
            <w:tcW w:w="2240" w:type="dxa"/>
            <w:vAlign w:val="bottom"/>
            <w:vMerge w:val="restart"/>
          </w:tcPr>
          <w:p>
            <w:pPr>
              <w:jc w:val="center"/>
              <w:ind w:left="648"/>
              <w:spacing w:after="0"/>
              <w:rPr>
                <w:sz w:val="20"/>
                <w:szCs w:val="20"/>
                <w:color w:val="auto"/>
              </w:rPr>
            </w:pPr>
            <w:r>
              <w:rPr>
                <w:rFonts w:ascii="Arial" w:cs="Arial" w:eastAsia="Arial" w:hAnsi="Arial"/>
                <w:sz w:val="14"/>
                <w:szCs w:val="14"/>
                <w:color w:val="auto"/>
              </w:rPr>
              <w:t>N/A</w:t>
            </w:r>
          </w:p>
        </w:tc>
        <w:tc>
          <w:tcPr>
            <w:tcW w:w="340" w:type="dxa"/>
            <w:vAlign w:val="bottom"/>
          </w:tcPr>
          <w:p>
            <w:pPr>
              <w:spacing w:after="0"/>
              <w:rPr>
                <w:sz w:val="17"/>
                <w:szCs w:val="17"/>
                <w:color w:val="auto"/>
              </w:rPr>
            </w:pPr>
          </w:p>
        </w:tc>
        <w:tc>
          <w:tcPr>
            <w:tcW w:w="1420" w:type="dxa"/>
            <w:vAlign w:val="bottom"/>
            <w:vMerge w:val="restart"/>
          </w:tcPr>
          <w:p>
            <w:pPr>
              <w:jc w:val="center"/>
              <w:ind w:right="108"/>
              <w:spacing w:after="0"/>
              <w:rPr>
                <w:sz w:val="20"/>
                <w:szCs w:val="20"/>
                <w:color w:val="auto"/>
              </w:rPr>
            </w:pPr>
            <w:r>
              <w:rPr>
                <w:rFonts w:ascii="Arial" w:cs="Arial" w:eastAsia="Arial" w:hAnsi="Arial"/>
                <w:sz w:val="14"/>
                <w:szCs w:val="14"/>
                <w:color w:val="auto"/>
              </w:rPr>
              <w:t>N/A</w:t>
            </w:r>
          </w:p>
        </w:tc>
        <w:tc>
          <w:tcPr>
            <w:tcW w:w="280" w:type="dxa"/>
            <w:vAlign w:val="bottom"/>
          </w:tcPr>
          <w:p>
            <w:pPr>
              <w:spacing w:after="0"/>
              <w:rPr>
                <w:sz w:val="17"/>
                <w:szCs w:val="17"/>
                <w:color w:val="auto"/>
              </w:rPr>
            </w:pPr>
          </w:p>
        </w:tc>
        <w:tc>
          <w:tcPr>
            <w:tcW w:w="1160" w:type="dxa"/>
            <w:vAlign w:val="bottom"/>
            <w:vMerge w:val="restart"/>
          </w:tcPr>
          <w:p>
            <w:pPr>
              <w:jc w:val="center"/>
              <w:ind w:right="12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54"/>
        </w:trPr>
        <w:tc>
          <w:tcPr>
            <w:tcW w:w="1160" w:type="dxa"/>
            <w:vAlign w:val="bottom"/>
          </w:tcPr>
          <w:p>
            <w:pPr>
              <w:spacing w:after="0"/>
              <w:rPr>
                <w:sz w:val="4"/>
                <w:szCs w:val="4"/>
                <w:color w:val="auto"/>
              </w:rPr>
            </w:pPr>
          </w:p>
        </w:tc>
        <w:tc>
          <w:tcPr>
            <w:tcW w:w="4820" w:type="dxa"/>
            <w:vAlign w:val="bottom"/>
            <w:vMerge w:val="continue"/>
          </w:tcPr>
          <w:p>
            <w:pPr>
              <w:spacing w:after="0"/>
              <w:rPr>
                <w:sz w:val="4"/>
                <w:szCs w:val="4"/>
                <w:color w:val="auto"/>
              </w:rPr>
            </w:pPr>
          </w:p>
        </w:tc>
        <w:tc>
          <w:tcPr>
            <w:tcW w:w="224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auto"/>
        </w:rPr>
        <w:t>Overview of Qualified Plan</w:t>
      </w:r>
      <w:r>
        <w:rPr>
          <w:rFonts w:ascii="Arial" w:cs="Arial" w:eastAsia="Arial" w:hAnsi="Arial"/>
          <w:sz w:val="18"/>
          <w:szCs w:val="18"/>
          <w:color w:val="auto"/>
        </w:rPr>
        <w:t>. We maintain retirement plans that are funded by trusts and cover certain eligible regular full-time employees,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described below in the section entitled “Participation and Eligibility.” Messrs. Black and Fees participate in the Retirement Plan for Employees of BWXT Governmental Operations (the “Qualified Plan”) for the benefit of eligible employees of the Company and our Nuclear Operations and Technical Services segments.</w:t>
      </w:r>
    </w:p>
    <w:p>
      <w:pPr>
        <w:spacing w:after="0" w:line="64"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Due to the date of employment of Messrs. Geveden, Canafax and Henry, they are not eligible to participate in our defined benefit plans. For more information on our retirement plans, see “Compensation Discussion and Analysis — Other Benefits and Practices — Retirement Benefits.”</w:t>
      </w:r>
    </w:p>
    <w:p>
      <w:pPr>
        <w:spacing w:after="0" w:line="4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Participation and Eligibility</w:t>
      </w:r>
      <w:r>
        <w:rPr>
          <w:rFonts w:ascii="Arial" w:cs="Arial" w:eastAsia="Arial" w:hAnsi="Arial"/>
          <w:sz w:val="18"/>
          <w:szCs w:val="18"/>
          <w:color w:val="auto"/>
        </w:rPr>
        <w:t>. Generally, salaried employees over the age of 21 years, who were hired before April 1, 2001, participate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retirement plans.</w:t>
      </w:r>
    </w:p>
    <w:p>
      <w:pPr>
        <w:spacing w:after="0" w:line="67" w:lineRule="exact"/>
        <w:rPr>
          <w:sz w:val="20"/>
          <w:szCs w:val="20"/>
          <w:color w:val="auto"/>
        </w:rPr>
      </w:pPr>
    </w:p>
    <w:p>
      <w:pPr>
        <w:ind w:left="380" w:right="320" w:hanging="318"/>
        <w:spacing w:after="0" w:line="262" w:lineRule="auto"/>
        <w:tabs>
          <w:tab w:leader="none" w:pos="3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For salaried participants hired before April 1, 2001, benefit accruals were frozen as of December 31, 2015. Beginning January 1, 2016, affected employees received a service-based cash contribution to their Thrift Plan account.</w:t>
      </w:r>
    </w:p>
    <w:p>
      <w:pPr>
        <w:spacing w:after="0" w:line="88" w:lineRule="exact"/>
        <w:rPr>
          <w:rFonts w:ascii="Arial" w:cs="Arial" w:eastAsia="Arial" w:hAnsi="Arial"/>
          <w:sz w:val="18"/>
          <w:szCs w:val="18"/>
          <w:color w:val="auto"/>
        </w:rPr>
      </w:pPr>
    </w:p>
    <w:p>
      <w:pPr>
        <w:ind w:left="380" w:right="280" w:hanging="318"/>
        <w:spacing w:after="0" w:line="256" w:lineRule="auto"/>
        <w:tabs>
          <w:tab w:leader="none" w:pos="3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For salaried participants hired on or after April 1, 2001, benefit accruals were frozen as of March 31, 2006, subject to cost of living adjustments. Beginning January 1, 2016, the cost of living adjustments were discontinued. Affected employees receive a service-based cash contribution to their Thrift Plan account.</w:t>
      </w:r>
    </w:p>
    <w:p>
      <w:pPr>
        <w:spacing w:after="0" w:line="45"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b w:val="1"/>
          <w:bCs w:val="1"/>
          <w:i w:val="1"/>
          <w:iCs w:val="1"/>
          <w:color w:val="auto"/>
        </w:rPr>
        <w:t>Benefits</w:t>
      </w:r>
      <w:r>
        <w:rPr>
          <w:rFonts w:ascii="Arial" w:cs="Arial" w:eastAsia="Arial" w:hAnsi="Arial"/>
          <w:sz w:val="18"/>
          <w:szCs w:val="18"/>
          <w:color w:val="auto"/>
        </w:rPr>
        <w:t>. For eligible Named Executives, benefits under the Qualified Plan are based on years of credited service and final average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(including bonuses). The present value of accumulated benefits reflected in the Pension Benefit table above is based on a</w:t>
      </w:r>
    </w:p>
    <w:p>
      <w:pPr>
        <w:spacing w:after="0" w:line="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3.71% and 3.60% discount rate for the Qualified Plan and Excess Plan, respectively, at December 31, 2017 and the RP2014 mortality table projected with the MP2017 mortality improvement scale. The discount rate applicable to our qualified pension plans at December 31, 2016 and December 31, 2015 was 4.21% and 4.3%, respectively. Reductions in the discount rate, among other factors, result in an increase in the present value of the pension benefits.</w:t>
      </w:r>
    </w:p>
    <w:p>
      <w:pPr>
        <w:spacing w:after="0" w:line="4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Retirement and Early Retirement</w:t>
      </w:r>
      <w:r>
        <w:rPr>
          <w:rFonts w:ascii="Arial" w:cs="Arial" w:eastAsia="Arial" w:hAnsi="Arial"/>
          <w:sz w:val="18"/>
          <w:szCs w:val="18"/>
          <w:color w:val="auto"/>
        </w:rPr>
        <w:t>. Under the Qualified Plan, normal retirement is age 65. The normal form of payment is a single-life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annuity or a 50% joint and survivor annuity, depending on the employee’s marital status when payments are scheduled to begin. Early retirement eligibility and benefits under the Qualified Plan depends on the employee’s date of hire. Employees hired before April 1, 1998, including Messrs. Black and Fees, are eligible for early retirement if the employee has completed at least 15 years of credited service and attained the age of 50. Early retirement benefits are based on the same formula as normal retirement, but the pension benefit is not reduced to reflect early commencement of payment if the sum of the employee’s age and years of service equals 75 or greater at the date benefits commence; otherwise the pension benefit is reduced by 4% times the difference between 75 and the participant’s age plus service.</w:t>
      </w:r>
    </w:p>
    <w:p>
      <w:pPr>
        <w:spacing w:after="0" w:line="12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auto"/>
        </w:rPr>
        <w:t>Overview of Nonqualified Plans</w:t>
      </w:r>
      <w:r>
        <w:rPr>
          <w:rFonts w:ascii="Arial" w:cs="Arial" w:eastAsia="Arial" w:hAnsi="Arial"/>
          <w:sz w:val="18"/>
          <w:szCs w:val="18"/>
          <w:color w:val="auto"/>
        </w:rPr>
        <w:t>. To the extent benefits payable under our qualified plans are limited by Section 415(b) or 401(a)(17)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Internal Revenue Code, pension benefits will be paid directly by our applicable subsidiaries under the terms of unfunded excess benefit plans (the “Excess Plans”) maintained by them. Messrs. Black and Fees participate in the Excess Plan for certain employees of BWXT Governmental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2C2C2C"/>
        </w:rPr>
        <w:t xml:space="preserve">48 </w:t>
      </w:r>
      <w:r>
        <w:rPr>
          <w:sz w:val="1"/>
          <w:szCs w:val="1"/>
          <w:color w:val="auto"/>
        </w:rPr>
        <w:drawing>
          <wp:inline distT="0" distB="0" distL="0" distR="0">
            <wp:extent cx="445770" cy="180340"/>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45770" cy="180340"/>
                    </a:xfrm>
                    <a:prstGeom prst="rect">
                      <a:avLst/>
                    </a:prstGeom>
                    <a:noFill/>
                    <a:ln>
                      <a:noFill/>
                    </a:ln>
                  </pic:spPr>
                </pic:pic>
              </a:graphicData>
            </a:graphic>
          </wp:inline>
        </w:drawing>
      </w:r>
      <w:r>
        <w:rPr>
          <w:rFonts w:ascii="Arial" w:cs="Arial" w:eastAsia="Arial" w:hAnsi="Arial"/>
          <w:sz w:val="18"/>
          <w:szCs w:val="18"/>
          <w:color w:val="auto"/>
        </w:rPr>
        <w:t xml:space="preserve"> 2018 PROXY STATEMENT</w:t>
      </w:r>
    </w:p>
    <w:p>
      <w:pPr>
        <w:sectPr>
          <w:pgSz w:w="11900" w:h="16838" w:orient="portrait"/>
          <w:cols w:equalWidth="0" w:num="1">
            <w:col w:w="11420"/>
          </w:cols>
          <w:pgMar w:left="240" w:top="125" w:right="239" w:bottom="1440" w:gutter="0" w:footer="0" w:header="0"/>
        </w:sectPr>
      </w:pPr>
    </w:p>
    <w:bookmarkStart w:id="57" w:name="page58"/>
    <w:bookmarkEnd w:id="57"/>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left="960"/>
        <w:spacing w:after="0"/>
        <w:rPr>
          <w:sz w:val="20"/>
          <w:szCs w:val="20"/>
          <w:color w:val="auto"/>
        </w:rPr>
      </w:pPr>
      <w:r>
        <w:rPr>
          <w:rFonts w:ascii="Arial" w:cs="Arial" w:eastAsia="Arial" w:hAnsi="Arial"/>
          <w:sz w:val="14"/>
          <w:szCs w:val="14"/>
          <w:color w:val="auto"/>
        </w:rPr>
        <w:t>COMPENSATION OF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NONQUALIFIED DEFERRED COMPENSATION IN 2017</w:t>
      </w:r>
    </w:p>
    <w:p>
      <w:pPr>
        <w:spacing w:after="0" w:line="103"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following Nonqualified Deferred Compensation table summarizes our Named Executives’ compensation under our nonqualified defined contribution plans.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540" w:type="dxa"/>
            <w:vAlign w:val="bottom"/>
            <w:shd w:val="clear" w:color="auto" w:fill="525252"/>
          </w:tcPr>
          <w:p>
            <w:pPr>
              <w:spacing w:after="0"/>
              <w:rPr>
                <w:sz w:val="15"/>
                <w:szCs w:val="15"/>
                <w:color w:val="auto"/>
              </w:rPr>
            </w:pPr>
          </w:p>
        </w:tc>
        <w:tc>
          <w:tcPr>
            <w:tcW w:w="1720" w:type="dxa"/>
            <w:vAlign w:val="bottom"/>
            <w:shd w:val="clear" w:color="auto" w:fill="525252"/>
          </w:tcPr>
          <w:p>
            <w:pPr>
              <w:spacing w:after="0"/>
              <w:rPr>
                <w:sz w:val="15"/>
                <w:szCs w:val="15"/>
                <w:color w:val="auto"/>
              </w:rPr>
            </w:pPr>
          </w:p>
        </w:tc>
        <w:tc>
          <w:tcPr>
            <w:tcW w:w="380" w:type="dxa"/>
            <w:vAlign w:val="bottom"/>
            <w:shd w:val="clear" w:color="auto" w:fill="525252"/>
          </w:tcPr>
          <w:p>
            <w:pPr>
              <w:spacing w:after="0"/>
              <w:rPr>
                <w:sz w:val="15"/>
                <w:szCs w:val="15"/>
                <w:color w:val="auto"/>
              </w:rPr>
            </w:pPr>
          </w:p>
        </w:tc>
        <w:tc>
          <w:tcPr>
            <w:tcW w:w="1240" w:type="dxa"/>
            <w:vAlign w:val="bottom"/>
            <w:shd w:val="clear" w:color="auto" w:fill="525252"/>
          </w:tcPr>
          <w:p>
            <w:pPr>
              <w:jc w:val="center"/>
              <w:ind w:right="54"/>
              <w:spacing w:after="0"/>
              <w:rPr>
                <w:sz w:val="20"/>
                <w:szCs w:val="20"/>
                <w:color w:val="auto"/>
              </w:rPr>
            </w:pPr>
            <w:r>
              <w:rPr>
                <w:rFonts w:ascii="Arial" w:cs="Arial" w:eastAsia="Arial" w:hAnsi="Arial"/>
                <w:sz w:val="14"/>
                <w:szCs w:val="14"/>
                <w:b w:val="1"/>
                <w:bCs w:val="1"/>
                <w:color w:val="FFFFFF"/>
              </w:rPr>
              <w:t>Executive</w:t>
            </w:r>
          </w:p>
        </w:tc>
        <w:tc>
          <w:tcPr>
            <w:tcW w:w="240" w:type="dxa"/>
            <w:vAlign w:val="bottom"/>
            <w:shd w:val="clear" w:color="auto" w:fill="525252"/>
          </w:tcPr>
          <w:p>
            <w:pPr>
              <w:spacing w:after="0"/>
              <w:rPr>
                <w:sz w:val="15"/>
                <w:szCs w:val="15"/>
                <w:color w:val="auto"/>
              </w:rPr>
            </w:pPr>
          </w:p>
        </w:tc>
        <w:tc>
          <w:tcPr>
            <w:tcW w:w="1340" w:type="dxa"/>
            <w:vAlign w:val="bottom"/>
            <w:shd w:val="clear" w:color="auto" w:fill="525252"/>
          </w:tcPr>
          <w:p>
            <w:pPr>
              <w:jc w:val="center"/>
              <w:ind w:right="74"/>
              <w:spacing w:after="0"/>
              <w:rPr>
                <w:sz w:val="20"/>
                <w:szCs w:val="20"/>
                <w:color w:val="auto"/>
              </w:rPr>
            </w:pPr>
            <w:r>
              <w:rPr>
                <w:rFonts w:ascii="Arial" w:cs="Arial" w:eastAsia="Arial" w:hAnsi="Arial"/>
                <w:sz w:val="14"/>
                <w:szCs w:val="14"/>
                <w:b w:val="1"/>
                <w:bCs w:val="1"/>
                <w:color w:val="FFFFFF"/>
              </w:rPr>
              <w:t>Registrant</w:t>
            </w:r>
          </w:p>
        </w:tc>
        <w:tc>
          <w:tcPr>
            <w:tcW w:w="280" w:type="dxa"/>
            <w:vAlign w:val="bottom"/>
            <w:shd w:val="clear" w:color="auto" w:fill="525252"/>
          </w:tcPr>
          <w:p>
            <w:pPr>
              <w:spacing w:after="0"/>
              <w:rPr>
                <w:sz w:val="15"/>
                <w:szCs w:val="15"/>
                <w:color w:val="auto"/>
              </w:rPr>
            </w:pPr>
          </w:p>
        </w:tc>
        <w:tc>
          <w:tcPr>
            <w:tcW w:w="1300" w:type="dxa"/>
            <w:vAlign w:val="bottom"/>
            <w:shd w:val="clear" w:color="auto" w:fill="525252"/>
          </w:tcPr>
          <w:p>
            <w:pPr>
              <w:spacing w:after="0"/>
              <w:rPr>
                <w:sz w:val="15"/>
                <w:szCs w:val="15"/>
                <w:color w:val="auto"/>
              </w:rPr>
            </w:pPr>
          </w:p>
        </w:tc>
        <w:tc>
          <w:tcPr>
            <w:tcW w:w="380" w:type="dxa"/>
            <w:vAlign w:val="bottom"/>
            <w:shd w:val="clear" w:color="auto" w:fill="525252"/>
          </w:tcPr>
          <w:p>
            <w:pPr>
              <w:spacing w:after="0"/>
              <w:rPr>
                <w:sz w:val="15"/>
                <w:szCs w:val="15"/>
                <w:color w:val="auto"/>
              </w:rPr>
            </w:pPr>
          </w:p>
        </w:tc>
        <w:tc>
          <w:tcPr>
            <w:tcW w:w="1480" w:type="dxa"/>
            <w:vAlign w:val="bottom"/>
            <w:shd w:val="clear" w:color="auto" w:fill="525252"/>
          </w:tcPr>
          <w:p>
            <w:pPr>
              <w:spacing w:after="0"/>
              <w:rPr>
                <w:sz w:val="15"/>
                <w:szCs w:val="15"/>
                <w:color w:val="auto"/>
              </w:rPr>
            </w:pPr>
          </w:p>
        </w:tc>
        <w:tc>
          <w:tcPr>
            <w:tcW w:w="300" w:type="dxa"/>
            <w:vAlign w:val="bottom"/>
            <w:shd w:val="clear" w:color="auto" w:fill="525252"/>
          </w:tcPr>
          <w:p>
            <w:pPr>
              <w:spacing w:after="0"/>
              <w:rPr>
                <w:sz w:val="15"/>
                <w:szCs w:val="15"/>
                <w:color w:val="auto"/>
              </w:rPr>
            </w:pPr>
          </w:p>
        </w:tc>
        <w:tc>
          <w:tcPr>
            <w:tcW w:w="1220" w:type="dxa"/>
            <w:vAlign w:val="bottom"/>
            <w:shd w:val="clear" w:color="auto" w:fill="525252"/>
          </w:tcPr>
          <w:p>
            <w:pPr>
              <w:spacing w:after="0"/>
              <w:rPr>
                <w:sz w:val="15"/>
                <w:szCs w:val="15"/>
                <w:color w:val="auto"/>
              </w:rPr>
            </w:pPr>
          </w:p>
        </w:tc>
      </w:tr>
      <w:tr>
        <w:trPr>
          <w:trHeight w:val="162"/>
        </w:trPr>
        <w:tc>
          <w:tcPr>
            <w:tcW w:w="1540" w:type="dxa"/>
            <w:vAlign w:val="bottom"/>
            <w:shd w:val="clear" w:color="auto" w:fill="525252"/>
          </w:tcPr>
          <w:p>
            <w:pPr>
              <w:spacing w:after="0"/>
              <w:rPr>
                <w:sz w:val="14"/>
                <w:szCs w:val="14"/>
                <w:color w:val="auto"/>
              </w:rPr>
            </w:pPr>
          </w:p>
        </w:tc>
        <w:tc>
          <w:tcPr>
            <w:tcW w:w="1720" w:type="dxa"/>
            <w:vAlign w:val="bottom"/>
            <w:shd w:val="clear" w:color="auto" w:fill="525252"/>
          </w:tcPr>
          <w:p>
            <w:pPr>
              <w:spacing w:after="0"/>
              <w:rPr>
                <w:sz w:val="14"/>
                <w:szCs w:val="14"/>
                <w:color w:val="auto"/>
              </w:rPr>
            </w:pPr>
          </w:p>
        </w:tc>
        <w:tc>
          <w:tcPr>
            <w:tcW w:w="380" w:type="dxa"/>
            <w:vAlign w:val="bottom"/>
            <w:shd w:val="clear" w:color="auto" w:fill="525252"/>
          </w:tcPr>
          <w:p>
            <w:pPr>
              <w:spacing w:after="0"/>
              <w:rPr>
                <w:sz w:val="14"/>
                <w:szCs w:val="14"/>
                <w:color w:val="auto"/>
              </w:rPr>
            </w:pPr>
          </w:p>
        </w:tc>
        <w:tc>
          <w:tcPr>
            <w:tcW w:w="1240" w:type="dxa"/>
            <w:vAlign w:val="bottom"/>
            <w:shd w:val="clear" w:color="auto" w:fill="525252"/>
          </w:tcPr>
          <w:p>
            <w:pPr>
              <w:jc w:val="center"/>
              <w:ind w:right="54"/>
              <w:spacing w:after="0"/>
              <w:rPr>
                <w:sz w:val="20"/>
                <w:szCs w:val="20"/>
                <w:color w:val="auto"/>
              </w:rPr>
            </w:pPr>
            <w:r>
              <w:rPr>
                <w:rFonts w:ascii="Arial" w:cs="Arial" w:eastAsia="Arial" w:hAnsi="Arial"/>
                <w:sz w:val="14"/>
                <w:szCs w:val="14"/>
                <w:b w:val="1"/>
                <w:bCs w:val="1"/>
                <w:color w:val="FFFFFF"/>
              </w:rPr>
              <w:t>Contributions in</w:t>
            </w:r>
          </w:p>
        </w:tc>
        <w:tc>
          <w:tcPr>
            <w:tcW w:w="240" w:type="dxa"/>
            <w:vAlign w:val="bottom"/>
            <w:shd w:val="clear" w:color="auto" w:fill="525252"/>
          </w:tcPr>
          <w:p>
            <w:pPr>
              <w:spacing w:after="0"/>
              <w:rPr>
                <w:sz w:val="14"/>
                <w:szCs w:val="14"/>
                <w:color w:val="auto"/>
              </w:rPr>
            </w:pPr>
          </w:p>
        </w:tc>
        <w:tc>
          <w:tcPr>
            <w:tcW w:w="1340" w:type="dxa"/>
            <w:vAlign w:val="bottom"/>
            <w:shd w:val="clear" w:color="auto" w:fill="525252"/>
          </w:tcPr>
          <w:p>
            <w:pPr>
              <w:jc w:val="center"/>
              <w:ind w:right="74"/>
              <w:spacing w:after="0"/>
              <w:rPr>
                <w:sz w:val="20"/>
                <w:szCs w:val="20"/>
                <w:color w:val="auto"/>
              </w:rPr>
            </w:pPr>
            <w:r>
              <w:rPr>
                <w:rFonts w:ascii="Arial" w:cs="Arial" w:eastAsia="Arial" w:hAnsi="Arial"/>
                <w:sz w:val="14"/>
                <w:szCs w:val="14"/>
                <w:b w:val="1"/>
                <w:bCs w:val="1"/>
                <w:color w:val="FFFFFF"/>
              </w:rPr>
              <w:t>Contributions in</w:t>
            </w:r>
          </w:p>
        </w:tc>
        <w:tc>
          <w:tcPr>
            <w:tcW w:w="1580" w:type="dxa"/>
            <w:vAlign w:val="bottom"/>
            <w:gridSpan w:val="2"/>
            <w:shd w:val="clear" w:color="auto" w:fill="525252"/>
          </w:tcPr>
          <w:p>
            <w:pPr>
              <w:ind w:left="120"/>
              <w:spacing w:after="0"/>
              <w:rPr>
                <w:sz w:val="20"/>
                <w:szCs w:val="20"/>
                <w:color w:val="auto"/>
              </w:rPr>
            </w:pPr>
            <w:r>
              <w:rPr>
                <w:rFonts w:ascii="Arial" w:cs="Arial" w:eastAsia="Arial" w:hAnsi="Arial"/>
                <w:sz w:val="14"/>
                <w:szCs w:val="14"/>
                <w:b w:val="1"/>
                <w:bCs w:val="1"/>
                <w:color w:val="FFFFFF"/>
              </w:rPr>
              <w:t>Aggregate Earnings</w:t>
            </w:r>
          </w:p>
        </w:tc>
        <w:tc>
          <w:tcPr>
            <w:tcW w:w="380" w:type="dxa"/>
            <w:vAlign w:val="bottom"/>
            <w:shd w:val="clear" w:color="auto" w:fill="525252"/>
          </w:tcPr>
          <w:p>
            <w:pPr>
              <w:spacing w:after="0"/>
              <w:rPr>
                <w:sz w:val="14"/>
                <w:szCs w:val="14"/>
                <w:color w:val="auto"/>
              </w:rPr>
            </w:pPr>
          </w:p>
        </w:tc>
        <w:tc>
          <w:tcPr>
            <w:tcW w:w="1480" w:type="dxa"/>
            <w:vAlign w:val="bottom"/>
            <w:shd w:val="clear" w:color="auto" w:fill="525252"/>
          </w:tcPr>
          <w:p>
            <w:pPr>
              <w:ind w:left="200"/>
              <w:spacing w:after="0"/>
              <w:rPr>
                <w:sz w:val="20"/>
                <w:szCs w:val="20"/>
                <w:color w:val="auto"/>
              </w:rPr>
            </w:pPr>
            <w:r>
              <w:rPr>
                <w:rFonts w:ascii="Arial" w:cs="Arial" w:eastAsia="Arial" w:hAnsi="Arial"/>
                <w:sz w:val="14"/>
                <w:szCs w:val="14"/>
                <w:b w:val="1"/>
                <w:bCs w:val="1"/>
                <w:color w:val="FFFFFF"/>
              </w:rPr>
              <w:t>Aggregate</w:t>
            </w:r>
          </w:p>
        </w:tc>
        <w:tc>
          <w:tcPr>
            <w:tcW w:w="1520" w:type="dxa"/>
            <w:vAlign w:val="bottom"/>
            <w:gridSpan w:val="2"/>
            <w:shd w:val="clear" w:color="auto" w:fill="525252"/>
          </w:tcPr>
          <w:p>
            <w:pPr>
              <w:jc w:val="right"/>
              <w:spacing w:after="0"/>
              <w:rPr>
                <w:sz w:val="20"/>
                <w:szCs w:val="20"/>
                <w:color w:val="auto"/>
              </w:rPr>
            </w:pPr>
            <w:r>
              <w:rPr>
                <w:rFonts w:ascii="Arial" w:cs="Arial" w:eastAsia="Arial" w:hAnsi="Arial"/>
                <w:sz w:val="14"/>
                <w:szCs w:val="14"/>
                <w:b w:val="1"/>
                <w:bCs w:val="1"/>
                <w:color w:val="FFFFFF"/>
              </w:rPr>
              <w:t>Aggregate Balance</w:t>
            </w:r>
          </w:p>
        </w:tc>
      </w:tr>
      <w:tr>
        <w:trPr>
          <w:trHeight w:val="202"/>
        </w:trPr>
        <w:tc>
          <w:tcPr>
            <w:tcW w:w="1540" w:type="dxa"/>
            <w:vAlign w:val="bottom"/>
            <w:shd w:val="clear" w:color="auto" w:fill="525252"/>
          </w:tcPr>
          <w:p>
            <w:pPr>
              <w:ind w:left="40"/>
              <w:spacing w:after="0"/>
              <w:rPr>
                <w:sz w:val="20"/>
                <w:szCs w:val="20"/>
                <w:color w:val="auto"/>
              </w:rPr>
            </w:pPr>
            <w:r>
              <w:rPr>
                <w:rFonts w:ascii="Arial" w:cs="Arial" w:eastAsia="Arial" w:hAnsi="Arial"/>
                <w:sz w:val="14"/>
                <w:szCs w:val="14"/>
                <w:b w:val="1"/>
                <w:bCs w:val="1"/>
                <w:color w:val="FFFFFF"/>
              </w:rPr>
              <w:t>Name</w:t>
            </w:r>
          </w:p>
        </w:tc>
        <w:tc>
          <w:tcPr>
            <w:tcW w:w="1720" w:type="dxa"/>
            <w:vAlign w:val="bottom"/>
            <w:shd w:val="clear" w:color="auto" w:fill="525252"/>
          </w:tcPr>
          <w:p>
            <w:pPr>
              <w:ind w:left="620"/>
              <w:spacing w:after="0"/>
              <w:rPr>
                <w:sz w:val="20"/>
                <w:szCs w:val="20"/>
                <w:color w:val="auto"/>
              </w:rPr>
            </w:pPr>
            <w:r>
              <w:rPr>
                <w:rFonts w:ascii="Arial" w:cs="Arial" w:eastAsia="Arial" w:hAnsi="Arial"/>
                <w:sz w:val="14"/>
                <w:szCs w:val="14"/>
                <w:b w:val="1"/>
                <w:bCs w:val="1"/>
                <w:color w:val="FFFFFF"/>
              </w:rPr>
              <w:t>Plan Name</w:t>
            </w:r>
          </w:p>
        </w:tc>
        <w:tc>
          <w:tcPr>
            <w:tcW w:w="380" w:type="dxa"/>
            <w:vAlign w:val="bottom"/>
            <w:shd w:val="clear" w:color="auto" w:fill="525252"/>
          </w:tcPr>
          <w:p>
            <w:pPr>
              <w:spacing w:after="0"/>
              <w:rPr>
                <w:sz w:val="17"/>
                <w:szCs w:val="17"/>
                <w:color w:val="auto"/>
              </w:rPr>
            </w:pPr>
          </w:p>
        </w:tc>
        <w:tc>
          <w:tcPr>
            <w:tcW w:w="1240" w:type="dxa"/>
            <w:vAlign w:val="bottom"/>
            <w:shd w:val="clear" w:color="auto" w:fill="525252"/>
          </w:tcPr>
          <w:p>
            <w:pPr>
              <w:jc w:val="center"/>
              <w:ind w:right="74"/>
              <w:spacing w:after="0"/>
              <w:rPr>
                <w:sz w:val="20"/>
                <w:szCs w:val="20"/>
                <w:color w:val="auto"/>
              </w:rPr>
            </w:pPr>
            <w:r>
              <w:rPr>
                <w:rFonts w:ascii="Arial" w:cs="Arial" w:eastAsia="Arial" w:hAnsi="Arial"/>
                <w:sz w:val="14"/>
                <w:szCs w:val="14"/>
                <w:b w:val="1"/>
                <w:bCs w:val="1"/>
                <w:color w:val="FFFFFF"/>
              </w:rPr>
              <w:t>2017</w:t>
            </w:r>
          </w:p>
        </w:tc>
        <w:tc>
          <w:tcPr>
            <w:tcW w:w="240" w:type="dxa"/>
            <w:vAlign w:val="bottom"/>
            <w:shd w:val="clear" w:color="auto" w:fill="525252"/>
          </w:tcPr>
          <w:p>
            <w:pPr>
              <w:spacing w:after="0"/>
              <w:rPr>
                <w:sz w:val="17"/>
                <w:szCs w:val="17"/>
                <w:color w:val="auto"/>
              </w:rPr>
            </w:pPr>
          </w:p>
        </w:tc>
        <w:tc>
          <w:tcPr>
            <w:tcW w:w="1340" w:type="dxa"/>
            <w:vAlign w:val="bottom"/>
            <w:shd w:val="clear" w:color="auto" w:fill="525252"/>
          </w:tcPr>
          <w:p>
            <w:pPr>
              <w:jc w:val="center"/>
              <w:ind w:right="94"/>
              <w:spacing w:after="0"/>
              <w:rPr>
                <w:sz w:val="20"/>
                <w:szCs w:val="20"/>
                <w:color w:val="auto"/>
              </w:rPr>
            </w:pPr>
            <w:r>
              <w:rPr>
                <w:rFonts w:ascii="Arial" w:cs="Arial" w:eastAsia="Arial" w:hAnsi="Arial"/>
                <w:sz w:val="14"/>
                <w:szCs w:val="14"/>
                <w:b w:val="1"/>
                <w:bCs w:val="1"/>
                <w:color w:val="FFFFFF"/>
              </w:rPr>
              <w:t>2017</w:t>
            </w:r>
          </w:p>
        </w:tc>
        <w:tc>
          <w:tcPr>
            <w:tcW w:w="280" w:type="dxa"/>
            <w:vAlign w:val="bottom"/>
            <w:shd w:val="clear" w:color="auto" w:fill="525252"/>
          </w:tcPr>
          <w:p>
            <w:pPr>
              <w:spacing w:after="0"/>
              <w:rPr>
                <w:sz w:val="17"/>
                <w:szCs w:val="17"/>
                <w:color w:val="auto"/>
              </w:rPr>
            </w:pPr>
          </w:p>
        </w:tc>
        <w:tc>
          <w:tcPr>
            <w:tcW w:w="1300" w:type="dxa"/>
            <w:vAlign w:val="bottom"/>
            <w:shd w:val="clear" w:color="auto" w:fill="525252"/>
          </w:tcPr>
          <w:p>
            <w:pPr>
              <w:jc w:val="right"/>
              <w:ind w:right="232"/>
              <w:spacing w:after="0"/>
              <w:rPr>
                <w:sz w:val="20"/>
                <w:szCs w:val="20"/>
                <w:color w:val="auto"/>
              </w:rPr>
            </w:pPr>
            <w:r>
              <w:rPr>
                <w:rFonts w:ascii="Arial" w:cs="Arial" w:eastAsia="Arial" w:hAnsi="Arial"/>
                <w:sz w:val="14"/>
                <w:szCs w:val="14"/>
                <w:b w:val="1"/>
                <w:bCs w:val="1"/>
                <w:color w:val="FFFFFF"/>
              </w:rPr>
              <w:t>(loss) in 2017</w:t>
            </w:r>
          </w:p>
        </w:tc>
        <w:tc>
          <w:tcPr>
            <w:tcW w:w="1860" w:type="dxa"/>
            <w:vAlign w:val="bottom"/>
            <w:gridSpan w:val="2"/>
            <w:shd w:val="clear" w:color="auto" w:fill="525252"/>
          </w:tcPr>
          <w:p>
            <w:pPr>
              <w:ind w:left="80"/>
              <w:spacing w:after="0"/>
              <w:rPr>
                <w:sz w:val="20"/>
                <w:szCs w:val="20"/>
                <w:color w:val="auto"/>
              </w:rPr>
            </w:pPr>
            <w:r>
              <w:rPr>
                <w:rFonts w:ascii="Arial" w:cs="Arial" w:eastAsia="Arial" w:hAnsi="Arial"/>
                <w:sz w:val="14"/>
                <w:szCs w:val="14"/>
                <w:b w:val="1"/>
                <w:bCs w:val="1"/>
                <w:color w:val="FFFFFF"/>
              </w:rPr>
              <w:t>Withdrawls/Distributions</w:t>
            </w:r>
          </w:p>
        </w:tc>
        <w:tc>
          <w:tcPr>
            <w:tcW w:w="300" w:type="dxa"/>
            <w:vAlign w:val="bottom"/>
            <w:shd w:val="clear" w:color="auto" w:fill="525252"/>
          </w:tcPr>
          <w:p>
            <w:pPr>
              <w:spacing w:after="0"/>
              <w:rPr>
                <w:sz w:val="17"/>
                <w:szCs w:val="17"/>
                <w:color w:val="auto"/>
              </w:rPr>
            </w:pPr>
          </w:p>
        </w:tc>
        <w:tc>
          <w:tcPr>
            <w:tcW w:w="1220" w:type="dxa"/>
            <w:vAlign w:val="bottom"/>
            <w:shd w:val="clear" w:color="auto" w:fill="525252"/>
          </w:tcPr>
          <w:p>
            <w:pPr>
              <w:jc w:val="right"/>
              <w:ind w:right="272"/>
              <w:spacing w:after="0"/>
              <w:rPr>
                <w:sz w:val="20"/>
                <w:szCs w:val="20"/>
                <w:color w:val="auto"/>
              </w:rPr>
            </w:pPr>
            <w:r>
              <w:rPr>
                <w:rFonts w:ascii="Arial" w:cs="Arial" w:eastAsia="Arial" w:hAnsi="Arial"/>
                <w:sz w:val="14"/>
                <w:szCs w:val="14"/>
                <w:b w:val="1"/>
                <w:bCs w:val="1"/>
                <w:color w:val="FFFFFF"/>
              </w:rPr>
              <w:t>at 12/31/17</w:t>
            </w:r>
          </w:p>
        </w:tc>
      </w:tr>
      <w:tr>
        <w:trPr>
          <w:trHeight w:val="257"/>
        </w:trPr>
        <w:tc>
          <w:tcPr>
            <w:tcW w:w="1540" w:type="dxa"/>
            <w:vAlign w:val="bottom"/>
          </w:tcPr>
          <w:p>
            <w:pPr>
              <w:ind w:left="40"/>
              <w:spacing w:after="0"/>
              <w:rPr>
                <w:sz w:val="20"/>
                <w:szCs w:val="20"/>
                <w:color w:val="auto"/>
              </w:rPr>
            </w:pPr>
            <w:r>
              <w:rPr>
                <w:rFonts w:ascii="Arial" w:cs="Arial" w:eastAsia="Arial" w:hAnsi="Arial"/>
                <w:sz w:val="18"/>
                <w:szCs w:val="18"/>
                <w:color w:val="auto"/>
              </w:rPr>
              <w:t>Mr. Geveden</w:t>
            </w:r>
          </w:p>
        </w:tc>
        <w:tc>
          <w:tcPr>
            <w:tcW w:w="1720" w:type="dxa"/>
            <w:vAlign w:val="bottom"/>
          </w:tcPr>
          <w:p>
            <w:pPr>
              <w:ind w:left="120"/>
              <w:spacing w:after="0"/>
              <w:rPr>
                <w:sz w:val="20"/>
                <w:szCs w:val="20"/>
                <w:color w:val="auto"/>
              </w:rPr>
            </w:pPr>
            <w:r>
              <w:rPr>
                <w:rFonts w:ascii="Arial" w:cs="Arial" w:eastAsia="Arial" w:hAnsi="Arial"/>
                <w:sz w:val="18"/>
                <w:szCs w:val="18"/>
                <w:color w:val="auto"/>
              </w:rPr>
              <w:t>SERP</w:t>
            </w:r>
          </w:p>
        </w:tc>
        <w:tc>
          <w:tcPr>
            <w:tcW w:w="380" w:type="dxa"/>
            <w:vAlign w:val="bottom"/>
          </w:tcPr>
          <w:p>
            <w:pPr>
              <w:spacing w:after="0"/>
              <w:rPr>
                <w:sz w:val="22"/>
                <w:szCs w:val="22"/>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1480" w:type="dxa"/>
            <w:vAlign w:val="bottom"/>
          </w:tcPr>
          <w:p>
            <w:pPr>
              <w:ind w:left="1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1540" w:type="dxa"/>
            <w:vAlign w:val="bottom"/>
          </w:tcPr>
          <w:p>
            <w:pPr>
              <w:spacing w:after="0"/>
              <w:rPr>
                <w:sz w:val="24"/>
                <w:szCs w:val="24"/>
                <w:color w:val="auto"/>
              </w:rPr>
            </w:pPr>
          </w:p>
        </w:tc>
        <w:tc>
          <w:tcPr>
            <w:tcW w:w="1720" w:type="dxa"/>
            <w:vAlign w:val="bottom"/>
          </w:tcPr>
          <w:p>
            <w:pPr>
              <w:ind w:left="120"/>
              <w:spacing w:after="0"/>
              <w:rPr>
                <w:sz w:val="20"/>
                <w:szCs w:val="20"/>
                <w:color w:val="auto"/>
              </w:rPr>
            </w:pPr>
            <w:r>
              <w:rPr>
                <w:rFonts w:ascii="Arial" w:cs="Arial" w:eastAsia="Arial" w:hAnsi="Arial"/>
                <w:sz w:val="18"/>
                <w:szCs w:val="18"/>
                <w:color w:val="auto"/>
              </w:rPr>
              <w:t>Restoration Plan</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25,423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25,424</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7,072</w:t>
            </w:r>
          </w:p>
        </w:tc>
        <w:tc>
          <w:tcPr>
            <w:tcW w:w="380" w:type="dxa"/>
            <w:vAlign w:val="bottom"/>
          </w:tcPr>
          <w:p>
            <w:pPr>
              <w:spacing w:after="0"/>
              <w:rPr>
                <w:sz w:val="24"/>
                <w:szCs w:val="24"/>
                <w:color w:val="auto"/>
              </w:rPr>
            </w:pPr>
          </w:p>
        </w:tc>
        <w:tc>
          <w:tcPr>
            <w:tcW w:w="1480" w:type="dxa"/>
            <w:vAlign w:val="bottom"/>
          </w:tcPr>
          <w:p>
            <w:pPr>
              <w:ind w:left="11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89,412</w:t>
            </w:r>
          </w:p>
        </w:tc>
      </w:tr>
      <w:tr>
        <w:trPr>
          <w:trHeight w:val="263"/>
        </w:trPr>
        <w:tc>
          <w:tcPr>
            <w:tcW w:w="1540" w:type="dxa"/>
            <w:vAlign w:val="bottom"/>
            <w:shd w:val="clear" w:color="auto" w:fill="E5E5E5"/>
          </w:tcPr>
          <w:p>
            <w:pPr>
              <w:ind w:left="40"/>
              <w:spacing w:after="0"/>
              <w:rPr>
                <w:sz w:val="20"/>
                <w:szCs w:val="20"/>
                <w:color w:val="auto"/>
              </w:rPr>
            </w:pPr>
            <w:r>
              <w:rPr>
                <w:rFonts w:ascii="Arial" w:cs="Arial" w:eastAsia="Arial" w:hAnsi="Arial"/>
                <w:sz w:val="18"/>
                <w:szCs w:val="18"/>
                <w:color w:val="auto"/>
              </w:rPr>
              <w:t>Mr. Black</w:t>
            </w:r>
          </w:p>
        </w:tc>
        <w:tc>
          <w:tcPr>
            <w:tcW w:w="1720" w:type="dxa"/>
            <w:vAlign w:val="bottom"/>
            <w:shd w:val="clear" w:color="auto" w:fill="E5E5E5"/>
          </w:tcPr>
          <w:p>
            <w:pPr>
              <w:ind w:left="120"/>
              <w:spacing w:after="0"/>
              <w:rPr>
                <w:sz w:val="20"/>
                <w:szCs w:val="20"/>
                <w:color w:val="auto"/>
              </w:rPr>
            </w:pPr>
            <w:r>
              <w:rPr>
                <w:rFonts w:ascii="Arial" w:cs="Arial" w:eastAsia="Arial" w:hAnsi="Arial"/>
                <w:sz w:val="18"/>
                <w:szCs w:val="18"/>
                <w:color w:val="auto"/>
              </w:rPr>
              <w:t>SERP</w:t>
            </w:r>
          </w:p>
        </w:tc>
        <w:tc>
          <w:tcPr>
            <w:tcW w:w="380" w:type="dxa"/>
            <w:vAlign w:val="bottom"/>
            <w:shd w:val="clear" w:color="auto" w:fill="E5E5E5"/>
          </w:tcPr>
          <w:p>
            <w:pPr>
              <w:spacing w:after="0"/>
              <w:rPr>
                <w:sz w:val="22"/>
                <w:szCs w:val="22"/>
                <w:color w:val="auto"/>
              </w:rPr>
            </w:pPr>
          </w:p>
        </w:tc>
        <w:tc>
          <w:tcPr>
            <w:tcW w:w="124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22"/>
                <w:szCs w:val="22"/>
                <w:color w:val="auto"/>
              </w:rPr>
            </w:pPr>
          </w:p>
        </w:tc>
        <w:tc>
          <w:tcPr>
            <w:tcW w:w="13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22"/>
                <w:szCs w:val="22"/>
                <w:color w:val="auto"/>
              </w:rPr>
            </w:pPr>
          </w:p>
        </w:tc>
        <w:tc>
          <w:tcPr>
            <w:tcW w:w="130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74,205</w:t>
            </w:r>
          </w:p>
        </w:tc>
        <w:tc>
          <w:tcPr>
            <w:tcW w:w="380" w:type="dxa"/>
            <w:vAlign w:val="bottom"/>
            <w:shd w:val="clear" w:color="auto" w:fill="E5E5E5"/>
          </w:tcPr>
          <w:p>
            <w:pPr>
              <w:spacing w:after="0"/>
              <w:rPr>
                <w:sz w:val="22"/>
                <w:szCs w:val="22"/>
                <w:color w:val="auto"/>
              </w:rPr>
            </w:pPr>
          </w:p>
        </w:tc>
        <w:tc>
          <w:tcPr>
            <w:tcW w:w="1480" w:type="dxa"/>
            <w:vAlign w:val="bottom"/>
            <w:shd w:val="clear" w:color="auto" w:fill="E5E5E5"/>
          </w:tcPr>
          <w:p>
            <w:pPr>
              <w:ind w:left="1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22"/>
                <w:szCs w:val="22"/>
                <w:color w:val="auto"/>
              </w:rPr>
            </w:pPr>
          </w:p>
        </w:tc>
        <w:tc>
          <w:tcPr>
            <w:tcW w:w="122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442,899</w:t>
            </w:r>
          </w:p>
        </w:tc>
      </w:tr>
      <w:tr>
        <w:trPr>
          <w:trHeight w:val="284"/>
        </w:trPr>
        <w:tc>
          <w:tcPr>
            <w:tcW w:w="1540" w:type="dxa"/>
            <w:vAlign w:val="bottom"/>
            <w:shd w:val="clear" w:color="auto" w:fill="E5E5E5"/>
          </w:tcPr>
          <w:p>
            <w:pPr>
              <w:spacing w:after="0"/>
              <w:rPr>
                <w:sz w:val="24"/>
                <w:szCs w:val="24"/>
                <w:color w:val="auto"/>
              </w:rPr>
            </w:pPr>
          </w:p>
        </w:tc>
        <w:tc>
          <w:tcPr>
            <w:tcW w:w="1720" w:type="dxa"/>
            <w:vAlign w:val="bottom"/>
            <w:shd w:val="clear" w:color="auto" w:fill="E5E5E5"/>
          </w:tcPr>
          <w:p>
            <w:pPr>
              <w:ind w:left="120"/>
              <w:spacing w:after="0"/>
              <w:rPr>
                <w:sz w:val="20"/>
                <w:szCs w:val="20"/>
                <w:color w:val="auto"/>
              </w:rPr>
            </w:pPr>
            <w:r>
              <w:rPr>
                <w:rFonts w:ascii="Arial" w:cs="Arial" w:eastAsia="Arial" w:hAnsi="Arial"/>
                <w:sz w:val="18"/>
                <w:szCs w:val="18"/>
                <w:color w:val="auto"/>
              </w:rPr>
              <w:t>Restoration Plan</w:t>
            </w:r>
          </w:p>
        </w:tc>
        <w:tc>
          <w:tcPr>
            <w:tcW w:w="380" w:type="dxa"/>
            <w:vAlign w:val="bottom"/>
            <w:shd w:val="clear" w:color="auto" w:fill="E5E5E5"/>
          </w:tcPr>
          <w:p>
            <w:pPr>
              <w:spacing w:after="0"/>
              <w:rPr>
                <w:sz w:val="24"/>
                <w:szCs w:val="24"/>
                <w:color w:val="auto"/>
              </w:rPr>
            </w:pPr>
          </w:p>
        </w:tc>
        <w:tc>
          <w:tcPr>
            <w:tcW w:w="124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9,900</w:t>
            </w:r>
          </w:p>
        </w:tc>
        <w:tc>
          <w:tcPr>
            <w:tcW w:w="240" w:type="dxa"/>
            <w:vAlign w:val="bottom"/>
            <w:shd w:val="clear" w:color="auto" w:fill="E5E5E5"/>
          </w:tcPr>
          <w:p>
            <w:pPr>
              <w:spacing w:after="0"/>
              <w:rPr>
                <w:sz w:val="24"/>
                <w:szCs w:val="24"/>
                <w:color w:val="auto"/>
              </w:rPr>
            </w:pPr>
          </w:p>
        </w:tc>
        <w:tc>
          <w:tcPr>
            <w:tcW w:w="13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18,150</w:t>
            </w:r>
          </w:p>
        </w:tc>
        <w:tc>
          <w:tcPr>
            <w:tcW w:w="280" w:type="dxa"/>
            <w:vAlign w:val="bottom"/>
            <w:shd w:val="clear" w:color="auto" w:fill="E5E5E5"/>
          </w:tcPr>
          <w:p>
            <w:pPr>
              <w:spacing w:after="0"/>
              <w:rPr>
                <w:sz w:val="24"/>
                <w:szCs w:val="24"/>
                <w:color w:val="auto"/>
              </w:rPr>
            </w:pPr>
          </w:p>
        </w:tc>
        <w:tc>
          <w:tcPr>
            <w:tcW w:w="130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10,825</w:t>
            </w:r>
          </w:p>
        </w:tc>
        <w:tc>
          <w:tcPr>
            <w:tcW w:w="380" w:type="dxa"/>
            <w:vAlign w:val="bottom"/>
            <w:shd w:val="clear" w:color="auto" w:fill="E5E5E5"/>
          </w:tcPr>
          <w:p>
            <w:pPr>
              <w:spacing w:after="0"/>
              <w:rPr>
                <w:sz w:val="24"/>
                <w:szCs w:val="24"/>
                <w:color w:val="auto"/>
              </w:rPr>
            </w:pPr>
          </w:p>
        </w:tc>
        <w:tc>
          <w:tcPr>
            <w:tcW w:w="1480" w:type="dxa"/>
            <w:vAlign w:val="bottom"/>
            <w:shd w:val="clear" w:color="auto" w:fill="E5E5E5"/>
          </w:tcPr>
          <w:p>
            <w:pPr>
              <w:ind w:left="1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24"/>
                <w:szCs w:val="24"/>
                <w:color w:val="auto"/>
              </w:rPr>
            </w:pPr>
          </w:p>
        </w:tc>
        <w:tc>
          <w:tcPr>
            <w:tcW w:w="122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95,163</w:t>
            </w:r>
          </w:p>
        </w:tc>
      </w:tr>
      <w:tr>
        <w:trPr>
          <w:trHeight w:val="310"/>
        </w:trPr>
        <w:tc>
          <w:tcPr>
            <w:tcW w:w="1540" w:type="dxa"/>
            <w:vAlign w:val="bottom"/>
          </w:tcPr>
          <w:p>
            <w:pPr>
              <w:ind w:left="40"/>
              <w:spacing w:after="0"/>
              <w:rPr>
                <w:sz w:val="20"/>
                <w:szCs w:val="20"/>
                <w:color w:val="auto"/>
              </w:rPr>
            </w:pPr>
            <w:r>
              <w:rPr>
                <w:rFonts w:ascii="Arial" w:cs="Arial" w:eastAsia="Arial" w:hAnsi="Arial"/>
                <w:sz w:val="18"/>
                <w:szCs w:val="18"/>
                <w:color w:val="auto"/>
              </w:rPr>
              <w:t>Mr. Fees</w:t>
            </w:r>
            <w:r>
              <w:rPr>
                <w:rFonts w:ascii="Arial" w:cs="Arial" w:eastAsia="Arial" w:hAnsi="Arial"/>
                <w:sz w:val="21"/>
                <w:szCs w:val="21"/>
                <w:color w:val="auto"/>
                <w:vertAlign w:val="superscript"/>
              </w:rPr>
              <w:t>(1)</w:t>
            </w:r>
          </w:p>
        </w:tc>
        <w:tc>
          <w:tcPr>
            <w:tcW w:w="1720" w:type="dxa"/>
            <w:vAlign w:val="bottom"/>
          </w:tcPr>
          <w:p>
            <w:pPr>
              <w:ind w:left="120"/>
              <w:spacing w:after="0"/>
              <w:rPr>
                <w:sz w:val="20"/>
                <w:szCs w:val="20"/>
                <w:color w:val="auto"/>
              </w:rPr>
            </w:pPr>
            <w:r>
              <w:rPr>
                <w:rFonts w:ascii="Arial" w:cs="Arial" w:eastAsia="Arial" w:hAnsi="Arial"/>
                <w:sz w:val="18"/>
                <w:szCs w:val="18"/>
                <w:color w:val="auto"/>
              </w:rPr>
              <w:t>SERP</w:t>
            </w:r>
          </w:p>
        </w:tc>
        <w:tc>
          <w:tcPr>
            <w:tcW w:w="380" w:type="dxa"/>
            <w:vAlign w:val="bottom"/>
          </w:tcPr>
          <w:p>
            <w:pPr>
              <w:spacing w:after="0"/>
              <w:rPr>
                <w:sz w:val="24"/>
                <w:szCs w:val="24"/>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480" w:type="dxa"/>
            <w:vAlign w:val="bottom"/>
          </w:tcPr>
          <w:p>
            <w:pPr>
              <w:ind w:left="1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24"/>
        </w:trPr>
        <w:tc>
          <w:tcPr>
            <w:tcW w:w="1540" w:type="dxa"/>
            <w:vAlign w:val="bottom"/>
          </w:tcPr>
          <w:p>
            <w:pPr>
              <w:spacing w:after="0"/>
              <w:rPr>
                <w:sz w:val="19"/>
                <w:szCs w:val="19"/>
                <w:color w:val="auto"/>
              </w:rPr>
            </w:pPr>
          </w:p>
        </w:tc>
        <w:tc>
          <w:tcPr>
            <w:tcW w:w="1720" w:type="dxa"/>
            <w:vAlign w:val="bottom"/>
          </w:tcPr>
          <w:p>
            <w:pPr>
              <w:ind w:left="120"/>
              <w:spacing w:after="0"/>
              <w:rPr>
                <w:sz w:val="20"/>
                <w:szCs w:val="20"/>
                <w:color w:val="auto"/>
              </w:rPr>
            </w:pPr>
            <w:r>
              <w:rPr>
                <w:rFonts w:ascii="Arial" w:cs="Arial" w:eastAsia="Arial" w:hAnsi="Arial"/>
                <w:sz w:val="18"/>
                <w:szCs w:val="18"/>
                <w:color w:val="auto"/>
              </w:rPr>
              <w:t>Restoration Plan</w:t>
            </w:r>
          </w:p>
        </w:tc>
        <w:tc>
          <w:tcPr>
            <w:tcW w:w="380" w:type="dxa"/>
            <w:vAlign w:val="bottom"/>
          </w:tcPr>
          <w:p>
            <w:pPr>
              <w:spacing w:after="0"/>
              <w:rPr>
                <w:sz w:val="19"/>
                <w:szCs w:val="19"/>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19,800</w:t>
            </w:r>
          </w:p>
        </w:tc>
        <w:tc>
          <w:tcPr>
            <w:tcW w:w="240" w:type="dxa"/>
            <w:vAlign w:val="bottom"/>
          </w:tcPr>
          <w:p>
            <w:pPr>
              <w:spacing w:after="0"/>
              <w:rPr>
                <w:sz w:val="19"/>
                <w:szCs w:val="19"/>
                <w:color w:val="auto"/>
              </w:rPr>
            </w:pP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36,300</w:t>
            </w:r>
          </w:p>
        </w:tc>
        <w:tc>
          <w:tcPr>
            <w:tcW w:w="280" w:type="dxa"/>
            <w:vAlign w:val="bottom"/>
          </w:tcPr>
          <w:p>
            <w:pPr>
              <w:spacing w:after="0"/>
              <w:rPr>
                <w:sz w:val="19"/>
                <w:szCs w:val="19"/>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9,380</w:t>
            </w:r>
          </w:p>
        </w:tc>
        <w:tc>
          <w:tcPr>
            <w:tcW w:w="380" w:type="dxa"/>
            <w:vAlign w:val="bottom"/>
          </w:tcPr>
          <w:p>
            <w:pPr>
              <w:spacing w:after="0"/>
              <w:rPr>
                <w:sz w:val="19"/>
                <w:szCs w:val="19"/>
                <w:color w:val="auto"/>
              </w:rPr>
            </w:pPr>
          </w:p>
        </w:tc>
        <w:tc>
          <w:tcPr>
            <w:tcW w:w="1480" w:type="dxa"/>
            <w:vAlign w:val="bottom"/>
          </w:tcPr>
          <w:p>
            <w:pPr>
              <w:ind w:left="1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118,563</w:t>
            </w:r>
          </w:p>
        </w:tc>
      </w:tr>
      <w:tr>
        <w:trPr>
          <w:trHeight w:val="263"/>
        </w:trPr>
        <w:tc>
          <w:tcPr>
            <w:tcW w:w="1540" w:type="dxa"/>
            <w:vAlign w:val="bottom"/>
            <w:shd w:val="clear" w:color="auto" w:fill="E5E5E5"/>
          </w:tcPr>
          <w:p>
            <w:pPr>
              <w:ind w:left="40"/>
              <w:spacing w:after="0"/>
              <w:rPr>
                <w:sz w:val="20"/>
                <w:szCs w:val="20"/>
                <w:color w:val="auto"/>
              </w:rPr>
            </w:pPr>
            <w:r>
              <w:rPr>
                <w:rFonts w:ascii="Arial" w:cs="Arial" w:eastAsia="Arial" w:hAnsi="Arial"/>
                <w:sz w:val="18"/>
                <w:szCs w:val="18"/>
                <w:color w:val="auto"/>
              </w:rPr>
              <w:t>Mr. Canafax</w:t>
            </w:r>
          </w:p>
        </w:tc>
        <w:tc>
          <w:tcPr>
            <w:tcW w:w="1720" w:type="dxa"/>
            <w:vAlign w:val="bottom"/>
            <w:shd w:val="clear" w:color="auto" w:fill="E5E5E5"/>
          </w:tcPr>
          <w:p>
            <w:pPr>
              <w:ind w:left="120"/>
              <w:spacing w:after="0"/>
              <w:rPr>
                <w:sz w:val="20"/>
                <w:szCs w:val="20"/>
                <w:color w:val="auto"/>
              </w:rPr>
            </w:pPr>
            <w:r>
              <w:rPr>
                <w:rFonts w:ascii="Arial" w:cs="Arial" w:eastAsia="Arial" w:hAnsi="Arial"/>
                <w:sz w:val="18"/>
                <w:szCs w:val="18"/>
                <w:color w:val="auto"/>
              </w:rPr>
              <w:t>SERP</w:t>
            </w:r>
          </w:p>
        </w:tc>
        <w:tc>
          <w:tcPr>
            <w:tcW w:w="380" w:type="dxa"/>
            <w:vAlign w:val="bottom"/>
            <w:shd w:val="clear" w:color="auto" w:fill="E5E5E5"/>
          </w:tcPr>
          <w:p>
            <w:pPr>
              <w:spacing w:after="0"/>
              <w:rPr>
                <w:sz w:val="22"/>
                <w:szCs w:val="22"/>
                <w:color w:val="auto"/>
              </w:rPr>
            </w:pPr>
          </w:p>
        </w:tc>
        <w:tc>
          <w:tcPr>
            <w:tcW w:w="124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22"/>
                <w:szCs w:val="22"/>
                <w:color w:val="auto"/>
              </w:rPr>
            </w:pPr>
          </w:p>
        </w:tc>
        <w:tc>
          <w:tcPr>
            <w:tcW w:w="13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22"/>
                <w:szCs w:val="22"/>
                <w:color w:val="auto"/>
              </w:rPr>
            </w:pPr>
          </w:p>
        </w:tc>
        <w:tc>
          <w:tcPr>
            <w:tcW w:w="130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37,684</w:t>
            </w:r>
          </w:p>
        </w:tc>
        <w:tc>
          <w:tcPr>
            <w:tcW w:w="380" w:type="dxa"/>
            <w:vAlign w:val="bottom"/>
            <w:shd w:val="clear" w:color="auto" w:fill="E5E5E5"/>
          </w:tcPr>
          <w:p>
            <w:pPr>
              <w:spacing w:after="0"/>
              <w:rPr>
                <w:sz w:val="22"/>
                <w:szCs w:val="22"/>
                <w:color w:val="auto"/>
              </w:rPr>
            </w:pPr>
          </w:p>
        </w:tc>
        <w:tc>
          <w:tcPr>
            <w:tcW w:w="1480" w:type="dxa"/>
            <w:vAlign w:val="bottom"/>
            <w:shd w:val="clear" w:color="auto" w:fill="E5E5E5"/>
          </w:tcPr>
          <w:p>
            <w:pPr>
              <w:ind w:left="1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22"/>
                <w:szCs w:val="22"/>
                <w:color w:val="auto"/>
              </w:rPr>
            </w:pPr>
          </w:p>
        </w:tc>
        <w:tc>
          <w:tcPr>
            <w:tcW w:w="122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187,168</w:t>
            </w:r>
          </w:p>
        </w:tc>
      </w:tr>
      <w:tr>
        <w:trPr>
          <w:trHeight w:val="284"/>
        </w:trPr>
        <w:tc>
          <w:tcPr>
            <w:tcW w:w="1540" w:type="dxa"/>
            <w:vAlign w:val="bottom"/>
            <w:shd w:val="clear" w:color="auto" w:fill="E5E5E5"/>
          </w:tcPr>
          <w:p>
            <w:pPr>
              <w:spacing w:after="0"/>
              <w:rPr>
                <w:sz w:val="24"/>
                <w:szCs w:val="24"/>
                <w:color w:val="auto"/>
              </w:rPr>
            </w:pPr>
          </w:p>
        </w:tc>
        <w:tc>
          <w:tcPr>
            <w:tcW w:w="1720" w:type="dxa"/>
            <w:vAlign w:val="bottom"/>
            <w:shd w:val="clear" w:color="auto" w:fill="E5E5E5"/>
          </w:tcPr>
          <w:p>
            <w:pPr>
              <w:ind w:left="120"/>
              <w:spacing w:after="0"/>
              <w:rPr>
                <w:sz w:val="20"/>
                <w:szCs w:val="20"/>
                <w:color w:val="auto"/>
              </w:rPr>
            </w:pPr>
            <w:r>
              <w:rPr>
                <w:rFonts w:ascii="Arial" w:cs="Arial" w:eastAsia="Arial" w:hAnsi="Arial"/>
                <w:sz w:val="18"/>
                <w:szCs w:val="18"/>
                <w:color w:val="auto"/>
              </w:rPr>
              <w:t>Restoration Plan</w:t>
            </w:r>
          </w:p>
        </w:tc>
        <w:tc>
          <w:tcPr>
            <w:tcW w:w="380" w:type="dxa"/>
            <w:vAlign w:val="bottom"/>
            <w:shd w:val="clear" w:color="auto" w:fill="E5E5E5"/>
          </w:tcPr>
          <w:p>
            <w:pPr>
              <w:spacing w:after="0"/>
              <w:rPr>
                <w:sz w:val="24"/>
                <w:szCs w:val="24"/>
                <w:color w:val="auto"/>
              </w:rPr>
            </w:pPr>
          </w:p>
        </w:tc>
        <w:tc>
          <w:tcPr>
            <w:tcW w:w="124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14,250</w:t>
            </w:r>
          </w:p>
        </w:tc>
        <w:tc>
          <w:tcPr>
            <w:tcW w:w="240" w:type="dxa"/>
            <w:vAlign w:val="bottom"/>
            <w:shd w:val="clear" w:color="auto" w:fill="E5E5E5"/>
          </w:tcPr>
          <w:p>
            <w:pPr>
              <w:spacing w:after="0"/>
              <w:rPr>
                <w:sz w:val="24"/>
                <w:szCs w:val="24"/>
                <w:color w:val="auto"/>
              </w:rPr>
            </w:pPr>
          </w:p>
        </w:tc>
        <w:tc>
          <w:tcPr>
            <w:tcW w:w="13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21,375</w:t>
            </w:r>
          </w:p>
        </w:tc>
        <w:tc>
          <w:tcPr>
            <w:tcW w:w="280" w:type="dxa"/>
            <w:vAlign w:val="bottom"/>
            <w:shd w:val="clear" w:color="auto" w:fill="E5E5E5"/>
          </w:tcPr>
          <w:p>
            <w:pPr>
              <w:spacing w:after="0"/>
              <w:rPr>
                <w:sz w:val="24"/>
                <w:szCs w:val="24"/>
                <w:color w:val="auto"/>
              </w:rPr>
            </w:pPr>
          </w:p>
        </w:tc>
        <w:tc>
          <w:tcPr>
            <w:tcW w:w="130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35,601</w:t>
            </w:r>
          </w:p>
        </w:tc>
        <w:tc>
          <w:tcPr>
            <w:tcW w:w="380" w:type="dxa"/>
            <w:vAlign w:val="bottom"/>
            <w:shd w:val="clear" w:color="auto" w:fill="E5E5E5"/>
          </w:tcPr>
          <w:p>
            <w:pPr>
              <w:spacing w:after="0"/>
              <w:rPr>
                <w:sz w:val="24"/>
                <w:szCs w:val="24"/>
                <w:color w:val="auto"/>
              </w:rPr>
            </w:pPr>
          </w:p>
        </w:tc>
        <w:tc>
          <w:tcPr>
            <w:tcW w:w="1480" w:type="dxa"/>
            <w:vAlign w:val="bottom"/>
            <w:shd w:val="clear" w:color="auto" w:fill="E5E5E5"/>
          </w:tcPr>
          <w:p>
            <w:pPr>
              <w:ind w:left="1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24"/>
                <w:szCs w:val="24"/>
                <w:color w:val="auto"/>
              </w:rPr>
            </w:pPr>
          </w:p>
        </w:tc>
        <w:tc>
          <w:tcPr>
            <w:tcW w:w="122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236,987</w:t>
            </w:r>
          </w:p>
        </w:tc>
      </w:tr>
      <w:tr>
        <w:trPr>
          <w:trHeight w:val="257"/>
        </w:trPr>
        <w:tc>
          <w:tcPr>
            <w:tcW w:w="1540" w:type="dxa"/>
            <w:vAlign w:val="bottom"/>
          </w:tcPr>
          <w:p>
            <w:pPr>
              <w:ind w:left="40"/>
              <w:spacing w:after="0"/>
              <w:rPr>
                <w:sz w:val="20"/>
                <w:szCs w:val="20"/>
                <w:color w:val="auto"/>
              </w:rPr>
            </w:pPr>
            <w:r>
              <w:rPr>
                <w:rFonts w:ascii="Arial" w:cs="Arial" w:eastAsia="Arial" w:hAnsi="Arial"/>
                <w:sz w:val="18"/>
                <w:szCs w:val="18"/>
                <w:color w:val="auto"/>
              </w:rPr>
              <w:t>Mr. Henry</w:t>
            </w:r>
          </w:p>
        </w:tc>
        <w:tc>
          <w:tcPr>
            <w:tcW w:w="1720" w:type="dxa"/>
            <w:vAlign w:val="bottom"/>
          </w:tcPr>
          <w:p>
            <w:pPr>
              <w:ind w:left="120"/>
              <w:spacing w:after="0"/>
              <w:rPr>
                <w:sz w:val="20"/>
                <w:szCs w:val="20"/>
                <w:color w:val="auto"/>
              </w:rPr>
            </w:pPr>
            <w:r>
              <w:rPr>
                <w:rFonts w:ascii="Arial" w:cs="Arial" w:eastAsia="Arial" w:hAnsi="Arial"/>
                <w:sz w:val="18"/>
                <w:szCs w:val="18"/>
                <w:color w:val="auto"/>
              </w:rPr>
              <w:t>SERP</w:t>
            </w:r>
          </w:p>
        </w:tc>
        <w:tc>
          <w:tcPr>
            <w:tcW w:w="380" w:type="dxa"/>
            <w:vAlign w:val="bottom"/>
          </w:tcPr>
          <w:p>
            <w:pPr>
              <w:spacing w:after="0"/>
              <w:rPr>
                <w:sz w:val="22"/>
                <w:szCs w:val="22"/>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480" w:type="dxa"/>
            <w:vAlign w:val="bottom"/>
          </w:tcPr>
          <w:p>
            <w:pPr>
              <w:ind w:left="1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1540" w:type="dxa"/>
            <w:vAlign w:val="bottom"/>
          </w:tcPr>
          <w:p>
            <w:pPr>
              <w:spacing w:after="0"/>
              <w:rPr>
                <w:sz w:val="23"/>
                <w:szCs w:val="23"/>
                <w:color w:val="auto"/>
              </w:rPr>
            </w:pPr>
          </w:p>
        </w:tc>
        <w:tc>
          <w:tcPr>
            <w:tcW w:w="1720" w:type="dxa"/>
            <w:vAlign w:val="bottom"/>
          </w:tcPr>
          <w:p>
            <w:pPr>
              <w:ind w:left="120"/>
              <w:spacing w:after="0"/>
              <w:rPr>
                <w:sz w:val="20"/>
                <w:szCs w:val="20"/>
                <w:color w:val="auto"/>
              </w:rPr>
            </w:pPr>
            <w:r>
              <w:rPr>
                <w:rFonts w:ascii="Arial" w:cs="Arial" w:eastAsia="Arial" w:hAnsi="Arial"/>
                <w:sz w:val="18"/>
                <w:szCs w:val="18"/>
                <w:color w:val="auto"/>
              </w:rPr>
              <w:t>Restoration Plan</w:t>
            </w:r>
          </w:p>
        </w:tc>
        <w:tc>
          <w:tcPr>
            <w:tcW w:w="380" w:type="dxa"/>
            <w:vAlign w:val="bottom"/>
          </w:tcPr>
          <w:p>
            <w:pPr>
              <w:spacing w:after="0"/>
              <w:rPr>
                <w:sz w:val="23"/>
                <w:szCs w:val="23"/>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39,500</w:t>
            </w:r>
          </w:p>
        </w:tc>
        <w:tc>
          <w:tcPr>
            <w:tcW w:w="240" w:type="dxa"/>
            <w:vAlign w:val="bottom"/>
          </w:tcPr>
          <w:p>
            <w:pPr>
              <w:spacing w:after="0"/>
              <w:rPr>
                <w:sz w:val="23"/>
                <w:szCs w:val="23"/>
                <w:color w:val="auto"/>
              </w:rPr>
            </w:pP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13,825</w:t>
            </w:r>
          </w:p>
        </w:tc>
        <w:tc>
          <w:tcPr>
            <w:tcW w:w="280" w:type="dxa"/>
            <w:vAlign w:val="bottom"/>
          </w:tcPr>
          <w:p>
            <w:pPr>
              <w:spacing w:after="0"/>
              <w:rPr>
                <w:sz w:val="23"/>
                <w:szCs w:val="23"/>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27,189</w:t>
            </w:r>
          </w:p>
        </w:tc>
        <w:tc>
          <w:tcPr>
            <w:tcW w:w="380" w:type="dxa"/>
            <w:vAlign w:val="bottom"/>
          </w:tcPr>
          <w:p>
            <w:pPr>
              <w:spacing w:after="0"/>
              <w:rPr>
                <w:sz w:val="23"/>
                <w:szCs w:val="23"/>
                <w:color w:val="auto"/>
              </w:rPr>
            </w:pPr>
          </w:p>
        </w:tc>
        <w:tc>
          <w:tcPr>
            <w:tcW w:w="1480" w:type="dxa"/>
            <w:vAlign w:val="bottom"/>
          </w:tcPr>
          <w:p>
            <w:pPr>
              <w:ind w:left="1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281,205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60" w:hanging="330"/>
        <w:spacing w:after="0"/>
        <w:tabs>
          <w:tab w:leader="none" w:pos="460" w:val="left"/>
        </w:tabs>
        <w:numPr>
          <w:ilvl w:val="0"/>
          <w:numId w:val="102"/>
        </w:numPr>
        <w:rPr>
          <w:rFonts w:ascii="Arial" w:cs="Arial" w:eastAsia="Arial" w:hAnsi="Arial"/>
          <w:sz w:val="14"/>
          <w:szCs w:val="14"/>
          <w:i w:val="1"/>
          <w:iCs w:val="1"/>
          <w:color w:val="auto"/>
        </w:rPr>
      </w:pPr>
      <w:r>
        <w:rPr>
          <w:rFonts w:ascii="Arial" w:cs="Arial" w:eastAsia="Arial" w:hAnsi="Arial"/>
          <w:sz w:val="14"/>
          <w:szCs w:val="14"/>
          <w:i w:val="1"/>
          <w:iCs w:val="1"/>
          <w:color w:val="auto"/>
        </w:rPr>
        <w:t>No SERP information is provided for Mr. Fees because he did not defer cash compensation under our SERP for 2017.</w:t>
      </w:r>
    </w:p>
    <w:p>
      <w:pPr>
        <w:spacing w:after="0" w:line="208"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 xml:space="preserve">SERP. </w:t>
      </w:r>
      <w:r>
        <w:rPr>
          <w:rFonts w:ascii="Arial" w:cs="Arial" w:eastAsia="Arial" w:hAnsi="Arial"/>
          <w:sz w:val="18"/>
          <w:szCs w:val="18"/>
          <w:color w:val="auto"/>
        </w:rPr>
        <w:t>Our SERP is an unfunded, nonqualified defined contribution plan through which we provide annual contributions to a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notional account, which we refer to as a participant’s company account. Participants include officers selected by our Compensation Committee. Benefits under our SERP are based on the participating Named Executive’s vested percentage in his notional account balance at the time of distribution. A Named Executive generally vests in his company SERP account 20% for each year of participation in their respective company account, subject to accelerated vesting for death, disability, termination by the company without cause, retirement or on a change in control.</w:t>
      </w:r>
    </w:p>
    <w:p>
      <w:pPr>
        <w:spacing w:after="0" w:line="67"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For 2017, participants could elect to defer the payment of certain compensation earned from us. Under our SERP, any amounts deferred by a participant are maintained in a notional account separate from the account into which we make annual contributions. We refer to this separate account as a participant’s deferral account. Participants are 100% vested in their deferral accounts at all times.</w:t>
      </w:r>
    </w:p>
    <w:p>
      <w:pPr>
        <w:spacing w:after="0" w:line="4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Restoration Plan</w:t>
      </w:r>
      <w:r>
        <w:rPr>
          <w:rFonts w:ascii="Arial" w:cs="Arial" w:eastAsia="Arial" w:hAnsi="Arial"/>
          <w:sz w:val="18"/>
          <w:szCs w:val="18"/>
          <w:color w:val="auto"/>
        </w:rPr>
        <w:t>. Our Restoration Plan is an unfunded, nonqualified defined contribution plan through which we provide annual contributions</w:t>
      </w:r>
      <w:r>
        <w:rPr>
          <w:rFonts w:ascii="Arial" w:cs="Arial" w:eastAsia="Arial" w:hAnsi="Arial"/>
          <w:sz w:val="18"/>
          <w:szCs w:val="18"/>
          <w:i w:val="1"/>
          <w:iCs w:val="1"/>
          <w:color w:val="auto"/>
        </w:rPr>
        <w:t xml:space="preserve"> </w:t>
      </w:r>
      <w:r>
        <w:rPr>
          <w:rFonts w:ascii="Arial" w:cs="Arial" w:eastAsia="Arial" w:hAnsi="Arial"/>
          <w:sz w:val="18"/>
          <w:szCs w:val="18"/>
          <w:color w:val="auto"/>
        </w:rPr>
        <w:t>to each participant’s notional accounts, which we refer to as a participant’s company matching account and company service-based account. Participants include our Named Executives and other employees of our Company whose base salary exceeds certain compensation limits imposed by the Internal Revenue Code. Benefits under our Restoration Plan are based on a participant’s vested percentage in his or her notional account balance at the time of distribution. Each participant generally vests 100% in his or her company matching account and company service-based account upon completing three years of service with our Company, subject to accelerated vesting for death, disability, termination by the Company without cause, retirement or on a change in control.</w:t>
      </w:r>
    </w:p>
    <w:p>
      <w:pPr>
        <w:spacing w:after="0" w:line="7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Participants in our Restoration Plan may elect to defer the payment of certain compensation earned from us that is in excess of limits imposed by the Internal Revenue Code. As with our SERP, any amounts deferred by a participant in the Restoration Plan are reflected in a notional deferral account that is separate from the participant’s company matching and service-based accounts. Participants are 100% vested in their deferral accounts at all times.</w:t>
      </w:r>
    </w:p>
    <w:p>
      <w:pPr>
        <w:spacing w:after="0" w:line="4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Executive Contributions in 2017</w:t>
      </w:r>
      <w:r>
        <w:rPr>
          <w:rFonts w:ascii="Arial" w:cs="Arial" w:eastAsia="Arial" w:hAnsi="Arial"/>
          <w:sz w:val="18"/>
          <w:szCs w:val="18"/>
          <w:color w:val="auto"/>
        </w:rPr>
        <w:t>. Under our SERP, an officer selected by our Compensation Committee may elect to defer up to 50% of 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her annual salary and/or up to 100% of any bonus earned in any plan year and a member of the Board may elect to defer up to 100% of his or her retainers earned in any plan year. Although participants were permitted to contribute all or a portion of their 2017 EICP bonuses to their SERP accounts, the amounts reported in this table as “Executive Contributions in 2017” do not include any contributions of any 2017 EICP awards because EICP awards earned in 2017 are not paid until 2018. Amounts reported in this column for each Named Executive are reported as “Salary” for each Named Executive in the Summary Compensation Table above.</w:t>
      </w:r>
    </w:p>
    <w:p>
      <w:pPr>
        <w:spacing w:after="0" w:line="7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All of our Named Executives elected to contribute to their Restoration Plan deferral accounts in 2017. Our Restoration Plan allows participants to defer a percentage of their base salary in excess of the Internal Revenue</w:t>
      </w:r>
    </w:p>
    <w:p>
      <w:pPr>
        <w:spacing w:after="0" w:line="224" w:lineRule="exact"/>
        <w:rPr>
          <w:sz w:val="20"/>
          <w:szCs w:val="20"/>
          <w:color w:val="auto"/>
        </w:rPr>
      </w:pPr>
    </w:p>
    <w:p>
      <w:pPr>
        <w:ind w:left="8160"/>
        <w:spacing w:after="0"/>
        <w:rPr>
          <w:sz w:val="20"/>
          <w:szCs w:val="20"/>
          <w:color w:val="auto"/>
        </w:rPr>
      </w:pPr>
      <w:r>
        <w:rPr>
          <w:sz w:val="1"/>
          <w:szCs w:val="1"/>
          <w:color w:val="auto"/>
        </w:rPr>
        <w:drawing>
          <wp:inline distT="0" distB="0" distL="0" distR="0">
            <wp:extent cx="488950" cy="20574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88950" cy="205740"/>
                    </a:xfrm>
                    <a:prstGeom prst="rect">
                      <a:avLst/>
                    </a:prstGeom>
                    <a:noFill/>
                    <a:ln>
                      <a:noFill/>
                    </a:ln>
                  </pic:spPr>
                </pic:pic>
              </a:graphicData>
            </a:graphic>
          </wp:inline>
        </w:drawing>
      </w:r>
      <w:r>
        <w:rPr>
          <w:rFonts w:ascii="Arial" w:cs="Arial" w:eastAsia="Arial" w:hAnsi="Arial"/>
          <w:sz w:val="17"/>
          <w:szCs w:val="17"/>
          <w:color w:val="auto"/>
        </w:rPr>
        <w:t xml:space="preserve"> 2018 PROXY STATEMENT </w:t>
      </w:r>
      <w:r>
        <w:rPr>
          <w:rFonts w:ascii="Arial" w:cs="Arial" w:eastAsia="Arial" w:hAnsi="Arial"/>
          <w:sz w:val="17"/>
          <w:szCs w:val="17"/>
          <w:b w:val="1"/>
          <w:bCs w:val="1"/>
          <w:color w:val="2C2C2C"/>
        </w:rPr>
        <w:t>49</w:t>
      </w:r>
    </w:p>
    <w:p>
      <w:pPr>
        <w:sectPr>
          <w:pgSz w:w="11900" w:h="16838" w:orient="portrait"/>
          <w:cols w:equalWidth="0" w:num="1">
            <w:col w:w="11420"/>
          </w:cols>
          <w:pgMar w:left="240" w:top="125" w:right="239" w:bottom="1440" w:gutter="0" w:footer="0" w:header="0"/>
        </w:sectPr>
      </w:pPr>
    </w:p>
    <w:bookmarkStart w:id="58" w:name="page59"/>
    <w:bookmarkEnd w:id="58"/>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7240"/>
        <w:spacing w:after="0"/>
        <w:rPr>
          <w:sz w:val="20"/>
          <w:szCs w:val="20"/>
          <w:color w:val="auto"/>
        </w:rPr>
      </w:pPr>
      <w:r>
        <w:rPr>
          <w:rFonts w:ascii="Arial" w:cs="Arial" w:eastAsia="Arial" w:hAnsi="Arial"/>
          <w:sz w:val="14"/>
          <w:szCs w:val="14"/>
          <w:color w:val="auto"/>
        </w:rPr>
        <w:t>COMPENSATION OF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Code Section 401(a)(17) compensation limit, and receive company matching contributions with respect to those deferrals.</w:t>
      </w:r>
    </w:p>
    <w:p>
      <w:pPr>
        <w:spacing w:after="0" w:line="6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Registrant Contributions in 2017</w:t>
      </w:r>
      <w:r>
        <w:rPr>
          <w:rFonts w:ascii="Arial" w:cs="Arial" w:eastAsia="Arial" w:hAnsi="Arial"/>
          <w:sz w:val="18"/>
          <w:szCs w:val="18"/>
          <w:color w:val="auto"/>
        </w:rPr>
        <w:t>. Our Company no longer makes company contributions to our Named Executives' SERP accounts.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Restoration Plan, our Company makes notional matching and service-based contributions to eligible participants’ company matching account and serviced-based account, respectively. Any Restoration Plan participants who have elected to make deferral contributions under our Restoration Plan are credited with a company matching contribution equal to 50% of the first 6% of their deferral contribution. For each participant in our Restoration Plan who is not eligible to participate in our pension plans, we also make a cash service-based contribution to the participant’s company service-based account. The amount of this service-based contribution is based on a percentage of the participant’s eligible compensation in excess of the Internal Revenue Code limit and ranges between 3% and 8%, depending on the participant’s years of service. This service-based contribution is made regardless of whether the participant has elected to make deferral contributions under our Restoration Plan. All 2017 company contributions are included in the “Summary Compensation Table” above as “All Other Compensation.”</w:t>
      </w:r>
    </w:p>
    <w:p>
      <w:pPr>
        <w:spacing w:after="0" w:line="46"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Aggregate Earnings in 2017</w:t>
      </w:r>
      <w:r>
        <w:rPr>
          <w:rFonts w:ascii="Arial" w:cs="Arial" w:eastAsia="Arial" w:hAnsi="Arial"/>
          <w:sz w:val="18"/>
          <w:szCs w:val="18"/>
          <w:color w:val="auto"/>
        </w:rPr>
        <w:t>. The amounts reported in this column for our SERP and Restoration Plan represent hypothetical amounts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earnings or losses and dividends credited during 2017 on all accounts for each Named Executive under our SERP and Restoration Plan. Under our SERP and Restoration Plans, each participant elects to have his notional accounts hypothetically invested in one or more of the investment funds designated by our Compensation Committee. Each participant’s notional accounts are credited and debited to reflect gains and losses on the hypothetical investments. These gains and losses are not reported as compensation in the Summary Compensation Table.</w:t>
      </w:r>
    </w:p>
    <w:p>
      <w:pPr>
        <w:spacing w:after="0" w:line="45" w:lineRule="exact"/>
        <w:rPr>
          <w:sz w:val="20"/>
          <w:szCs w:val="20"/>
          <w:color w:val="auto"/>
        </w:rPr>
      </w:pPr>
    </w:p>
    <w:p>
      <w:pPr>
        <w:jc w:val="both"/>
        <w:ind w:right="140"/>
        <w:spacing w:after="0" w:line="269" w:lineRule="auto"/>
        <w:rPr>
          <w:sz w:val="20"/>
          <w:szCs w:val="20"/>
          <w:color w:val="auto"/>
        </w:rPr>
      </w:pPr>
      <w:r>
        <w:rPr>
          <w:rFonts w:ascii="Arial" w:cs="Arial" w:eastAsia="Arial" w:hAnsi="Arial"/>
          <w:sz w:val="18"/>
          <w:szCs w:val="18"/>
          <w:b w:val="1"/>
          <w:bCs w:val="1"/>
          <w:i w:val="1"/>
          <w:iCs w:val="1"/>
          <w:color w:val="auto"/>
        </w:rPr>
        <w:t>Aggregate Withdrawals/Distributions in 2017</w:t>
      </w:r>
      <w:r>
        <w:rPr>
          <w:rFonts w:ascii="Arial" w:cs="Arial" w:eastAsia="Arial" w:hAnsi="Arial"/>
          <w:sz w:val="18"/>
          <w:szCs w:val="18"/>
          <w:color w:val="auto"/>
        </w:rPr>
        <w:t>. The amounts reported in this column for our SERP and Restoration Plan represent amounts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Named Executives withdrew from their respective accounts or converted into a different retirement account. There were no withdrawals made by the Named Executives in 2017.</w:t>
      </w:r>
    </w:p>
    <w:p>
      <w:pPr>
        <w:spacing w:after="0" w:line="3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Aggregate Balance at December 31, 2017</w:t>
      </w:r>
      <w:r>
        <w:rPr>
          <w:rFonts w:ascii="Arial" w:cs="Arial" w:eastAsia="Arial" w:hAnsi="Arial"/>
          <w:sz w:val="18"/>
          <w:szCs w:val="18"/>
          <w:color w:val="auto"/>
        </w:rPr>
        <w:t>. The aggregate balance of a participating Named Executive’s notional SERP account consists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contributions made by us to the Named Executive’s company account, deferrals by the Named Executive to his deferral account, hypothetical credited gains or losses on those accounts and any aggregate withdrawals or distributions from the SERP account. The aggregate balance of a participating Named Executive’s notional Restoration Plan account consists of contributions made by us to the Named Executive’s company matching account and company service-based account, deferrals by the officer to his deferral account, hypothetical gains or losses on those accounts and any aggregate withdrawals or distributions from the Restoration Plan. The balances shown represent the accumulated account values (including gains and losses) for each Named Executive as of December 31, 2017. Messrs. Black and Canafax were each 100% vested in their SERP balance shown above. Messrs. Black, Canafax and Henry were each 100% vested in their Restoration Plan balance shown above.</w:t>
      </w:r>
    </w:p>
    <w:p>
      <w:pPr>
        <w:spacing w:after="0" w:line="6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SERP and Restoration Plan balances include contributions from previous years, which have been reported as compensation to the Named Executives in the Summary Compensation Table for those years – to the extent a Named Executive was included in the Summary Compensation Table during those years. Mr. Henry was not a Named Executive prior to this year. The aggregate balances for the SERP and Restoration Plan for each Named Executive in the prior years are as follows:</w:t>
      </w:r>
    </w:p>
    <w:p>
      <w:pPr>
        <w:spacing w:after="0" w:line="205" w:lineRule="exact"/>
        <w:rPr>
          <w:sz w:val="20"/>
          <w:szCs w:val="20"/>
          <w:color w:val="auto"/>
        </w:rPr>
      </w:pPr>
    </w:p>
    <w:tbl>
      <w:tblPr>
        <w:tblLayout w:type="fixed"/>
        <w:tblInd w:w="3080" w:type="dxa"/>
        <w:tblCellMar>
          <w:top w:w="0" w:type="dxa"/>
          <w:left w:w="0" w:type="dxa"/>
          <w:bottom w:w="0" w:type="dxa"/>
          <w:right w:w="0" w:type="dxa"/>
        </w:tblCellMar>
      </w:tblPr>
      <w:tr>
        <w:trPr>
          <w:trHeight w:val="176"/>
        </w:trPr>
        <w:tc>
          <w:tcPr>
            <w:tcW w:w="1420" w:type="dxa"/>
            <w:vAlign w:val="bottom"/>
            <w:shd w:val="clear" w:color="auto" w:fill="525252"/>
          </w:tcPr>
          <w:p>
            <w:pPr>
              <w:spacing w:after="0"/>
              <w:rPr>
                <w:sz w:val="15"/>
                <w:szCs w:val="15"/>
                <w:color w:val="auto"/>
              </w:rPr>
            </w:pPr>
          </w:p>
        </w:tc>
        <w:tc>
          <w:tcPr>
            <w:tcW w:w="820" w:type="dxa"/>
            <w:vAlign w:val="bottom"/>
            <w:shd w:val="clear" w:color="auto" w:fill="525252"/>
          </w:tcPr>
          <w:p>
            <w:pPr>
              <w:spacing w:after="0"/>
              <w:rPr>
                <w:sz w:val="15"/>
                <w:szCs w:val="15"/>
                <w:color w:val="auto"/>
              </w:rPr>
            </w:pPr>
          </w:p>
        </w:tc>
        <w:tc>
          <w:tcPr>
            <w:tcW w:w="260" w:type="dxa"/>
            <w:vAlign w:val="bottom"/>
            <w:shd w:val="clear" w:color="auto" w:fill="525252"/>
          </w:tcPr>
          <w:p>
            <w:pPr>
              <w:spacing w:after="0"/>
              <w:rPr>
                <w:sz w:val="15"/>
                <w:szCs w:val="15"/>
                <w:color w:val="auto"/>
              </w:rPr>
            </w:pPr>
          </w:p>
        </w:tc>
        <w:tc>
          <w:tcPr>
            <w:tcW w:w="1260" w:type="dxa"/>
            <w:vAlign w:val="bottom"/>
            <w:shd w:val="clear" w:color="auto" w:fill="525252"/>
          </w:tcPr>
          <w:p>
            <w:pPr>
              <w:jc w:val="right"/>
              <w:ind w:right="280"/>
              <w:spacing w:after="0"/>
              <w:rPr>
                <w:sz w:val="20"/>
                <w:szCs w:val="20"/>
                <w:color w:val="auto"/>
              </w:rPr>
            </w:pPr>
            <w:r>
              <w:rPr>
                <w:rFonts w:ascii="Arial" w:cs="Arial" w:eastAsia="Arial" w:hAnsi="Arial"/>
                <w:sz w:val="14"/>
                <w:szCs w:val="14"/>
                <w:b w:val="1"/>
                <w:bCs w:val="1"/>
                <w:color w:val="FFFFFF"/>
              </w:rPr>
              <w:t>Restoration</w:t>
            </w:r>
          </w:p>
        </w:tc>
        <w:tc>
          <w:tcPr>
            <w:tcW w:w="380" w:type="dxa"/>
            <w:vAlign w:val="bottom"/>
            <w:shd w:val="clear" w:color="auto" w:fill="525252"/>
          </w:tcPr>
          <w:p>
            <w:pPr>
              <w:spacing w:after="0"/>
              <w:rPr>
                <w:sz w:val="15"/>
                <w:szCs w:val="15"/>
                <w:color w:val="auto"/>
              </w:rPr>
            </w:pPr>
          </w:p>
        </w:tc>
        <w:tc>
          <w:tcPr>
            <w:tcW w:w="1140" w:type="dxa"/>
            <w:vAlign w:val="bottom"/>
            <w:shd w:val="clear" w:color="auto" w:fill="525252"/>
          </w:tcPr>
          <w:p>
            <w:pPr>
              <w:spacing w:after="0"/>
              <w:rPr>
                <w:sz w:val="15"/>
                <w:szCs w:val="15"/>
                <w:color w:val="auto"/>
              </w:rPr>
            </w:pPr>
          </w:p>
        </w:tc>
      </w:tr>
      <w:tr>
        <w:trPr>
          <w:trHeight w:val="202"/>
        </w:trPr>
        <w:tc>
          <w:tcPr>
            <w:tcW w:w="1420" w:type="dxa"/>
            <w:vAlign w:val="bottom"/>
            <w:shd w:val="clear" w:color="auto" w:fill="525252"/>
          </w:tcPr>
          <w:p>
            <w:pPr>
              <w:ind w:left="100"/>
              <w:spacing w:after="0"/>
              <w:rPr>
                <w:sz w:val="20"/>
                <w:szCs w:val="20"/>
                <w:color w:val="auto"/>
              </w:rPr>
            </w:pPr>
            <w:r>
              <w:rPr>
                <w:rFonts w:ascii="Arial" w:cs="Arial" w:eastAsia="Arial" w:hAnsi="Arial"/>
                <w:sz w:val="14"/>
                <w:szCs w:val="14"/>
                <w:b w:val="1"/>
                <w:bCs w:val="1"/>
                <w:color w:val="FFFFFF"/>
              </w:rPr>
              <w:t>Named Executive</w:t>
            </w:r>
          </w:p>
        </w:tc>
        <w:tc>
          <w:tcPr>
            <w:tcW w:w="820" w:type="dxa"/>
            <w:vAlign w:val="bottom"/>
            <w:shd w:val="clear" w:color="auto" w:fill="525252"/>
          </w:tcPr>
          <w:p>
            <w:pPr>
              <w:jc w:val="right"/>
              <w:ind w:right="160"/>
              <w:spacing w:after="0"/>
              <w:rPr>
                <w:sz w:val="20"/>
                <w:szCs w:val="20"/>
                <w:color w:val="auto"/>
              </w:rPr>
            </w:pPr>
            <w:r>
              <w:rPr>
                <w:rFonts w:ascii="Arial" w:cs="Arial" w:eastAsia="Arial" w:hAnsi="Arial"/>
                <w:sz w:val="14"/>
                <w:szCs w:val="14"/>
                <w:b w:val="1"/>
                <w:bCs w:val="1"/>
                <w:color w:val="FFFFFF"/>
              </w:rPr>
              <w:t>Year</w:t>
            </w:r>
          </w:p>
        </w:tc>
        <w:tc>
          <w:tcPr>
            <w:tcW w:w="260" w:type="dxa"/>
            <w:vAlign w:val="bottom"/>
            <w:shd w:val="clear" w:color="auto" w:fill="525252"/>
          </w:tcPr>
          <w:p>
            <w:pPr>
              <w:spacing w:after="0"/>
              <w:rPr>
                <w:sz w:val="17"/>
                <w:szCs w:val="17"/>
                <w:color w:val="auto"/>
              </w:rPr>
            </w:pPr>
          </w:p>
        </w:tc>
        <w:tc>
          <w:tcPr>
            <w:tcW w:w="1260" w:type="dxa"/>
            <w:vAlign w:val="bottom"/>
            <w:shd w:val="clear" w:color="auto" w:fill="525252"/>
          </w:tcPr>
          <w:p>
            <w:pPr>
              <w:jc w:val="right"/>
              <w:ind w:right="520"/>
              <w:spacing w:after="0"/>
              <w:rPr>
                <w:sz w:val="20"/>
                <w:szCs w:val="20"/>
                <w:color w:val="auto"/>
              </w:rPr>
            </w:pPr>
            <w:r>
              <w:rPr>
                <w:rFonts w:ascii="Arial" w:cs="Arial" w:eastAsia="Arial" w:hAnsi="Arial"/>
                <w:sz w:val="14"/>
                <w:szCs w:val="14"/>
                <w:b w:val="1"/>
                <w:bCs w:val="1"/>
                <w:color w:val="FFFFFF"/>
              </w:rPr>
              <w:t>Plan</w:t>
            </w:r>
          </w:p>
        </w:tc>
        <w:tc>
          <w:tcPr>
            <w:tcW w:w="380" w:type="dxa"/>
            <w:vAlign w:val="bottom"/>
            <w:shd w:val="clear" w:color="auto" w:fill="525252"/>
          </w:tcPr>
          <w:p>
            <w:pPr>
              <w:spacing w:after="0"/>
              <w:rPr>
                <w:sz w:val="17"/>
                <w:szCs w:val="17"/>
                <w:color w:val="auto"/>
              </w:rPr>
            </w:pPr>
          </w:p>
        </w:tc>
        <w:tc>
          <w:tcPr>
            <w:tcW w:w="1140" w:type="dxa"/>
            <w:vAlign w:val="bottom"/>
            <w:shd w:val="clear" w:color="auto" w:fill="525252"/>
          </w:tcPr>
          <w:p>
            <w:pPr>
              <w:jc w:val="right"/>
              <w:ind w:right="460"/>
              <w:spacing w:after="0"/>
              <w:rPr>
                <w:sz w:val="20"/>
                <w:szCs w:val="20"/>
                <w:color w:val="auto"/>
              </w:rPr>
            </w:pPr>
            <w:r>
              <w:rPr>
                <w:rFonts w:ascii="Arial" w:cs="Arial" w:eastAsia="Arial" w:hAnsi="Arial"/>
                <w:sz w:val="14"/>
                <w:szCs w:val="14"/>
                <w:b w:val="1"/>
                <w:bCs w:val="1"/>
                <w:color w:val="FFFFFF"/>
              </w:rPr>
              <w:t>SERP</w:t>
            </w:r>
          </w:p>
        </w:tc>
      </w:tr>
      <w:tr>
        <w:trPr>
          <w:trHeight w:val="251"/>
        </w:trPr>
        <w:tc>
          <w:tcPr>
            <w:tcW w:w="1420" w:type="dxa"/>
            <w:vAlign w:val="bottom"/>
          </w:tcPr>
          <w:p>
            <w:pPr>
              <w:ind w:left="20"/>
              <w:spacing w:after="0"/>
              <w:rPr>
                <w:sz w:val="20"/>
                <w:szCs w:val="20"/>
                <w:color w:val="auto"/>
              </w:rPr>
            </w:pPr>
            <w:r>
              <w:rPr>
                <w:rFonts w:ascii="Arial" w:cs="Arial" w:eastAsia="Arial" w:hAnsi="Arial"/>
                <w:sz w:val="16"/>
                <w:szCs w:val="16"/>
                <w:color w:val="auto"/>
              </w:rPr>
              <w:t>Mr. Geveden</w:t>
            </w:r>
          </w:p>
        </w:tc>
        <w:tc>
          <w:tcPr>
            <w:tcW w:w="820" w:type="dxa"/>
            <w:vAlign w:val="bottom"/>
          </w:tcPr>
          <w:p>
            <w:pPr>
              <w:jc w:val="right"/>
              <w:spacing w:after="0"/>
              <w:rPr>
                <w:sz w:val="20"/>
                <w:szCs w:val="20"/>
                <w:color w:val="auto"/>
              </w:rPr>
            </w:pPr>
            <w:r>
              <w:rPr>
                <w:rFonts w:ascii="Arial" w:cs="Arial" w:eastAsia="Arial" w:hAnsi="Arial"/>
                <w:sz w:val="16"/>
                <w:szCs w:val="16"/>
                <w:color w:val="auto"/>
              </w:rPr>
              <w:t>2016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31,490</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80"/>
        </w:trPr>
        <w:tc>
          <w:tcPr>
            <w:tcW w:w="1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2015</w:t>
            </w: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N/A</w:t>
            </w:r>
          </w:p>
        </w:tc>
        <w:tc>
          <w:tcPr>
            <w:tcW w:w="3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60"/>
        </w:trPr>
        <w:tc>
          <w:tcPr>
            <w:tcW w:w="1420" w:type="dxa"/>
            <w:vAlign w:val="bottom"/>
            <w:shd w:val="clear" w:color="auto" w:fill="E5E5E5"/>
          </w:tcPr>
          <w:p>
            <w:pPr>
              <w:ind w:left="20"/>
              <w:spacing w:after="0"/>
              <w:rPr>
                <w:sz w:val="20"/>
                <w:szCs w:val="20"/>
                <w:color w:val="auto"/>
              </w:rPr>
            </w:pPr>
            <w:r>
              <w:rPr>
                <w:rFonts w:ascii="Arial" w:cs="Arial" w:eastAsia="Arial" w:hAnsi="Arial"/>
                <w:sz w:val="16"/>
                <w:szCs w:val="16"/>
                <w:color w:val="auto"/>
              </w:rPr>
              <w:t>Mr. Black</w:t>
            </w: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2016</w:t>
            </w:r>
          </w:p>
        </w:tc>
        <w:tc>
          <w:tcPr>
            <w:tcW w:w="260" w:type="dxa"/>
            <w:vAlign w:val="bottom"/>
            <w:shd w:val="clear" w:color="auto" w:fill="E5E5E5"/>
          </w:tcPr>
          <w:p>
            <w:pPr>
              <w:spacing w:after="0"/>
              <w:rPr>
                <w:sz w:val="22"/>
                <w:szCs w:val="22"/>
                <w:color w:val="auto"/>
              </w:rPr>
            </w:pPr>
          </w:p>
        </w:tc>
        <w:tc>
          <w:tcPr>
            <w:tcW w:w="12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56,288</w:t>
            </w:r>
          </w:p>
        </w:tc>
        <w:tc>
          <w:tcPr>
            <w:tcW w:w="380" w:type="dxa"/>
            <w:vAlign w:val="bottom"/>
            <w:shd w:val="clear" w:color="auto" w:fill="E5E5E5"/>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368,694</w:t>
            </w:r>
          </w:p>
        </w:tc>
      </w:tr>
      <w:tr>
        <w:trPr>
          <w:trHeight w:val="270"/>
        </w:trPr>
        <w:tc>
          <w:tcPr>
            <w:tcW w:w="1420" w:type="dxa"/>
            <w:vAlign w:val="bottom"/>
            <w:shd w:val="clear" w:color="auto" w:fill="E5E5E5"/>
          </w:tcPr>
          <w:p>
            <w:pPr>
              <w:spacing w:after="0"/>
              <w:rPr>
                <w:sz w:val="23"/>
                <w:szCs w:val="23"/>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2015</w:t>
            </w:r>
          </w:p>
        </w:tc>
        <w:tc>
          <w:tcPr>
            <w:tcW w:w="260" w:type="dxa"/>
            <w:vAlign w:val="bottom"/>
            <w:shd w:val="clear" w:color="auto" w:fill="E5E5E5"/>
          </w:tcPr>
          <w:p>
            <w:pPr>
              <w:spacing w:after="0"/>
              <w:rPr>
                <w:sz w:val="23"/>
                <w:szCs w:val="23"/>
                <w:color w:val="auto"/>
              </w:rPr>
            </w:pPr>
          </w:p>
        </w:tc>
        <w:tc>
          <w:tcPr>
            <w:tcW w:w="12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33,255</w:t>
            </w:r>
          </w:p>
        </w:tc>
        <w:tc>
          <w:tcPr>
            <w:tcW w:w="380" w:type="dxa"/>
            <w:vAlign w:val="bottom"/>
            <w:shd w:val="clear" w:color="auto" w:fill="E5E5E5"/>
          </w:tcPr>
          <w:p>
            <w:pPr>
              <w:spacing w:after="0"/>
              <w:rPr>
                <w:sz w:val="23"/>
                <w:szCs w:val="23"/>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349,562</w:t>
            </w:r>
          </w:p>
        </w:tc>
      </w:tr>
      <w:tr>
        <w:trPr>
          <w:trHeight w:val="290"/>
        </w:trPr>
        <w:tc>
          <w:tcPr>
            <w:tcW w:w="1420" w:type="dxa"/>
            <w:vAlign w:val="bottom"/>
            <w:shd w:val="clear" w:color="auto" w:fill="E5E5E5"/>
          </w:tcPr>
          <w:p>
            <w:pPr>
              <w:spacing w:after="0"/>
              <w:rPr>
                <w:sz w:val="24"/>
                <w:szCs w:val="24"/>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2014</w:t>
            </w:r>
          </w:p>
        </w:tc>
        <w:tc>
          <w:tcPr>
            <w:tcW w:w="260" w:type="dxa"/>
            <w:vAlign w:val="bottom"/>
            <w:shd w:val="clear" w:color="auto" w:fill="E5E5E5"/>
          </w:tcPr>
          <w:p>
            <w:pPr>
              <w:spacing w:after="0"/>
              <w:rPr>
                <w:sz w:val="24"/>
                <w:szCs w:val="24"/>
                <w:color w:val="auto"/>
              </w:rPr>
            </w:pPr>
          </w:p>
        </w:tc>
        <w:tc>
          <w:tcPr>
            <w:tcW w:w="12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N/A</w:t>
            </w:r>
          </w:p>
        </w:tc>
        <w:tc>
          <w:tcPr>
            <w:tcW w:w="380" w:type="dxa"/>
            <w:vAlign w:val="bottom"/>
            <w:shd w:val="clear" w:color="auto" w:fill="E5E5E5"/>
          </w:tcPr>
          <w:p>
            <w:pPr>
              <w:spacing w:after="0"/>
              <w:rPr>
                <w:sz w:val="24"/>
                <w:szCs w:val="24"/>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N/A</w:t>
            </w:r>
          </w:p>
        </w:tc>
      </w:tr>
      <w:tr>
        <w:trPr>
          <w:trHeight w:val="251"/>
        </w:trPr>
        <w:tc>
          <w:tcPr>
            <w:tcW w:w="1420" w:type="dxa"/>
            <w:vAlign w:val="bottom"/>
          </w:tcPr>
          <w:p>
            <w:pPr>
              <w:ind w:left="20"/>
              <w:spacing w:after="0"/>
              <w:rPr>
                <w:sz w:val="20"/>
                <w:szCs w:val="20"/>
                <w:color w:val="auto"/>
              </w:rPr>
            </w:pPr>
            <w:r>
              <w:rPr>
                <w:rFonts w:ascii="Arial" w:cs="Arial" w:eastAsia="Arial" w:hAnsi="Arial"/>
                <w:sz w:val="16"/>
                <w:szCs w:val="16"/>
                <w:color w:val="auto"/>
              </w:rPr>
              <w:t>Mr. Fees</w:t>
            </w:r>
          </w:p>
        </w:tc>
        <w:tc>
          <w:tcPr>
            <w:tcW w:w="820" w:type="dxa"/>
            <w:vAlign w:val="bottom"/>
          </w:tcPr>
          <w:p>
            <w:pPr>
              <w:jc w:val="right"/>
              <w:spacing w:after="0"/>
              <w:rPr>
                <w:sz w:val="20"/>
                <w:szCs w:val="20"/>
                <w:color w:val="auto"/>
              </w:rPr>
            </w:pPr>
            <w:r>
              <w:rPr>
                <w:rFonts w:ascii="Arial" w:cs="Arial" w:eastAsia="Arial" w:hAnsi="Arial"/>
                <w:sz w:val="16"/>
                <w:szCs w:val="16"/>
                <w:color w:val="auto"/>
              </w:rPr>
              <w:t>2016</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53,083</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70"/>
        </w:trPr>
        <w:tc>
          <w:tcPr>
            <w:tcW w:w="1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2015</w:t>
            </w:r>
          </w:p>
        </w:tc>
        <w:tc>
          <w:tcPr>
            <w:tcW w:w="2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N/A</w:t>
            </w:r>
          </w:p>
        </w:tc>
        <w:tc>
          <w:tcPr>
            <w:tcW w:w="3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80"/>
        </w:trPr>
        <w:tc>
          <w:tcPr>
            <w:tcW w:w="1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2014</w:t>
            </w: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N/A</w:t>
            </w:r>
          </w:p>
        </w:tc>
        <w:tc>
          <w:tcPr>
            <w:tcW w:w="3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60"/>
        </w:trPr>
        <w:tc>
          <w:tcPr>
            <w:tcW w:w="1420" w:type="dxa"/>
            <w:vAlign w:val="bottom"/>
            <w:shd w:val="clear" w:color="auto" w:fill="E5E5E5"/>
          </w:tcPr>
          <w:p>
            <w:pPr>
              <w:ind w:left="20"/>
              <w:spacing w:after="0"/>
              <w:rPr>
                <w:sz w:val="20"/>
                <w:szCs w:val="20"/>
                <w:color w:val="auto"/>
              </w:rPr>
            </w:pPr>
            <w:r>
              <w:rPr>
                <w:rFonts w:ascii="Arial" w:cs="Arial" w:eastAsia="Arial" w:hAnsi="Arial"/>
                <w:sz w:val="16"/>
                <w:szCs w:val="16"/>
                <w:color w:val="auto"/>
              </w:rPr>
              <w:t>Mr. Canafax</w:t>
            </w: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2016</w:t>
            </w:r>
          </w:p>
        </w:tc>
        <w:tc>
          <w:tcPr>
            <w:tcW w:w="260" w:type="dxa"/>
            <w:vAlign w:val="bottom"/>
            <w:shd w:val="clear" w:color="auto" w:fill="E5E5E5"/>
          </w:tcPr>
          <w:p>
            <w:pPr>
              <w:spacing w:after="0"/>
              <w:rPr>
                <w:sz w:val="22"/>
                <w:szCs w:val="22"/>
                <w:color w:val="auto"/>
              </w:rPr>
            </w:pPr>
          </w:p>
        </w:tc>
        <w:tc>
          <w:tcPr>
            <w:tcW w:w="12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165,761</w:t>
            </w:r>
          </w:p>
        </w:tc>
        <w:tc>
          <w:tcPr>
            <w:tcW w:w="38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149,485</w:t>
            </w:r>
          </w:p>
        </w:tc>
      </w:tr>
      <w:tr>
        <w:trPr>
          <w:trHeight w:val="270"/>
        </w:trPr>
        <w:tc>
          <w:tcPr>
            <w:tcW w:w="1420" w:type="dxa"/>
            <w:vAlign w:val="bottom"/>
            <w:shd w:val="clear" w:color="auto" w:fill="E5E5E5"/>
          </w:tcPr>
          <w:p>
            <w:pPr>
              <w:spacing w:after="0"/>
              <w:rPr>
                <w:sz w:val="23"/>
                <w:szCs w:val="23"/>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2015</w:t>
            </w:r>
          </w:p>
        </w:tc>
        <w:tc>
          <w:tcPr>
            <w:tcW w:w="260" w:type="dxa"/>
            <w:vAlign w:val="bottom"/>
            <w:shd w:val="clear" w:color="auto" w:fill="E5E5E5"/>
          </w:tcPr>
          <w:p>
            <w:pPr>
              <w:spacing w:after="0"/>
              <w:rPr>
                <w:sz w:val="23"/>
                <w:szCs w:val="23"/>
                <w:color w:val="auto"/>
              </w:rPr>
            </w:pPr>
          </w:p>
        </w:tc>
        <w:tc>
          <w:tcPr>
            <w:tcW w:w="12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122,148</w:t>
            </w:r>
          </w:p>
        </w:tc>
        <w:tc>
          <w:tcPr>
            <w:tcW w:w="380" w:type="dxa"/>
            <w:vAlign w:val="bottom"/>
            <w:shd w:val="clear" w:color="auto" w:fill="E5E5E5"/>
          </w:tcPr>
          <w:p>
            <w:pPr>
              <w:spacing w:after="0"/>
              <w:rPr>
                <w:sz w:val="23"/>
                <w:szCs w:val="23"/>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135,004</w:t>
            </w:r>
          </w:p>
        </w:tc>
      </w:tr>
      <w:tr>
        <w:trPr>
          <w:trHeight w:val="290"/>
        </w:trPr>
        <w:tc>
          <w:tcPr>
            <w:tcW w:w="1420" w:type="dxa"/>
            <w:vAlign w:val="bottom"/>
            <w:shd w:val="clear" w:color="auto" w:fill="E5E5E5"/>
          </w:tcPr>
          <w:p>
            <w:pPr>
              <w:spacing w:after="0"/>
              <w:rPr>
                <w:sz w:val="24"/>
                <w:szCs w:val="24"/>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2014</w:t>
            </w:r>
          </w:p>
        </w:tc>
        <w:tc>
          <w:tcPr>
            <w:tcW w:w="260" w:type="dxa"/>
            <w:vAlign w:val="bottom"/>
            <w:shd w:val="clear" w:color="auto" w:fill="E5E5E5"/>
          </w:tcPr>
          <w:p>
            <w:pPr>
              <w:spacing w:after="0"/>
              <w:rPr>
                <w:sz w:val="24"/>
                <w:szCs w:val="24"/>
                <w:color w:val="auto"/>
              </w:rPr>
            </w:pPr>
          </w:p>
        </w:tc>
        <w:tc>
          <w:tcPr>
            <w:tcW w:w="12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15,217</w:t>
            </w:r>
          </w:p>
        </w:tc>
        <w:tc>
          <w:tcPr>
            <w:tcW w:w="380" w:type="dxa"/>
            <w:vAlign w:val="bottom"/>
            <w:shd w:val="clear" w:color="auto" w:fill="E5E5E5"/>
          </w:tcPr>
          <w:p>
            <w:pPr>
              <w:spacing w:after="0"/>
              <w:rPr>
                <w:sz w:val="24"/>
                <w:szCs w:val="24"/>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35,070</w:t>
            </w:r>
          </w:p>
        </w:tc>
      </w:tr>
      <w:tr>
        <w:trPr>
          <w:trHeight w:val="251"/>
        </w:trPr>
        <w:tc>
          <w:tcPr>
            <w:tcW w:w="1420" w:type="dxa"/>
            <w:vAlign w:val="bottom"/>
          </w:tcPr>
          <w:p>
            <w:pPr>
              <w:ind w:left="20"/>
              <w:spacing w:after="0"/>
              <w:rPr>
                <w:sz w:val="20"/>
                <w:szCs w:val="20"/>
                <w:color w:val="auto"/>
              </w:rPr>
            </w:pPr>
            <w:r>
              <w:rPr>
                <w:rFonts w:ascii="Arial" w:cs="Arial" w:eastAsia="Arial" w:hAnsi="Arial"/>
                <w:sz w:val="16"/>
                <w:szCs w:val="16"/>
                <w:color w:val="auto"/>
              </w:rPr>
              <w:t>Mr. Henry</w:t>
            </w:r>
          </w:p>
        </w:tc>
        <w:tc>
          <w:tcPr>
            <w:tcW w:w="820" w:type="dxa"/>
            <w:vAlign w:val="bottom"/>
          </w:tcPr>
          <w:p>
            <w:pPr>
              <w:jc w:val="right"/>
              <w:spacing w:after="0"/>
              <w:rPr>
                <w:sz w:val="20"/>
                <w:szCs w:val="20"/>
                <w:color w:val="auto"/>
              </w:rPr>
            </w:pPr>
            <w:r>
              <w:rPr>
                <w:rFonts w:ascii="Arial" w:cs="Arial" w:eastAsia="Arial" w:hAnsi="Arial"/>
                <w:sz w:val="16"/>
                <w:szCs w:val="16"/>
                <w:color w:val="auto"/>
              </w:rPr>
              <w:t>2016</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N/A</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N/A</w:t>
            </w:r>
          </w:p>
        </w:tc>
      </w:tr>
    </w:tbl>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2C2C2C"/>
        </w:rPr>
        <w:t xml:space="preserve">50 </w:t>
      </w:r>
      <w:r>
        <w:rPr>
          <w:sz w:val="1"/>
          <w:szCs w:val="1"/>
          <w:color w:val="auto"/>
        </w:rPr>
        <w:drawing>
          <wp:inline distT="0" distB="0" distL="0" distR="0">
            <wp:extent cx="445770" cy="18034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45770" cy="180340"/>
                    </a:xfrm>
                    <a:prstGeom prst="rect">
                      <a:avLst/>
                    </a:prstGeom>
                    <a:noFill/>
                    <a:ln>
                      <a:noFill/>
                    </a:ln>
                  </pic:spPr>
                </pic:pic>
              </a:graphicData>
            </a:graphic>
          </wp:inline>
        </w:drawing>
      </w:r>
      <w:r>
        <w:rPr>
          <w:rFonts w:ascii="Arial" w:cs="Arial" w:eastAsia="Arial" w:hAnsi="Arial"/>
          <w:sz w:val="18"/>
          <w:szCs w:val="18"/>
          <w:color w:val="auto"/>
        </w:rPr>
        <w:t xml:space="preserve"> 2018 PROXY STATEMENT</w:t>
      </w:r>
    </w:p>
    <w:p>
      <w:pPr>
        <w:sectPr>
          <w:pgSz w:w="11900" w:h="16838" w:orient="portrait"/>
          <w:cols w:equalWidth="0" w:num="1">
            <w:col w:w="11420"/>
          </w:cols>
          <w:pgMar w:left="240" w:top="125" w:right="239" w:bottom="1440" w:gutter="0" w:footer="0" w:header="0"/>
        </w:sectPr>
      </w:pPr>
    </w:p>
    <w:bookmarkStart w:id="59" w:name="page60"/>
    <w:bookmarkEnd w:id="59"/>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left="960"/>
        <w:spacing w:after="0"/>
        <w:rPr>
          <w:sz w:val="20"/>
          <w:szCs w:val="20"/>
          <w:color w:val="auto"/>
        </w:rPr>
      </w:pPr>
      <w:r>
        <w:rPr>
          <w:rFonts w:ascii="Arial" w:cs="Arial" w:eastAsia="Arial" w:hAnsi="Arial"/>
          <w:sz w:val="14"/>
          <w:szCs w:val="14"/>
          <w:color w:val="auto"/>
        </w:rPr>
        <w:t>COMPENSATION OF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Deferred Stock Under 2010 LTIP</w:t>
      </w:r>
      <w:r>
        <w:rPr>
          <w:rFonts w:ascii="Arial" w:cs="Arial" w:eastAsia="Arial" w:hAnsi="Arial"/>
          <w:sz w:val="18"/>
          <w:szCs w:val="18"/>
          <w:color w:val="auto"/>
        </w:rPr>
        <w:t>. Under the terms of our 2010 LTIP, our Compensation Committee has the discretion to permit selected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participants to defer all or a portion of their stock awards. Participants, including our Named Executives, were permitted to make deferral elections on their 2017 restricted stock unit awards and performance restricted stock unit awards. Mr. Fees was the only Named Executive to make deferral elections on his 2017 awards. During the year ended December 31, 2017, 11,535 restricted stock units and 16,472 performance restricted stock units awarded to Mr. Fees had been deferred to his LTIP deferral account, less the number of shares withheld by us to satisfy the minimum statutory withholding tax due upon vesting.</w:t>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sz w:val="1"/>
          <w:szCs w:val="1"/>
          <w:color w:val="auto"/>
        </w:rPr>
        <w:drawing>
          <wp:inline distT="0" distB="0" distL="0" distR="0">
            <wp:extent cx="488950" cy="20574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88950" cy="205740"/>
                    </a:xfrm>
                    <a:prstGeom prst="rect">
                      <a:avLst/>
                    </a:prstGeom>
                    <a:noFill/>
                    <a:ln>
                      <a:noFill/>
                    </a:ln>
                  </pic:spPr>
                </pic:pic>
              </a:graphicData>
            </a:graphic>
          </wp:inline>
        </w:drawing>
      </w:r>
      <w:r>
        <w:rPr>
          <w:rFonts w:ascii="Arial" w:cs="Arial" w:eastAsia="Arial" w:hAnsi="Arial"/>
          <w:sz w:val="18"/>
          <w:szCs w:val="18"/>
          <w:color w:val="auto"/>
        </w:rPr>
        <w:t xml:space="preserve"> 2018 PROXY STATEMENT </w:t>
      </w:r>
      <w:r>
        <w:rPr>
          <w:rFonts w:ascii="Arial" w:cs="Arial" w:eastAsia="Arial" w:hAnsi="Arial"/>
          <w:sz w:val="18"/>
          <w:szCs w:val="18"/>
          <w:b w:val="1"/>
          <w:bCs w:val="1"/>
          <w:color w:val="2C2C2C"/>
        </w:rPr>
        <w:t>51</w:t>
      </w:r>
    </w:p>
    <w:p>
      <w:pPr>
        <w:sectPr>
          <w:pgSz w:w="11900" w:h="16838" w:orient="portrait"/>
          <w:cols w:equalWidth="0" w:num="1">
            <w:col w:w="11420"/>
          </w:cols>
          <w:pgMar w:left="240" w:top="125" w:right="239" w:bottom="1440" w:gutter="0" w:footer="0" w:header="0"/>
        </w:sectPr>
      </w:pPr>
    </w:p>
    <w:bookmarkStart w:id="60" w:name="page61"/>
    <w:bookmarkEnd w:id="60"/>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7240"/>
        <w:spacing w:after="0"/>
        <w:rPr>
          <w:sz w:val="20"/>
          <w:szCs w:val="20"/>
          <w:color w:val="auto"/>
        </w:rPr>
      </w:pPr>
      <w:r>
        <w:rPr>
          <w:rFonts w:ascii="Arial" w:cs="Arial" w:eastAsia="Arial" w:hAnsi="Arial"/>
          <w:sz w:val="14"/>
          <w:szCs w:val="14"/>
          <w:color w:val="auto"/>
        </w:rPr>
        <w:t>COMPENSATION OF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POTENTIAL PAYMENTS UPON TERMINATION OR CHANGE IN CONTROL</w:t>
      </w:r>
    </w:p>
    <w:p>
      <w:pPr>
        <w:spacing w:after="0" w:line="10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following tables show estimated, potential payments to our Named Executives under existing contracts, agreements, plans or arrangements, whether written or unwritten, for various scenarios under which a payment would be due in the event of a change in control or termination of employment of our Named Executives, assuming a December 31, 2017 termination date. Where applicable, the amounts listed below use the closing price of our common stock of $60.49 as reported on the NYSE on December 29, 2017, the last trading day in our fiscal year 2017. These tables do not reflect amounts that would be payable to the Named Executives pursuant to benefits or awards that are already vested.</w:t>
      </w:r>
    </w:p>
    <w:p>
      <w:pPr>
        <w:spacing w:after="0" w:line="74"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Except as otherwise indicated, amounts reported in the below tables for stock options, restricted stock units and restricted stock represent the value of unvested and accelerated shares or units, as applicable, calculated:</w:t>
      </w:r>
    </w:p>
    <w:p>
      <w:pPr>
        <w:spacing w:after="0" w:line="88" w:lineRule="exact"/>
        <w:rPr>
          <w:sz w:val="20"/>
          <w:szCs w:val="20"/>
          <w:color w:val="auto"/>
        </w:rPr>
      </w:pPr>
    </w:p>
    <w:p>
      <w:pPr>
        <w:ind w:left="380" w:right="260" w:hanging="318"/>
        <w:spacing w:after="0" w:line="262" w:lineRule="auto"/>
        <w:tabs>
          <w:tab w:leader="none" w:pos="3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for stock options: by multiplying the number of accelerated options by the difference between the exercise price and $60.49 (the closing price of our common stock on December 29, 2017); and</w:t>
      </w:r>
    </w:p>
    <w:p>
      <w:pPr>
        <w:spacing w:after="0" w:line="88" w:lineRule="exact"/>
        <w:rPr>
          <w:rFonts w:ascii="Arial" w:cs="Arial" w:eastAsia="Arial" w:hAnsi="Arial"/>
          <w:sz w:val="18"/>
          <w:szCs w:val="18"/>
          <w:color w:val="auto"/>
        </w:rPr>
      </w:pPr>
    </w:p>
    <w:p>
      <w:pPr>
        <w:ind w:left="380" w:right="240" w:hanging="318"/>
        <w:spacing w:after="0" w:line="262" w:lineRule="auto"/>
        <w:tabs>
          <w:tab w:leader="none" w:pos="3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for restricted stock units and performance restricted stock units: by multiplying the number of accelerated shares or units by $60.49 (the closing price of our common stock on December 29,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VALUE OF BENEFITS TO BE RECEIVED UPON INVOLUNTARY TERMINATION WITHOUT CAUSE</w:t>
      </w:r>
    </w:p>
    <w:p>
      <w:pPr>
        <w:spacing w:after="0" w:line="11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following table shows the estimated value of payments and other benefits due the Named Executives assuming their involuntary termination without cause as of December 31, 2017, pursuant to the BWX Technologies, Inc. Executive Severance Plan, as amended and restated July 1, 2015 (the “Executive Severance Plan”). In the event of a Named Executive’s termination with cause, none of these payments and other benefits would be due.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340" w:type="dxa"/>
            <w:vAlign w:val="bottom"/>
            <w:shd w:val="clear" w:color="auto" w:fill="525252"/>
          </w:tcPr>
          <w:p>
            <w:pPr>
              <w:spacing w:after="0"/>
              <w:rPr>
                <w:sz w:val="23"/>
                <w:szCs w:val="23"/>
                <w:color w:val="auto"/>
              </w:rPr>
            </w:pPr>
          </w:p>
        </w:tc>
        <w:tc>
          <w:tcPr>
            <w:tcW w:w="320" w:type="dxa"/>
            <w:vAlign w:val="bottom"/>
            <w:shd w:val="clear" w:color="auto" w:fill="525252"/>
          </w:tcPr>
          <w:p>
            <w:pPr>
              <w:spacing w:after="0"/>
              <w:rPr>
                <w:sz w:val="23"/>
                <w:szCs w:val="23"/>
                <w:color w:val="auto"/>
              </w:rPr>
            </w:pPr>
          </w:p>
        </w:tc>
        <w:tc>
          <w:tcPr>
            <w:tcW w:w="1380" w:type="dxa"/>
            <w:vAlign w:val="bottom"/>
            <w:shd w:val="clear" w:color="auto" w:fill="525252"/>
          </w:tcPr>
          <w:p>
            <w:pPr>
              <w:jc w:val="right"/>
              <w:ind w:right="328"/>
              <w:spacing w:after="0"/>
              <w:rPr>
                <w:sz w:val="20"/>
                <w:szCs w:val="20"/>
                <w:color w:val="auto"/>
              </w:rPr>
            </w:pPr>
            <w:r>
              <w:rPr>
                <w:rFonts w:ascii="Arial" w:cs="Arial" w:eastAsia="Arial" w:hAnsi="Arial"/>
                <w:sz w:val="14"/>
                <w:szCs w:val="14"/>
                <w:b w:val="1"/>
                <w:bCs w:val="1"/>
                <w:color w:val="FFFFFF"/>
              </w:rPr>
              <w:t>Mr. Geveden</w:t>
            </w:r>
          </w:p>
        </w:tc>
        <w:tc>
          <w:tcPr>
            <w:tcW w:w="360" w:type="dxa"/>
            <w:vAlign w:val="bottom"/>
            <w:shd w:val="clear" w:color="auto" w:fill="525252"/>
          </w:tcPr>
          <w:p>
            <w:pPr>
              <w:spacing w:after="0"/>
              <w:rPr>
                <w:sz w:val="23"/>
                <w:szCs w:val="23"/>
                <w:color w:val="auto"/>
              </w:rPr>
            </w:pPr>
          </w:p>
        </w:tc>
        <w:tc>
          <w:tcPr>
            <w:tcW w:w="1240" w:type="dxa"/>
            <w:vAlign w:val="bottom"/>
            <w:shd w:val="clear" w:color="auto" w:fill="525252"/>
          </w:tcPr>
          <w:p>
            <w:pPr>
              <w:jc w:val="right"/>
              <w:ind w:right="348"/>
              <w:spacing w:after="0"/>
              <w:rPr>
                <w:sz w:val="20"/>
                <w:szCs w:val="20"/>
                <w:color w:val="auto"/>
              </w:rPr>
            </w:pPr>
            <w:r>
              <w:rPr>
                <w:rFonts w:ascii="Arial" w:cs="Arial" w:eastAsia="Arial" w:hAnsi="Arial"/>
                <w:sz w:val="14"/>
                <w:szCs w:val="14"/>
                <w:b w:val="1"/>
                <w:bCs w:val="1"/>
                <w:color w:val="FFFFFF"/>
              </w:rPr>
              <w:t>Mr. Black</w:t>
            </w:r>
          </w:p>
        </w:tc>
        <w:tc>
          <w:tcPr>
            <w:tcW w:w="360" w:type="dxa"/>
            <w:vAlign w:val="bottom"/>
            <w:shd w:val="clear" w:color="auto" w:fill="525252"/>
          </w:tcPr>
          <w:p>
            <w:pPr>
              <w:spacing w:after="0"/>
              <w:rPr>
                <w:sz w:val="23"/>
                <w:szCs w:val="23"/>
                <w:color w:val="auto"/>
              </w:rPr>
            </w:pPr>
          </w:p>
        </w:tc>
        <w:tc>
          <w:tcPr>
            <w:tcW w:w="1200" w:type="dxa"/>
            <w:vAlign w:val="bottom"/>
            <w:shd w:val="clear" w:color="auto" w:fill="525252"/>
          </w:tcPr>
          <w:p>
            <w:pPr>
              <w:jc w:val="right"/>
              <w:ind w:right="348"/>
              <w:spacing w:after="0"/>
              <w:rPr>
                <w:sz w:val="20"/>
                <w:szCs w:val="20"/>
                <w:color w:val="auto"/>
              </w:rPr>
            </w:pPr>
            <w:r>
              <w:rPr>
                <w:rFonts w:ascii="Arial" w:cs="Arial" w:eastAsia="Arial" w:hAnsi="Arial"/>
                <w:sz w:val="14"/>
                <w:szCs w:val="14"/>
                <w:b w:val="1"/>
                <w:bCs w:val="1"/>
                <w:color w:val="FFFFFF"/>
              </w:rPr>
              <w:t>Mr. Fees</w:t>
            </w:r>
          </w:p>
        </w:tc>
        <w:tc>
          <w:tcPr>
            <w:tcW w:w="300" w:type="dxa"/>
            <w:vAlign w:val="bottom"/>
            <w:shd w:val="clear" w:color="auto" w:fill="525252"/>
          </w:tcPr>
          <w:p>
            <w:pPr>
              <w:spacing w:after="0"/>
              <w:rPr>
                <w:sz w:val="23"/>
                <w:szCs w:val="23"/>
                <w:color w:val="auto"/>
              </w:rPr>
            </w:pPr>
          </w:p>
        </w:tc>
        <w:tc>
          <w:tcPr>
            <w:tcW w:w="1260" w:type="dxa"/>
            <w:vAlign w:val="bottom"/>
            <w:shd w:val="clear" w:color="auto" w:fill="525252"/>
          </w:tcPr>
          <w:p>
            <w:pPr>
              <w:jc w:val="right"/>
              <w:ind w:right="248"/>
              <w:spacing w:after="0"/>
              <w:rPr>
                <w:sz w:val="20"/>
                <w:szCs w:val="20"/>
                <w:color w:val="auto"/>
              </w:rPr>
            </w:pPr>
            <w:r>
              <w:rPr>
                <w:rFonts w:ascii="Arial" w:cs="Arial" w:eastAsia="Arial" w:hAnsi="Arial"/>
                <w:sz w:val="14"/>
                <w:szCs w:val="14"/>
                <w:b w:val="1"/>
                <w:bCs w:val="1"/>
                <w:color w:val="FFFFFF"/>
              </w:rPr>
              <w:t>Mr. Canafax</w:t>
            </w:r>
          </w:p>
        </w:tc>
        <w:tc>
          <w:tcPr>
            <w:tcW w:w="340" w:type="dxa"/>
            <w:vAlign w:val="bottom"/>
            <w:shd w:val="clear" w:color="auto" w:fill="525252"/>
          </w:tcPr>
          <w:p>
            <w:pPr>
              <w:spacing w:after="0"/>
              <w:rPr>
                <w:sz w:val="23"/>
                <w:szCs w:val="23"/>
                <w:color w:val="auto"/>
              </w:rPr>
            </w:pPr>
          </w:p>
        </w:tc>
        <w:tc>
          <w:tcPr>
            <w:tcW w:w="1200" w:type="dxa"/>
            <w:vAlign w:val="bottom"/>
            <w:shd w:val="clear" w:color="auto" w:fill="525252"/>
          </w:tcPr>
          <w:p>
            <w:pPr>
              <w:jc w:val="right"/>
              <w:ind w:right="308"/>
              <w:spacing w:after="0"/>
              <w:rPr>
                <w:sz w:val="20"/>
                <w:szCs w:val="20"/>
                <w:color w:val="auto"/>
              </w:rPr>
            </w:pPr>
            <w:r>
              <w:rPr>
                <w:rFonts w:ascii="Arial" w:cs="Arial" w:eastAsia="Arial" w:hAnsi="Arial"/>
                <w:sz w:val="14"/>
                <w:szCs w:val="14"/>
                <w:b w:val="1"/>
                <w:bCs w:val="1"/>
                <w:color w:val="FFFFFF"/>
              </w:rPr>
              <w:t>Mr. Henry</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Severance Payments</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700,000</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450,000</w:t>
            </w:r>
          </w:p>
        </w:tc>
        <w:tc>
          <w:tcPr>
            <w:tcW w:w="36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510,000</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470,000</w:t>
            </w:r>
          </w:p>
        </w:tc>
      </w:tr>
      <w:tr>
        <w:trPr>
          <w:trHeight w:val="276"/>
        </w:trPr>
        <w:tc>
          <w:tcPr>
            <w:tcW w:w="3340" w:type="dxa"/>
            <w:vAlign w:val="bottom"/>
            <w:shd w:val="clear" w:color="auto" w:fill="D8D8D8"/>
          </w:tcPr>
          <w:p>
            <w:pPr>
              <w:ind w:left="40"/>
              <w:spacing w:after="0"/>
              <w:rPr>
                <w:sz w:val="20"/>
                <w:szCs w:val="20"/>
                <w:color w:val="auto"/>
              </w:rPr>
            </w:pPr>
            <w:r>
              <w:rPr>
                <w:rFonts w:ascii="Arial" w:cs="Arial" w:eastAsia="Arial" w:hAnsi="Arial"/>
                <w:sz w:val="14"/>
                <w:szCs w:val="14"/>
                <w:color w:val="auto"/>
              </w:rPr>
              <w:t>Benefits Payments</w:t>
            </w:r>
          </w:p>
        </w:tc>
        <w:tc>
          <w:tcPr>
            <w:tcW w:w="320" w:type="dxa"/>
            <w:vAlign w:val="bottom"/>
            <w:shd w:val="clear" w:color="auto" w:fill="D8D8D8"/>
          </w:tcPr>
          <w:p>
            <w:pPr>
              <w:spacing w:after="0"/>
              <w:rPr>
                <w:sz w:val="24"/>
                <w:szCs w:val="24"/>
                <w:color w:val="auto"/>
              </w:rPr>
            </w:pPr>
          </w:p>
        </w:tc>
        <w:tc>
          <w:tcPr>
            <w:tcW w:w="1380" w:type="dxa"/>
            <w:vAlign w:val="bottom"/>
            <w:shd w:val="clear" w:color="auto" w:fill="D8D8D8"/>
          </w:tcPr>
          <w:p>
            <w:pPr>
              <w:jc w:val="right"/>
              <w:ind w:right="68"/>
              <w:spacing w:after="0"/>
              <w:rPr>
                <w:sz w:val="20"/>
                <w:szCs w:val="20"/>
                <w:color w:val="auto"/>
              </w:rPr>
            </w:pPr>
            <w:r>
              <w:rPr>
                <w:rFonts w:ascii="Arial" w:cs="Arial" w:eastAsia="Arial" w:hAnsi="Arial"/>
                <w:sz w:val="14"/>
                <w:szCs w:val="14"/>
                <w:color w:val="auto"/>
              </w:rPr>
              <w:t>10,274</w:t>
            </w:r>
          </w:p>
        </w:tc>
        <w:tc>
          <w:tcPr>
            <w:tcW w:w="36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68"/>
              <w:spacing w:after="0"/>
              <w:rPr>
                <w:sz w:val="20"/>
                <w:szCs w:val="20"/>
                <w:color w:val="auto"/>
              </w:rPr>
            </w:pPr>
            <w:r>
              <w:rPr>
                <w:rFonts w:ascii="Arial" w:cs="Arial" w:eastAsia="Arial" w:hAnsi="Arial"/>
                <w:sz w:val="14"/>
                <w:szCs w:val="14"/>
                <w:color w:val="auto"/>
              </w:rPr>
              <w:t>14,681</w:t>
            </w:r>
          </w:p>
        </w:tc>
        <w:tc>
          <w:tcPr>
            <w:tcW w:w="360" w:type="dxa"/>
            <w:vAlign w:val="bottom"/>
            <w:shd w:val="clear" w:color="auto" w:fill="D8D8D8"/>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11,829</w:t>
            </w:r>
          </w:p>
        </w:tc>
        <w:tc>
          <w:tcPr>
            <w:tcW w:w="300" w:type="dxa"/>
            <w:vAlign w:val="bottom"/>
            <w:shd w:val="clear" w:color="auto" w:fill="D8D8D8"/>
          </w:tcPr>
          <w:p>
            <w:pPr>
              <w:spacing w:after="0"/>
              <w:rPr>
                <w:sz w:val="24"/>
                <w:szCs w:val="24"/>
                <w:color w:val="auto"/>
              </w:rPr>
            </w:pPr>
          </w:p>
        </w:tc>
        <w:tc>
          <w:tcPr>
            <w:tcW w:w="126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15,905</w:t>
            </w:r>
          </w:p>
        </w:tc>
        <w:tc>
          <w:tcPr>
            <w:tcW w:w="34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EICP</w:t>
            </w:r>
          </w:p>
        </w:tc>
        <w:tc>
          <w:tcPr>
            <w:tcW w:w="320" w:type="dxa"/>
            <w:vAlign w:val="bottom"/>
          </w:tcPr>
          <w:p>
            <w:pPr>
              <w:spacing w:after="0"/>
              <w:rPr>
                <w:sz w:val="22"/>
                <w:szCs w:val="22"/>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2"/>
                <w:szCs w:val="22"/>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450,000</w:t>
            </w:r>
          </w:p>
        </w:tc>
        <w:tc>
          <w:tcPr>
            <w:tcW w:w="30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76"/>
        </w:trPr>
        <w:tc>
          <w:tcPr>
            <w:tcW w:w="3340" w:type="dxa"/>
            <w:vAlign w:val="bottom"/>
            <w:shd w:val="clear" w:color="auto" w:fill="D8D8D8"/>
          </w:tcPr>
          <w:p>
            <w:pPr>
              <w:ind w:left="40"/>
              <w:spacing w:after="0"/>
              <w:rPr>
                <w:sz w:val="20"/>
                <w:szCs w:val="20"/>
                <w:color w:val="auto"/>
              </w:rPr>
            </w:pPr>
            <w:r>
              <w:rPr>
                <w:rFonts w:ascii="Arial" w:cs="Arial" w:eastAsia="Arial" w:hAnsi="Arial"/>
                <w:sz w:val="14"/>
                <w:szCs w:val="14"/>
                <w:color w:val="auto"/>
              </w:rPr>
              <w:t>Financial Planning</w:t>
            </w:r>
          </w:p>
        </w:tc>
        <w:tc>
          <w:tcPr>
            <w:tcW w:w="320" w:type="dxa"/>
            <w:vAlign w:val="bottom"/>
            <w:shd w:val="clear" w:color="auto" w:fill="D8D8D8"/>
          </w:tcPr>
          <w:p>
            <w:pPr>
              <w:spacing w:after="0"/>
              <w:rPr>
                <w:sz w:val="24"/>
                <w:szCs w:val="24"/>
                <w:color w:val="auto"/>
              </w:rPr>
            </w:pPr>
          </w:p>
        </w:tc>
        <w:tc>
          <w:tcPr>
            <w:tcW w:w="1380" w:type="dxa"/>
            <w:vAlign w:val="bottom"/>
            <w:shd w:val="clear" w:color="auto" w:fill="D8D8D8"/>
          </w:tcPr>
          <w:p>
            <w:pPr>
              <w:jc w:val="right"/>
              <w:ind w:right="68"/>
              <w:spacing w:after="0"/>
              <w:rPr>
                <w:sz w:val="20"/>
                <w:szCs w:val="20"/>
                <w:color w:val="auto"/>
              </w:rPr>
            </w:pPr>
            <w:r>
              <w:rPr>
                <w:rFonts w:ascii="Arial" w:cs="Arial" w:eastAsia="Arial" w:hAnsi="Arial"/>
                <w:sz w:val="14"/>
                <w:szCs w:val="14"/>
                <w:color w:val="auto"/>
              </w:rPr>
              <w:t>12,340</w:t>
            </w:r>
          </w:p>
        </w:tc>
        <w:tc>
          <w:tcPr>
            <w:tcW w:w="36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18,510</w:t>
            </w:r>
          </w:p>
        </w:tc>
        <w:tc>
          <w:tcPr>
            <w:tcW w:w="300" w:type="dxa"/>
            <w:vAlign w:val="bottom"/>
            <w:shd w:val="clear" w:color="auto" w:fill="D8D8D8"/>
          </w:tcPr>
          <w:p>
            <w:pPr>
              <w:spacing w:after="0"/>
              <w:rPr>
                <w:sz w:val="24"/>
                <w:szCs w:val="24"/>
                <w:color w:val="auto"/>
              </w:rPr>
            </w:pPr>
          </w:p>
        </w:tc>
        <w:tc>
          <w:tcPr>
            <w:tcW w:w="126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Outplacement Services</w:t>
            </w:r>
          </w:p>
        </w:tc>
        <w:tc>
          <w:tcPr>
            <w:tcW w:w="320" w:type="dxa"/>
            <w:vAlign w:val="bottom"/>
          </w:tcPr>
          <w:p>
            <w:pPr>
              <w:spacing w:after="0"/>
              <w:rPr>
                <w:sz w:val="22"/>
                <w:szCs w:val="22"/>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15,000</w:t>
            </w:r>
          </w:p>
        </w:tc>
        <w:tc>
          <w:tcPr>
            <w:tcW w:w="360" w:type="dxa"/>
            <w:vAlign w:val="bottom"/>
          </w:tcPr>
          <w:p>
            <w:pPr>
              <w:spacing w:after="0"/>
              <w:rPr>
                <w:sz w:val="22"/>
                <w:szCs w:val="22"/>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15,000</w:t>
            </w:r>
          </w:p>
        </w:tc>
        <w:tc>
          <w:tcPr>
            <w:tcW w:w="36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15,000</w:t>
            </w:r>
          </w:p>
        </w:tc>
        <w:tc>
          <w:tcPr>
            <w:tcW w:w="30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15,000</w:t>
            </w:r>
          </w:p>
        </w:tc>
        <w:tc>
          <w:tcPr>
            <w:tcW w:w="34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15,000</w:t>
            </w:r>
          </w:p>
        </w:tc>
      </w:tr>
      <w:tr>
        <w:trPr>
          <w:trHeight w:val="276"/>
        </w:trPr>
        <w:tc>
          <w:tcPr>
            <w:tcW w:w="3340" w:type="dxa"/>
            <w:vAlign w:val="bottom"/>
            <w:shd w:val="clear" w:color="auto" w:fill="D8D8D8"/>
          </w:tcPr>
          <w:p>
            <w:pPr>
              <w:ind w:left="40"/>
              <w:spacing w:after="0"/>
              <w:rPr>
                <w:sz w:val="20"/>
                <w:szCs w:val="20"/>
                <w:color w:val="auto"/>
              </w:rPr>
            </w:pPr>
            <w:r>
              <w:rPr>
                <w:rFonts w:ascii="Arial" w:cs="Arial" w:eastAsia="Arial" w:hAnsi="Arial"/>
                <w:sz w:val="14"/>
                <w:szCs w:val="14"/>
                <w:color w:val="auto"/>
              </w:rPr>
              <w:t>Supplemental Executive Retirement Plan (SERP)</w:t>
            </w:r>
          </w:p>
        </w:tc>
        <w:tc>
          <w:tcPr>
            <w:tcW w:w="320" w:type="dxa"/>
            <w:vAlign w:val="bottom"/>
            <w:shd w:val="clear" w:color="auto" w:fill="D8D8D8"/>
          </w:tcPr>
          <w:p>
            <w:pPr>
              <w:spacing w:after="0"/>
              <w:rPr>
                <w:sz w:val="24"/>
                <w:szCs w:val="24"/>
                <w:color w:val="auto"/>
              </w:rPr>
            </w:pPr>
          </w:p>
        </w:tc>
        <w:tc>
          <w:tcPr>
            <w:tcW w:w="1380" w:type="dxa"/>
            <w:vAlign w:val="bottom"/>
            <w:shd w:val="clear" w:color="auto" w:fill="D8D8D8"/>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D8D8D8"/>
          </w:tcPr>
          <w:p>
            <w:pPr>
              <w:spacing w:after="0"/>
              <w:rPr>
                <w:sz w:val="24"/>
                <w:szCs w:val="24"/>
                <w:color w:val="auto"/>
              </w:rPr>
            </w:pPr>
          </w:p>
        </w:tc>
        <w:tc>
          <w:tcPr>
            <w:tcW w:w="126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Restoration Plan</w:t>
            </w:r>
          </w:p>
        </w:tc>
        <w:tc>
          <w:tcPr>
            <w:tcW w:w="320" w:type="dxa"/>
            <w:vAlign w:val="bottom"/>
          </w:tcPr>
          <w:p>
            <w:pPr>
              <w:spacing w:after="0"/>
              <w:rPr>
                <w:sz w:val="22"/>
                <w:szCs w:val="22"/>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44,707</w:t>
            </w:r>
          </w:p>
        </w:tc>
        <w:tc>
          <w:tcPr>
            <w:tcW w:w="360" w:type="dxa"/>
            <w:vAlign w:val="bottom"/>
          </w:tcPr>
          <w:p>
            <w:pPr>
              <w:spacing w:after="0"/>
              <w:rPr>
                <w:sz w:val="22"/>
                <w:szCs w:val="22"/>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3340" w:type="dxa"/>
            <w:vAlign w:val="bottom"/>
            <w:shd w:val="clear" w:color="auto" w:fill="D8D8D8"/>
          </w:tcPr>
          <w:p>
            <w:pPr>
              <w:ind w:left="40"/>
              <w:spacing w:after="0"/>
              <w:rPr>
                <w:sz w:val="20"/>
                <w:szCs w:val="20"/>
                <w:color w:val="auto"/>
              </w:rPr>
            </w:pPr>
            <w:r>
              <w:rPr>
                <w:rFonts w:ascii="Arial" w:cs="Arial" w:eastAsia="Arial" w:hAnsi="Arial"/>
                <w:sz w:val="14"/>
                <w:szCs w:val="14"/>
                <w:color w:val="auto"/>
              </w:rPr>
              <w:t>Stock Options (unvested and accelerated)</w:t>
            </w:r>
          </w:p>
        </w:tc>
        <w:tc>
          <w:tcPr>
            <w:tcW w:w="320" w:type="dxa"/>
            <w:vAlign w:val="bottom"/>
            <w:shd w:val="clear" w:color="auto" w:fill="D8D8D8"/>
          </w:tcPr>
          <w:p>
            <w:pPr>
              <w:spacing w:after="0"/>
              <w:rPr>
                <w:sz w:val="24"/>
                <w:szCs w:val="24"/>
                <w:color w:val="auto"/>
              </w:rPr>
            </w:pPr>
          </w:p>
        </w:tc>
        <w:tc>
          <w:tcPr>
            <w:tcW w:w="1380" w:type="dxa"/>
            <w:vAlign w:val="bottom"/>
            <w:shd w:val="clear" w:color="auto" w:fill="D8D8D8"/>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68"/>
              <w:spacing w:after="0"/>
              <w:rPr>
                <w:sz w:val="20"/>
                <w:szCs w:val="20"/>
                <w:color w:val="auto"/>
              </w:rPr>
            </w:pPr>
            <w:r>
              <w:rPr>
                <w:rFonts w:ascii="Arial" w:cs="Arial" w:eastAsia="Arial" w:hAnsi="Arial"/>
                <w:sz w:val="14"/>
                <w:szCs w:val="14"/>
                <w:color w:val="auto"/>
              </w:rPr>
              <w:t>91,037</w:t>
            </w:r>
          </w:p>
        </w:tc>
        <w:tc>
          <w:tcPr>
            <w:tcW w:w="36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D8D8D8"/>
          </w:tcPr>
          <w:p>
            <w:pPr>
              <w:spacing w:after="0"/>
              <w:rPr>
                <w:sz w:val="24"/>
                <w:szCs w:val="24"/>
                <w:color w:val="auto"/>
              </w:rPr>
            </w:pPr>
          </w:p>
        </w:tc>
        <w:tc>
          <w:tcPr>
            <w:tcW w:w="126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382,084</w:t>
            </w:r>
          </w:p>
        </w:tc>
        <w:tc>
          <w:tcPr>
            <w:tcW w:w="34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191,023</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Restricted Stock Units (unvested and accelerated)</w:t>
            </w:r>
          </w:p>
        </w:tc>
        <w:tc>
          <w:tcPr>
            <w:tcW w:w="320" w:type="dxa"/>
            <w:vAlign w:val="bottom"/>
          </w:tcPr>
          <w:p>
            <w:pPr>
              <w:spacing w:after="0"/>
              <w:rPr>
                <w:sz w:val="22"/>
                <w:szCs w:val="22"/>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367,900</w:t>
            </w:r>
          </w:p>
        </w:tc>
        <w:tc>
          <w:tcPr>
            <w:tcW w:w="360" w:type="dxa"/>
            <w:vAlign w:val="bottom"/>
          </w:tcPr>
          <w:p>
            <w:pPr>
              <w:spacing w:after="0"/>
              <w:rPr>
                <w:sz w:val="22"/>
                <w:szCs w:val="22"/>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346,668</w:t>
            </w:r>
          </w:p>
        </w:tc>
        <w:tc>
          <w:tcPr>
            <w:tcW w:w="36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143,724</w:t>
            </w:r>
          </w:p>
        </w:tc>
        <w:tc>
          <w:tcPr>
            <w:tcW w:w="30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567,517</w:t>
            </w:r>
          </w:p>
        </w:tc>
        <w:tc>
          <w:tcPr>
            <w:tcW w:w="34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291,017</w:t>
            </w:r>
          </w:p>
        </w:tc>
      </w:tr>
      <w:tr>
        <w:trPr>
          <w:trHeight w:val="200"/>
        </w:trPr>
        <w:tc>
          <w:tcPr>
            <w:tcW w:w="3340" w:type="dxa"/>
            <w:vAlign w:val="bottom"/>
            <w:shd w:val="clear" w:color="auto" w:fill="E2E2E2"/>
          </w:tcPr>
          <w:p>
            <w:pPr>
              <w:ind w:left="40"/>
              <w:spacing w:after="0"/>
              <w:rPr>
                <w:sz w:val="20"/>
                <w:szCs w:val="20"/>
                <w:color w:val="auto"/>
              </w:rPr>
            </w:pPr>
            <w:r>
              <w:rPr>
                <w:rFonts w:ascii="Arial" w:cs="Arial" w:eastAsia="Arial" w:hAnsi="Arial"/>
                <w:sz w:val="14"/>
                <w:szCs w:val="14"/>
                <w:color w:val="auto"/>
              </w:rPr>
              <w:t>Performance Restricted Stock Units (unvested</w:t>
            </w:r>
          </w:p>
        </w:tc>
        <w:tc>
          <w:tcPr>
            <w:tcW w:w="320" w:type="dxa"/>
            <w:vAlign w:val="bottom"/>
            <w:shd w:val="clear" w:color="auto" w:fill="E2E2E2"/>
          </w:tcPr>
          <w:p>
            <w:pPr>
              <w:spacing w:after="0"/>
              <w:rPr>
                <w:sz w:val="17"/>
                <w:szCs w:val="17"/>
                <w:color w:val="auto"/>
              </w:rPr>
            </w:pPr>
          </w:p>
        </w:tc>
        <w:tc>
          <w:tcPr>
            <w:tcW w:w="1380" w:type="dxa"/>
            <w:vAlign w:val="bottom"/>
            <w:shd w:val="clear" w:color="auto" w:fill="E2E2E2"/>
          </w:tcPr>
          <w:p>
            <w:pPr>
              <w:spacing w:after="0"/>
              <w:rPr>
                <w:sz w:val="17"/>
                <w:szCs w:val="17"/>
                <w:color w:val="auto"/>
              </w:rPr>
            </w:pPr>
          </w:p>
        </w:tc>
        <w:tc>
          <w:tcPr>
            <w:tcW w:w="360" w:type="dxa"/>
            <w:vAlign w:val="bottom"/>
            <w:shd w:val="clear" w:color="auto" w:fill="E2E2E2"/>
          </w:tcPr>
          <w:p>
            <w:pPr>
              <w:spacing w:after="0"/>
              <w:rPr>
                <w:sz w:val="17"/>
                <w:szCs w:val="17"/>
                <w:color w:val="auto"/>
              </w:rPr>
            </w:pPr>
          </w:p>
        </w:tc>
        <w:tc>
          <w:tcPr>
            <w:tcW w:w="1240" w:type="dxa"/>
            <w:vAlign w:val="bottom"/>
            <w:shd w:val="clear" w:color="auto" w:fill="E2E2E2"/>
          </w:tcPr>
          <w:p>
            <w:pPr>
              <w:spacing w:after="0"/>
              <w:rPr>
                <w:sz w:val="17"/>
                <w:szCs w:val="17"/>
                <w:color w:val="auto"/>
              </w:rPr>
            </w:pPr>
          </w:p>
        </w:tc>
        <w:tc>
          <w:tcPr>
            <w:tcW w:w="360" w:type="dxa"/>
            <w:vAlign w:val="bottom"/>
            <w:shd w:val="clear" w:color="auto" w:fill="E2E2E2"/>
          </w:tcPr>
          <w:p>
            <w:pPr>
              <w:spacing w:after="0"/>
              <w:rPr>
                <w:sz w:val="17"/>
                <w:szCs w:val="17"/>
                <w:color w:val="auto"/>
              </w:rPr>
            </w:pPr>
          </w:p>
        </w:tc>
        <w:tc>
          <w:tcPr>
            <w:tcW w:w="1200" w:type="dxa"/>
            <w:vAlign w:val="bottom"/>
            <w:shd w:val="clear" w:color="auto" w:fill="E2E2E2"/>
          </w:tcPr>
          <w:p>
            <w:pPr>
              <w:spacing w:after="0"/>
              <w:rPr>
                <w:sz w:val="17"/>
                <w:szCs w:val="17"/>
                <w:color w:val="auto"/>
              </w:rPr>
            </w:pPr>
          </w:p>
        </w:tc>
        <w:tc>
          <w:tcPr>
            <w:tcW w:w="300" w:type="dxa"/>
            <w:vAlign w:val="bottom"/>
            <w:shd w:val="clear" w:color="auto" w:fill="E2E2E2"/>
          </w:tcPr>
          <w:p>
            <w:pPr>
              <w:spacing w:after="0"/>
              <w:rPr>
                <w:sz w:val="17"/>
                <w:szCs w:val="17"/>
                <w:color w:val="auto"/>
              </w:rPr>
            </w:pPr>
          </w:p>
        </w:tc>
        <w:tc>
          <w:tcPr>
            <w:tcW w:w="1260" w:type="dxa"/>
            <w:vAlign w:val="bottom"/>
            <w:shd w:val="clear" w:color="auto" w:fill="E2E2E2"/>
          </w:tcPr>
          <w:p>
            <w:pPr>
              <w:spacing w:after="0"/>
              <w:rPr>
                <w:sz w:val="17"/>
                <w:szCs w:val="17"/>
                <w:color w:val="auto"/>
              </w:rPr>
            </w:pPr>
          </w:p>
        </w:tc>
        <w:tc>
          <w:tcPr>
            <w:tcW w:w="340" w:type="dxa"/>
            <w:vAlign w:val="bottom"/>
            <w:shd w:val="clear" w:color="auto" w:fill="E2E2E2"/>
          </w:tcPr>
          <w:p>
            <w:pPr>
              <w:spacing w:after="0"/>
              <w:rPr>
                <w:sz w:val="17"/>
                <w:szCs w:val="17"/>
                <w:color w:val="auto"/>
              </w:rPr>
            </w:pPr>
          </w:p>
        </w:tc>
        <w:tc>
          <w:tcPr>
            <w:tcW w:w="1200" w:type="dxa"/>
            <w:vAlign w:val="bottom"/>
            <w:shd w:val="clear" w:color="auto" w:fill="E2E2E2"/>
          </w:tcPr>
          <w:p>
            <w:pPr>
              <w:spacing w:after="0"/>
              <w:rPr>
                <w:sz w:val="17"/>
                <w:szCs w:val="17"/>
                <w:color w:val="auto"/>
              </w:rPr>
            </w:pPr>
          </w:p>
        </w:tc>
      </w:tr>
      <w:tr>
        <w:trPr>
          <w:trHeight w:val="178"/>
        </w:trPr>
        <w:tc>
          <w:tcPr>
            <w:tcW w:w="3340" w:type="dxa"/>
            <w:vAlign w:val="bottom"/>
            <w:tcBorders>
              <w:bottom w:val="single" w:sz="8" w:color="auto"/>
            </w:tcBorders>
            <w:shd w:val="clear" w:color="auto" w:fill="E2E2E2"/>
          </w:tcPr>
          <w:p>
            <w:pPr>
              <w:ind w:left="40"/>
              <w:spacing w:after="0"/>
              <w:rPr>
                <w:sz w:val="20"/>
                <w:szCs w:val="20"/>
                <w:color w:val="auto"/>
              </w:rPr>
            </w:pPr>
            <w:r>
              <w:rPr>
                <w:rFonts w:ascii="Arial" w:cs="Arial" w:eastAsia="Arial" w:hAnsi="Arial"/>
                <w:sz w:val="14"/>
                <w:szCs w:val="14"/>
                <w:color w:val="auto"/>
              </w:rPr>
              <w:t>and accelerated)</w:t>
            </w:r>
          </w:p>
        </w:tc>
        <w:tc>
          <w:tcPr>
            <w:tcW w:w="320" w:type="dxa"/>
            <w:vAlign w:val="bottom"/>
            <w:tcBorders>
              <w:bottom w:val="single" w:sz="8" w:color="auto"/>
            </w:tcBorders>
            <w:shd w:val="clear" w:color="auto" w:fill="E2E2E2"/>
          </w:tcPr>
          <w:p>
            <w:pPr>
              <w:spacing w:after="0"/>
              <w:rPr>
                <w:sz w:val="15"/>
                <w:szCs w:val="15"/>
                <w:color w:val="auto"/>
              </w:rPr>
            </w:pPr>
          </w:p>
        </w:tc>
        <w:tc>
          <w:tcPr>
            <w:tcW w:w="1380" w:type="dxa"/>
            <w:vAlign w:val="bottom"/>
            <w:tcBorders>
              <w:bottom w:val="single" w:sz="8" w:color="auto"/>
            </w:tcBorders>
            <w:shd w:val="clear" w:color="auto" w:fill="E2E2E2"/>
          </w:tcPr>
          <w:p>
            <w:pPr>
              <w:jc w:val="right"/>
              <w:ind w:right="68"/>
              <w:spacing w:after="0"/>
              <w:rPr>
                <w:sz w:val="20"/>
                <w:szCs w:val="20"/>
                <w:color w:val="auto"/>
              </w:rPr>
            </w:pPr>
            <w:r>
              <w:rPr>
                <w:rFonts w:ascii="Arial" w:cs="Arial" w:eastAsia="Arial" w:hAnsi="Arial"/>
                <w:sz w:val="14"/>
                <w:szCs w:val="14"/>
                <w:color w:val="auto"/>
              </w:rPr>
              <w:t>358,525</w:t>
            </w:r>
          </w:p>
        </w:tc>
        <w:tc>
          <w:tcPr>
            <w:tcW w:w="360" w:type="dxa"/>
            <w:vAlign w:val="bottom"/>
            <w:tcBorders>
              <w:bottom w:val="single" w:sz="8" w:color="auto"/>
            </w:tcBorders>
            <w:shd w:val="clear" w:color="auto" w:fill="E2E2E2"/>
          </w:tcPr>
          <w:p>
            <w:pPr>
              <w:spacing w:after="0"/>
              <w:rPr>
                <w:sz w:val="15"/>
                <w:szCs w:val="15"/>
                <w:color w:val="auto"/>
              </w:rPr>
            </w:pPr>
          </w:p>
        </w:tc>
        <w:tc>
          <w:tcPr>
            <w:tcW w:w="1240" w:type="dxa"/>
            <w:vAlign w:val="bottom"/>
            <w:tcBorders>
              <w:bottom w:val="single" w:sz="8" w:color="auto"/>
            </w:tcBorders>
            <w:shd w:val="clear" w:color="auto" w:fill="E2E2E2"/>
          </w:tcPr>
          <w:p>
            <w:pPr>
              <w:jc w:val="right"/>
              <w:ind w:right="68"/>
              <w:spacing w:after="0"/>
              <w:rPr>
                <w:sz w:val="20"/>
                <w:szCs w:val="20"/>
                <w:color w:val="auto"/>
              </w:rPr>
            </w:pPr>
            <w:r>
              <w:rPr>
                <w:rFonts w:ascii="Arial" w:cs="Arial" w:eastAsia="Arial" w:hAnsi="Arial"/>
                <w:sz w:val="14"/>
                <w:szCs w:val="14"/>
                <w:color w:val="auto"/>
              </w:rPr>
              <w:t>160,903</w:t>
            </w:r>
          </w:p>
        </w:tc>
        <w:tc>
          <w:tcPr>
            <w:tcW w:w="360" w:type="dxa"/>
            <w:vAlign w:val="bottom"/>
            <w:tcBorders>
              <w:bottom w:val="single" w:sz="8" w:color="auto"/>
            </w:tcBorders>
            <w:shd w:val="clear" w:color="auto" w:fill="E2E2E2"/>
          </w:tcPr>
          <w:p>
            <w:pPr>
              <w:spacing w:after="0"/>
              <w:rPr>
                <w:sz w:val="15"/>
                <w:szCs w:val="15"/>
                <w:color w:val="auto"/>
              </w:rPr>
            </w:pPr>
          </w:p>
        </w:tc>
        <w:tc>
          <w:tcPr>
            <w:tcW w:w="1200" w:type="dxa"/>
            <w:vAlign w:val="bottom"/>
            <w:tcBorders>
              <w:bottom w:val="single" w:sz="8" w:color="auto"/>
            </w:tcBorders>
            <w:shd w:val="clear" w:color="auto" w:fill="E2E2E2"/>
          </w:tcPr>
          <w:p>
            <w:pPr>
              <w:jc w:val="right"/>
              <w:ind w:right="48"/>
              <w:spacing w:after="0"/>
              <w:rPr>
                <w:sz w:val="20"/>
                <w:szCs w:val="20"/>
                <w:color w:val="auto"/>
              </w:rPr>
            </w:pPr>
            <w:r>
              <w:rPr>
                <w:rFonts w:ascii="Arial" w:cs="Arial" w:eastAsia="Arial" w:hAnsi="Arial"/>
                <w:sz w:val="14"/>
                <w:szCs w:val="14"/>
                <w:color w:val="auto"/>
              </w:rPr>
              <w:t>312,794</w:t>
            </w:r>
          </w:p>
        </w:tc>
        <w:tc>
          <w:tcPr>
            <w:tcW w:w="300" w:type="dxa"/>
            <w:vAlign w:val="bottom"/>
            <w:tcBorders>
              <w:bottom w:val="single" w:sz="8" w:color="auto"/>
            </w:tcBorders>
            <w:shd w:val="clear" w:color="auto" w:fill="E2E2E2"/>
          </w:tcPr>
          <w:p>
            <w:pPr>
              <w:spacing w:after="0"/>
              <w:rPr>
                <w:sz w:val="15"/>
                <w:szCs w:val="15"/>
                <w:color w:val="auto"/>
              </w:rPr>
            </w:pPr>
          </w:p>
        </w:tc>
        <w:tc>
          <w:tcPr>
            <w:tcW w:w="1260" w:type="dxa"/>
            <w:vAlign w:val="bottom"/>
            <w:tcBorders>
              <w:bottom w:val="single" w:sz="8" w:color="auto"/>
            </w:tcBorders>
            <w:shd w:val="clear" w:color="auto" w:fill="E2E2E2"/>
          </w:tcPr>
          <w:p>
            <w:pPr>
              <w:jc w:val="right"/>
              <w:ind w:right="48"/>
              <w:spacing w:after="0"/>
              <w:rPr>
                <w:sz w:val="20"/>
                <w:szCs w:val="20"/>
                <w:color w:val="auto"/>
              </w:rPr>
            </w:pPr>
            <w:r>
              <w:rPr>
                <w:rFonts w:ascii="Arial" w:cs="Arial" w:eastAsia="Arial" w:hAnsi="Arial"/>
                <w:sz w:val="14"/>
                <w:szCs w:val="14"/>
                <w:color w:val="auto"/>
              </w:rPr>
              <w:t>231,919</w:t>
            </w:r>
          </w:p>
        </w:tc>
        <w:tc>
          <w:tcPr>
            <w:tcW w:w="340" w:type="dxa"/>
            <w:vAlign w:val="bottom"/>
            <w:tcBorders>
              <w:bottom w:val="single" w:sz="8" w:color="auto"/>
            </w:tcBorders>
            <w:shd w:val="clear" w:color="auto" w:fill="E2E2E2"/>
          </w:tcPr>
          <w:p>
            <w:pPr>
              <w:spacing w:after="0"/>
              <w:rPr>
                <w:sz w:val="15"/>
                <w:szCs w:val="15"/>
                <w:color w:val="auto"/>
              </w:rPr>
            </w:pPr>
          </w:p>
        </w:tc>
        <w:tc>
          <w:tcPr>
            <w:tcW w:w="1200" w:type="dxa"/>
            <w:vAlign w:val="bottom"/>
            <w:tcBorders>
              <w:bottom w:val="single" w:sz="8" w:color="auto"/>
            </w:tcBorders>
            <w:shd w:val="clear" w:color="auto" w:fill="E2E2E2"/>
          </w:tcPr>
          <w:p>
            <w:pPr>
              <w:jc w:val="right"/>
              <w:ind w:right="28"/>
              <w:spacing w:after="0"/>
              <w:rPr>
                <w:sz w:val="20"/>
                <w:szCs w:val="20"/>
                <w:color w:val="auto"/>
              </w:rPr>
            </w:pPr>
            <w:r>
              <w:rPr>
                <w:rFonts w:ascii="Arial" w:cs="Arial" w:eastAsia="Arial" w:hAnsi="Arial"/>
                <w:sz w:val="14"/>
                <w:szCs w:val="14"/>
                <w:color w:val="auto"/>
              </w:rPr>
              <w:t>131,747</w:t>
            </w:r>
          </w:p>
        </w:tc>
      </w:tr>
      <w:tr>
        <w:trPr>
          <w:trHeight w:val="264"/>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1,508,746</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1,078,289</w:t>
            </w:r>
          </w:p>
        </w:tc>
        <w:tc>
          <w:tcPr>
            <w:tcW w:w="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951,857</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1,722,425</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1,098,787</w:t>
            </w:r>
          </w:p>
        </w:tc>
      </w:tr>
    </w:tbl>
    <w:p>
      <w:pPr>
        <w:spacing w:after="0" w:line="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Severance Payments. </w:t>
      </w:r>
      <w:r>
        <w:rPr>
          <w:rFonts w:ascii="Arial" w:cs="Arial" w:eastAsia="Arial" w:hAnsi="Arial"/>
          <w:sz w:val="18"/>
          <w:szCs w:val="18"/>
          <w:color w:val="auto"/>
        </w:rPr>
        <w:t>The severance payments reported for each Named Executive, other than for Mr. Fees, represent lump-sum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 equal to 52 weeks base salary as in effect on the date of termination under the Executive Severance Plan. Pursuant to Mr. Fees' Transition Agreement, he is not entitled to severance benefits under the Executive Severance Plan. Through this plan, eligible employees are entitled to receive specified severance benefits, including the severance payment reported, in the event their employment is terminated by their employer for reasons other than “cause.” Under the Executive Severance Plan, “cause” means:</w:t>
      </w:r>
    </w:p>
    <w:p>
      <w:pPr>
        <w:spacing w:after="0" w:line="67" w:lineRule="exact"/>
        <w:rPr>
          <w:sz w:val="20"/>
          <w:szCs w:val="20"/>
          <w:color w:val="auto"/>
        </w:rPr>
      </w:pPr>
    </w:p>
    <w:p>
      <w:pPr>
        <w:ind w:left="660" w:right="120" w:hanging="328"/>
        <w:spacing w:after="0" w:line="253"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willful and continued failure of a participant to perform substantially his or her duties (occasioned by reason other than physical or mental illness or disability) after a written demand for substantial performance is delivered to the participant by the Compensation Committee or the Chief Executive Officer, which specifically identifies the manner in which the Compensation Committee or the Chief Executive Officer believes that the participant has not substantially performed his or her duties, after which the participant will have 30 days to defend or remedy such failure to substantially perform his or her duties;</w:t>
      </w:r>
    </w:p>
    <w:p>
      <w:pPr>
        <w:spacing w:after="0" w:line="151" w:lineRule="exact"/>
        <w:rPr>
          <w:rFonts w:ascii="Arial" w:cs="Arial" w:eastAsia="Arial" w:hAnsi="Arial"/>
          <w:sz w:val="18"/>
          <w:szCs w:val="18"/>
          <w:color w:val="auto"/>
        </w:rPr>
      </w:pPr>
    </w:p>
    <w:p>
      <w:pPr>
        <w:ind w:left="660" w:right="640" w:hanging="328"/>
        <w:spacing w:after="0" w:line="262"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willful engaging by a participant in illegal conduct or gross misconduct, which is materially and demonstrably injurious to the Company; or</w:t>
      </w:r>
    </w:p>
    <w:p>
      <w:pPr>
        <w:spacing w:after="0" w:line="43" w:lineRule="exact"/>
        <w:rPr>
          <w:rFonts w:ascii="Arial" w:cs="Arial" w:eastAsia="Arial" w:hAnsi="Arial"/>
          <w:sz w:val="18"/>
          <w:szCs w:val="18"/>
          <w:color w:val="auto"/>
        </w:rPr>
      </w:pPr>
    </w:p>
    <w:p>
      <w:pPr>
        <w:ind w:left="660" w:right="160" w:hanging="328"/>
        <w:spacing w:after="0" w:line="282"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the conviction of a participant with no further possibility of appeal, or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by the participant to, any felony or crime of falsehood.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2C2C2C"/>
        </w:rPr>
        <w:t xml:space="preserve">52 </w:t>
      </w:r>
      <w:r>
        <w:rPr>
          <w:sz w:val="1"/>
          <w:szCs w:val="1"/>
          <w:color w:val="auto"/>
        </w:rPr>
        <w:drawing>
          <wp:inline distT="0" distB="0" distL="0" distR="0">
            <wp:extent cx="445770" cy="18034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45770" cy="180340"/>
                    </a:xfrm>
                    <a:prstGeom prst="rect">
                      <a:avLst/>
                    </a:prstGeom>
                    <a:noFill/>
                    <a:ln>
                      <a:noFill/>
                    </a:ln>
                  </pic:spPr>
                </pic:pic>
              </a:graphicData>
            </a:graphic>
          </wp:inline>
        </w:drawing>
      </w:r>
      <w:r>
        <w:rPr>
          <w:rFonts w:ascii="Arial" w:cs="Arial" w:eastAsia="Arial" w:hAnsi="Arial"/>
          <w:sz w:val="18"/>
          <w:szCs w:val="18"/>
          <w:color w:val="auto"/>
        </w:rPr>
        <w:t xml:space="preserve"> 2018 PROXY STATEMENT</w:t>
      </w:r>
    </w:p>
    <w:p>
      <w:pPr>
        <w:sectPr>
          <w:pgSz w:w="11900" w:h="16838" w:orient="portrait"/>
          <w:cols w:equalWidth="0" w:num="1">
            <w:col w:w="11400"/>
          </w:cols>
          <w:pgMar w:left="240" w:top="125" w:right="259" w:bottom="1440" w:gutter="0" w:footer="0" w:header="0"/>
        </w:sectPr>
      </w:pPr>
    </w:p>
    <w:bookmarkStart w:id="61" w:name="page62"/>
    <w:bookmarkEnd w:id="61"/>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left="960"/>
        <w:spacing w:after="0"/>
        <w:rPr>
          <w:sz w:val="20"/>
          <w:szCs w:val="20"/>
          <w:color w:val="auto"/>
        </w:rPr>
      </w:pPr>
      <w:r>
        <w:rPr>
          <w:rFonts w:ascii="Arial" w:cs="Arial" w:eastAsia="Arial" w:hAnsi="Arial"/>
          <w:sz w:val="14"/>
          <w:szCs w:val="14"/>
          <w:color w:val="auto"/>
        </w:rPr>
        <w:t>COMPENSATION OF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Generally, employees of the Company and certain of the Company’s subsidiaries who have been elected to the office of vice president or president are eligible to participate in the Executive Severance Plan. Receipt of severance benefits under the Executive Severance Plan is subject to the employee executing a general release of claims and agreeing to certain non-compete, nondisclosure and other restrictive covenants, and the employee’s submission of a written claim for benefits.</w:t>
      </w:r>
    </w:p>
    <w:p>
      <w:pPr>
        <w:spacing w:after="0" w:line="4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 xml:space="preserve">Benefit Payments. </w:t>
      </w:r>
      <w:r>
        <w:rPr>
          <w:rFonts w:ascii="Arial" w:cs="Arial" w:eastAsia="Arial" w:hAnsi="Arial"/>
          <w:sz w:val="18"/>
          <w:szCs w:val="18"/>
          <w:color w:val="auto"/>
        </w:rPr>
        <w:t>Upon a termination by the Company for any reason other than cause under the Executive Severance Plan, each Named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other than Mr. Fees, would also be entitled to a lump-sum payment equal to nine months of COBRA premiums for the medical, dental and/or vision benefits in effect for the applicable Named Executive and his or her qualified beneficiaries as of the date of termination. This payment is subject to the same conditions described above for severance payments under the Executive Severance Plan. The amounts reported were determined by multiplying the annual cost of 2017 medical, dental and/or vision benefits for the Named Executive and his or her qualified beneficiaries by 102%. The Executive Severance Plan also provides for extended availability of COBRA coverage from 18 to 24 months. Pursuant to his Transition Agreement, Mr. Fees would be entitled to receive COBRA benefits until two years after the Resignation Date.</w:t>
      </w:r>
    </w:p>
    <w:p>
      <w:pPr>
        <w:spacing w:after="0" w:line="50"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b w:val="1"/>
          <w:bCs w:val="1"/>
          <w:i w:val="1"/>
          <w:iCs w:val="1"/>
          <w:color w:val="auto"/>
        </w:rPr>
        <w:t xml:space="preserve">Outplacement Services. </w:t>
      </w:r>
      <w:r>
        <w:rPr>
          <w:rFonts w:ascii="Arial" w:cs="Arial" w:eastAsia="Arial" w:hAnsi="Arial"/>
          <w:sz w:val="18"/>
          <w:szCs w:val="18"/>
          <w:color w:val="auto"/>
        </w:rPr>
        <w:t>Each Named Executive would be entitled to 12 months of employer-paid outplacement services under the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Severance Plan following his termination by the Company for reasons other than cause. The amounts reported represent the per person cost the Company would incur to engage a third-party service provider for 12 months of executive outplacement services.</w:t>
      </w:r>
    </w:p>
    <w:p>
      <w:pPr>
        <w:spacing w:after="0" w:line="3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 xml:space="preserve">EICP. </w:t>
      </w:r>
      <w:r>
        <w:rPr>
          <w:rFonts w:ascii="Arial" w:cs="Arial" w:eastAsia="Arial" w:hAnsi="Arial"/>
          <w:sz w:val="18"/>
          <w:szCs w:val="18"/>
          <w:color w:val="auto"/>
        </w:rPr>
        <w:t>The Company does not make any payments under the EICP to participants who have involuntarily terminated without cause,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participants who have an accrued pension benefit. For those participants, it has been the Company’s practice to pay the prorated amount of an EICP award that would have been earned during the year in which the employee is involuntarily terminated without cause, contingent on the participant executing a general release of claims. Pursuant to his Transition Agreement, Mr. Fees would be entitled to receive an EICP payment, subject to satisfaction of the applicable performance conditions. The value in the table represents the target value of Mr. Fees' EICP payment opportunity.</w:t>
      </w:r>
    </w:p>
    <w:p>
      <w:pPr>
        <w:spacing w:after="0" w:line="4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 xml:space="preserve">Financial Planning. </w:t>
      </w:r>
      <w:r>
        <w:rPr>
          <w:rFonts w:ascii="Arial" w:cs="Arial" w:eastAsia="Arial" w:hAnsi="Arial"/>
          <w:sz w:val="18"/>
          <w:szCs w:val="18"/>
          <w:color w:val="auto"/>
        </w:rPr>
        <w:t>Under the terms of the agreement with the Company’s financial planning service provider, each Named Executive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entitled to financial planning benefits for one year following his termination without cause, among other events, so long as the agreement has not been earlier terminated. The amounts reported in this column represent the fee that the Company would be required to pay for the applicable Named Executive to receive such benefits. Mr. Fees would be entitled to financial planning through June 2019 pursuant to the Transition Agreement.</w:t>
      </w:r>
    </w:p>
    <w:p>
      <w:pPr>
        <w:spacing w:after="0" w:line="4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SERP</w:t>
      </w:r>
      <w:r>
        <w:rPr>
          <w:rFonts w:ascii="Arial" w:cs="Arial" w:eastAsia="Arial" w:hAnsi="Arial"/>
          <w:sz w:val="18"/>
          <w:szCs w:val="18"/>
          <w:color w:val="auto"/>
        </w:rPr>
        <w:t>. Under the terms of the Company’s SERP, an executive’s Company account becomes fully vested on, among other events, the date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executive’s termination by the Company for any reason other than cause.</w:t>
      </w:r>
    </w:p>
    <w:p>
      <w:pPr>
        <w:spacing w:after="0" w:line="18"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b w:val="1"/>
          <w:bCs w:val="1"/>
          <w:i w:val="1"/>
          <w:iCs w:val="1"/>
          <w:color w:val="auto"/>
        </w:rPr>
        <w:t xml:space="preserve">Restoration Plan. </w:t>
      </w:r>
      <w:r>
        <w:rPr>
          <w:rFonts w:ascii="Arial" w:cs="Arial" w:eastAsia="Arial" w:hAnsi="Arial"/>
          <w:sz w:val="18"/>
          <w:szCs w:val="18"/>
          <w:color w:val="auto"/>
        </w:rPr>
        <w:t>Under the Company’s Restoration Plan, an executive’s Company matching account and Company service-based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becomes fully vested on, among other events, the date of the executive’s termination by the Company for any reason other than cause. “Cause” has substantially the same meaning under the Restoration Plan as it does under the Executive Severance Plan.</w:t>
      </w:r>
    </w:p>
    <w:p>
      <w:pPr>
        <w:spacing w:after="0" w:line="3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b w:val="1"/>
          <w:bCs w:val="1"/>
          <w:i w:val="1"/>
          <w:iCs w:val="1"/>
          <w:color w:val="auto"/>
        </w:rPr>
        <w:t xml:space="preserve">Equity Awards. </w:t>
      </w:r>
      <w:r>
        <w:rPr>
          <w:rFonts w:ascii="Arial" w:cs="Arial" w:eastAsia="Arial" w:hAnsi="Arial"/>
          <w:sz w:val="18"/>
          <w:szCs w:val="18"/>
          <w:color w:val="auto"/>
        </w:rPr>
        <w:t>Generally for all Named Executives, the Company’s stock and option awards provide for accelerated vesting of at least a part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an executive’s outstanding options, shares or units under an involuntary termination without cause. The amount that is accelerated generally depends on whether the termination occurred during the second or third year of the award. For options and most restricted stock unit awards, 25% of the unvested award vests or remains eligible to vest if termination occurs during the second year of the award and 50% of the unvested award vests or remains eligible to vest if termination occurs during the third year of the award. In the event performance awards remain eligible to vest, the number of performance awards that will vest at the end of the three-year vest term are determined by multiplying (i) the total number of performance shares that would have vested based on actual performance had the applicable Named Executive been employed at the end of the vest term by (ii) the applicable percentage discussed above. The value for performance awards included in the table above are based on the target number of shares. Mr. Fees' equity awards are subject to the the terms of the Transition Agreement. See page 36 for additional information regarding the vesting of his equity awards.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VALUE OF BENEFITS TO BE RECEIVED UPON VOLUNTARY TERMINATION</w:t>
      </w:r>
    </w:p>
    <w:p>
      <w:pPr>
        <w:spacing w:after="0" w:line="112"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color w:val="auto"/>
        </w:rPr>
        <w:t>The following table shows the estimated value of payments and other benefits due the Named Executives assuming their termination of employment for good reason as of December 31, 2017.</w:t>
      </w:r>
    </w:p>
    <w:p>
      <w:pPr>
        <w:spacing w:after="0" w:line="224" w:lineRule="exact"/>
        <w:rPr>
          <w:sz w:val="20"/>
          <w:szCs w:val="20"/>
          <w:color w:val="auto"/>
        </w:rPr>
      </w:pPr>
    </w:p>
    <w:p>
      <w:pPr>
        <w:jc w:val="right"/>
        <w:spacing w:after="0"/>
        <w:rPr>
          <w:sz w:val="20"/>
          <w:szCs w:val="20"/>
          <w:color w:val="auto"/>
        </w:rPr>
      </w:pPr>
      <w:r>
        <w:rPr>
          <w:sz w:val="1"/>
          <w:szCs w:val="1"/>
          <w:color w:val="auto"/>
        </w:rPr>
        <w:drawing>
          <wp:inline distT="0" distB="0" distL="0" distR="0">
            <wp:extent cx="488950" cy="20574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88950" cy="205740"/>
                    </a:xfrm>
                    <a:prstGeom prst="rect">
                      <a:avLst/>
                    </a:prstGeom>
                    <a:noFill/>
                    <a:ln>
                      <a:noFill/>
                    </a:ln>
                  </pic:spPr>
                </pic:pic>
              </a:graphicData>
            </a:graphic>
          </wp:inline>
        </w:drawing>
      </w:r>
      <w:r>
        <w:rPr>
          <w:rFonts w:ascii="Arial" w:cs="Arial" w:eastAsia="Arial" w:hAnsi="Arial"/>
          <w:sz w:val="18"/>
          <w:szCs w:val="18"/>
          <w:color w:val="auto"/>
        </w:rPr>
        <w:t xml:space="preserve"> 2018 PROXY STATEMENT </w:t>
      </w:r>
      <w:r>
        <w:rPr>
          <w:rFonts w:ascii="Arial" w:cs="Arial" w:eastAsia="Arial" w:hAnsi="Arial"/>
          <w:sz w:val="18"/>
          <w:szCs w:val="18"/>
          <w:b w:val="1"/>
          <w:bCs w:val="1"/>
          <w:color w:val="2C2C2C"/>
        </w:rPr>
        <w:t>53</w:t>
      </w:r>
    </w:p>
    <w:p>
      <w:pPr>
        <w:sectPr>
          <w:pgSz w:w="11900" w:h="16838" w:orient="portrait"/>
          <w:cols w:equalWidth="0" w:num="1">
            <w:col w:w="11420"/>
          </w:cols>
          <w:pgMar w:left="240" w:top="125" w:right="239" w:bottom="1440" w:gutter="0" w:footer="0" w:header="0"/>
        </w:sectPr>
      </w:pPr>
    </w:p>
    <w:bookmarkStart w:id="62" w:name="page63"/>
    <w:bookmarkEnd w:id="62"/>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7240"/>
        <w:spacing w:after="0"/>
        <w:rPr>
          <w:sz w:val="20"/>
          <w:szCs w:val="20"/>
          <w:color w:val="auto"/>
        </w:rPr>
      </w:pPr>
      <w:r>
        <w:rPr>
          <w:rFonts w:ascii="Arial" w:cs="Arial" w:eastAsia="Arial" w:hAnsi="Arial"/>
          <w:sz w:val="14"/>
          <w:szCs w:val="14"/>
          <w:color w:val="auto"/>
        </w:rPr>
        <w:t>COMPENSATION OF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420" w:type="dxa"/>
            <w:vAlign w:val="bottom"/>
            <w:shd w:val="clear" w:color="auto" w:fill="525252"/>
          </w:tcPr>
          <w:p>
            <w:pPr>
              <w:spacing w:after="0"/>
              <w:rPr>
                <w:sz w:val="23"/>
                <w:szCs w:val="23"/>
                <w:color w:val="auto"/>
              </w:rPr>
            </w:pPr>
          </w:p>
        </w:tc>
        <w:tc>
          <w:tcPr>
            <w:tcW w:w="1340" w:type="dxa"/>
            <w:vAlign w:val="bottom"/>
            <w:shd w:val="clear" w:color="auto" w:fill="525252"/>
          </w:tcPr>
          <w:p>
            <w:pPr>
              <w:jc w:val="right"/>
              <w:spacing w:after="0"/>
              <w:rPr>
                <w:sz w:val="20"/>
                <w:szCs w:val="20"/>
                <w:color w:val="auto"/>
              </w:rPr>
            </w:pPr>
            <w:r>
              <w:rPr>
                <w:rFonts w:ascii="Arial" w:cs="Arial" w:eastAsia="Arial" w:hAnsi="Arial"/>
                <w:sz w:val="14"/>
                <w:szCs w:val="14"/>
                <w:b w:val="1"/>
                <w:bCs w:val="1"/>
                <w:color w:val="FFFFFF"/>
              </w:rPr>
              <w:t>Mr. Geveden</w:t>
            </w:r>
          </w:p>
        </w:tc>
        <w:tc>
          <w:tcPr>
            <w:tcW w:w="320" w:type="dxa"/>
            <w:vAlign w:val="bottom"/>
            <w:shd w:val="clear" w:color="auto" w:fill="525252"/>
          </w:tcPr>
          <w:p>
            <w:pPr>
              <w:spacing w:after="0"/>
              <w:rPr>
                <w:sz w:val="23"/>
                <w:szCs w:val="23"/>
                <w:color w:val="auto"/>
              </w:rPr>
            </w:pPr>
          </w:p>
        </w:tc>
        <w:tc>
          <w:tcPr>
            <w:tcW w:w="1260" w:type="dxa"/>
            <w:vAlign w:val="bottom"/>
            <w:shd w:val="clear" w:color="auto" w:fill="525252"/>
          </w:tcPr>
          <w:p>
            <w:pPr>
              <w:jc w:val="right"/>
              <w:ind w:right="8"/>
              <w:spacing w:after="0"/>
              <w:rPr>
                <w:sz w:val="20"/>
                <w:szCs w:val="20"/>
                <w:color w:val="auto"/>
              </w:rPr>
            </w:pPr>
            <w:r>
              <w:rPr>
                <w:rFonts w:ascii="Arial" w:cs="Arial" w:eastAsia="Arial" w:hAnsi="Arial"/>
                <w:sz w:val="14"/>
                <w:szCs w:val="14"/>
                <w:b w:val="1"/>
                <w:bCs w:val="1"/>
                <w:color w:val="FFFFFF"/>
              </w:rPr>
              <w:t>Mr. Black</w:t>
            </w:r>
          </w:p>
        </w:tc>
        <w:tc>
          <w:tcPr>
            <w:tcW w:w="360" w:type="dxa"/>
            <w:vAlign w:val="bottom"/>
            <w:shd w:val="clear" w:color="auto" w:fill="525252"/>
          </w:tcPr>
          <w:p>
            <w:pPr>
              <w:spacing w:after="0"/>
              <w:rPr>
                <w:sz w:val="23"/>
                <w:szCs w:val="23"/>
                <w:color w:val="auto"/>
              </w:rPr>
            </w:pPr>
          </w:p>
        </w:tc>
        <w:tc>
          <w:tcPr>
            <w:tcW w:w="380" w:type="dxa"/>
            <w:vAlign w:val="bottom"/>
            <w:shd w:val="clear" w:color="auto" w:fill="525252"/>
          </w:tcPr>
          <w:p>
            <w:pPr>
              <w:spacing w:after="0"/>
              <w:rPr>
                <w:sz w:val="23"/>
                <w:szCs w:val="23"/>
                <w:color w:val="auto"/>
              </w:rPr>
            </w:pPr>
          </w:p>
        </w:tc>
        <w:tc>
          <w:tcPr>
            <w:tcW w:w="1220" w:type="dxa"/>
            <w:vAlign w:val="bottom"/>
            <w:shd w:val="clear" w:color="auto" w:fill="525252"/>
          </w:tcPr>
          <w:p>
            <w:pPr>
              <w:jc w:val="right"/>
              <w:ind w:right="368"/>
              <w:spacing w:after="0"/>
              <w:rPr>
                <w:sz w:val="20"/>
                <w:szCs w:val="20"/>
                <w:color w:val="auto"/>
              </w:rPr>
            </w:pPr>
            <w:r>
              <w:rPr>
                <w:rFonts w:ascii="Arial" w:cs="Arial" w:eastAsia="Arial" w:hAnsi="Arial"/>
                <w:sz w:val="14"/>
                <w:szCs w:val="14"/>
                <w:b w:val="1"/>
                <w:bCs w:val="1"/>
                <w:color w:val="FFFFFF"/>
              </w:rPr>
              <w:t>Mr. Fees</w:t>
            </w:r>
          </w:p>
        </w:tc>
        <w:tc>
          <w:tcPr>
            <w:tcW w:w="300" w:type="dxa"/>
            <w:vAlign w:val="bottom"/>
            <w:shd w:val="clear" w:color="auto" w:fill="525252"/>
          </w:tcPr>
          <w:p>
            <w:pPr>
              <w:spacing w:after="0"/>
              <w:rPr>
                <w:sz w:val="23"/>
                <w:szCs w:val="23"/>
                <w:color w:val="auto"/>
              </w:rPr>
            </w:pPr>
          </w:p>
        </w:tc>
        <w:tc>
          <w:tcPr>
            <w:tcW w:w="1260" w:type="dxa"/>
            <w:vAlign w:val="bottom"/>
            <w:shd w:val="clear" w:color="auto" w:fill="525252"/>
          </w:tcPr>
          <w:p>
            <w:pPr>
              <w:ind w:left="100"/>
              <w:spacing w:after="0"/>
              <w:rPr>
                <w:sz w:val="20"/>
                <w:szCs w:val="20"/>
                <w:color w:val="auto"/>
              </w:rPr>
            </w:pPr>
            <w:r>
              <w:rPr>
                <w:rFonts w:ascii="Arial" w:cs="Arial" w:eastAsia="Arial" w:hAnsi="Arial"/>
                <w:sz w:val="14"/>
                <w:szCs w:val="14"/>
                <w:b w:val="1"/>
                <w:bCs w:val="1"/>
                <w:color w:val="FFFFFF"/>
              </w:rPr>
              <w:t>Mr. Canafax</w:t>
            </w:r>
          </w:p>
        </w:tc>
        <w:tc>
          <w:tcPr>
            <w:tcW w:w="360" w:type="dxa"/>
            <w:vAlign w:val="bottom"/>
            <w:shd w:val="clear" w:color="auto" w:fill="525252"/>
          </w:tcPr>
          <w:p>
            <w:pPr>
              <w:spacing w:after="0"/>
              <w:rPr>
                <w:sz w:val="23"/>
                <w:szCs w:val="23"/>
                <w:color w:val="auto"/>
              </w:rPr>
            </w:pPr>
          </w:p>
        </w:tc>
        <w:tc>
          <w:tcPr>
            <w:tcW w:w="1200" w:type="dxa"/>
            <w:vAlign w:val="bottom"/>
            <w:shd w:val="clear" w:color="auto" w:fill="525252"/>
          </w:tcPr>
          <w:p>
            <w:pPr>
              <w:jc w:val="right"/>
              <w:ind w:right="328"/>
              <w:spacing w:after="0"/>
              <w:rPr>
                <w:sz w:val="20"/>
                <w:szCs w:val="20"/>
                <w:color w:val="auto"/>
              </w:rPr>
            </w:pPr>
            <w:r>
              <w:rPr>
                <w:rFonts w:ascii="Arial" w:cs="Arial" w:eastAsia="Arial" w:hAnsi="Arial"/>
                <w:sz w:val="14"/>
                <w:szCs w:val="14"/>
                <w:b w:val="1"/>
                <w:bCs w:val="1"/>
                <w:color w:val="FFFFFF"/>
              </w:rPr>
              <w:t>Mr. Henry</w:t>
            </w:r>
          </w:p>
        </w:tc>
      </w:tr>
      <w:tr>
        <w:trPr>
          <w:trHeight w:val="264"/>
        </w:trPr>
        <w:tc>
          <w:tcPr>
            <w:tcW w:w="3420" w:type="dxa"/>
            <w:vAlign w:val="bottom"/>
          </w:tcPr>
          <w:p>
            <w:pPr>
              <w:ind w:left="40"/>
              <w:spacing w:after="0"/>
              <w:rPr>
                <w:sz w:val="20"/>
                <w:szCs w:val="20"/>
                <w:color w:val="auto"/>
              </w:rPr>
            </w:pPr>
            <w:r>
              <w:rPr>
                <w:rFonts w:ascii="Arial" w:cs="Arial" w:eastAsia="Arial" w:hAnsi="Arial"/>
                <w:sz w:val="14"/>
                <w:szCs w:val="14"/>
                <w:color w:val="auto"/>
              </w:rPr>
              <w:t>Severance Payments</w:t>
            </w:r>
          </w:p>
        </w:tc>
        <w:tc>
          <w:tcPr>
            <w:tcW w:w="1340" w:type="dxa"/>
            <w:vAlign w:val="bottom"/>
          </w:tcPr>
          <w:p>
            <w:pPr>
              <w:jc w:val="right"/>
              <w:ind w:right="1028"/>
              <w:spacing w:after="0"/>
              <w:rPr>
                <w:sz w:val="20"/>
                <w:szCs w:val="20"/>
                <w:color w:val="auto"/>
              </w:rPr>
            </w:pPr>
            <w:r>
              <w:rPr>
                <w:rFonts w:ascii="Arial" w:cs="Arial" w:eastAsia="Arial" w:hAnsi="Arial"/>
                <w:sz w:val="14"/>
                <w:szCs w:val="14"/>
                <w:color w:val="auto"/>
              </w:rPr>
              <w:t>$</w:t>
            </w:r>
          </w:p>
        </w:tc>
        <w:tc>
          <w:tcPr>
            <w:tcW w:w="320" w:type="dxa"/>
            <w:vAlign w:val="bottom"/>
          </w:tcPr>
          <w:p>
            <w:pPr>
              <w:ind w:left="4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360" w:type="dxa"/>
            <w:vAlign w:val="bottom"/>
          </w:tcPr>
          <w:p>
            <w:pPr>
              <w:ind w:left="8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ind w:left="100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3420" w:type="dxa"/>
            <w:vAlign w:val="bottom"/>
            <w:shd w:val="clear" w:color="auto" w:fill="E5E5E5"/>
          </w:tcPr>
          <w:p>
            <w:pPr>
              <w:ind w:left="40"/>
              <w:spacing w:after="0"/>
              <w:rPr>
                <w:sz w:val="20"/>
                <w:szCs w:val="20"/>
                <w:color w:val="auto"/>
              </w:rPr>
            </w:pPr>
            <w:r>
              <w:rPr>
                <w:rFonts w:ascii="Arial" w:cs="Arial" w:eastAsia="Arial" w:hAnsi="Arial"/>
                <w:sz w:val="14"/>
                <w:szCs w:val="14"/>
                <w:color w:val="auto"/>
              </w:rPr>
              <w:t>Benefit Payments</w:t>
            </w:r>
          </w:p>
        </w:tc>
        <w:tc>
          <w:tcPr>
            <w:tcW w:w="1340" w:type="dxa"/>
            <w:vAlign w:val="bottom"/>
            <w:shd w:val="clear" w:color="auto" w:fill="E5E5E5"/>
          </w:tcPr>
          <w:p>
            <w:pPr>
              <w:spacing w:after="0"/>
              <w:rPr>
                <w:sz w:val="24"/>
                <w:szCs w:val="24"/>
                <w:color w:val="auto"/>
              </w:rPr>
            </w:pPr>
          </w:p>
        </w:tc>
        <w:tc>
          <w:tcPr>
            <w:tcW w:w="320" w:type="dxa"/>
            <w:vAlign w:val="bottom"/>
            <w:shd w:val="clear" w:color="auto" w:fill="E5E5E5"/>
          </w:tcPr>
          <w:p>
            <w:pPr>
              <w:ind w:left="40"/>
              <w:spacing w:after="0"/>
              <w:rPr>
                <w:sz w:val="20"/>
                <w:szCs w:val="20"/>
                <w:color w:val="auto"/>
              </w:rPr>
            </w:pPr>
            <w:r>
              <w:rPr>
                <w:rFonts w:ascii="Arial" w:cs="Arial" w:eastAsia="Arial" w:hAnsi="Arial"/>
                <w:sz w:val="14"/>
                <w:szCs w:val="14"/>
                <w:color w:val="auto"/>
              </w:rPr>
              <w:t>—</w:t>
            </w:r>
          </w:p>
        </w:tc>
        <w:tc>
          <w:tcPr>
            <w:tcW w:w="1260" w:type="dxa"/>
            <w:vAlign w:val="bottom"/>
            <w:shd w:val="clear" w:color="auto" w:fill="E5E5E5"/>
          </w:tcPr>
          <w:p>
            <w:pPr>
              <w:spacing w:after="0"/>
              <w:rPr>
                <w:sz w:val="24"/>
                <w:szCs w:val="24"/>
                <w:color w:val="auto"/>
              </w:rPr>
            </w:pPr>
          </w:p>
        </w:tc>
        <w:tc>
          <w:tcPr>
            <w:tcW w:w="360" w:type="dxa"/>
            <w:vAlign w:val="bottom"/>
            <w:shd w:val="clear" w:color="auto" w:fill="E5E5E5"/>
          </w:tcPr>
          <w:p>
            <w:pPr>
              <w:ind w:left="80"/>
              <w:spacing w:after="0"/>
              <w:rPr>
                <w:sz w:val="20"/>
                <w:szCs w:val="20"/>
                <w:color w:val="auto"/>
              </w:rPr>
            </w:pPr>
            <w:r>
              <w:rPr>
                <w:rFonts w:ascii="Arial" w:cs="Arial" w:eastAsia="Arial" w:hAnsi="Arial"/>
                <w:sz w:val="14"/>
                <w:szCs w:val="14"/>
                <w:color w:val="auto"/>
              </w:rPr>
              <w:t>—</w:t>
            </w:r>
          </w:p>
        </w:tc>
        <w:tc>
          <w:tcPr>
            <w:tcW w:w="380" w:type="dxa"/>
            <w:vAlign w:val="bottom"/>
            <w:shd w:val="clear" w:color="auto" w:fill="E5E5E5"/>
          </w:tcPr>
          <w:p>
            <w:pPr>
              <w:spacing w:after="0"/>
              <w:rPr>
                <w:sz w:val="24"/>
                <w:szCs w:val="24"/>
                <w:color w:val="auto"/>
              </w:rPr>
            </w:pPr>
          </w:p>
        </w:tc>
        <w:tc>
          <w:tcPr>
            <w:tcW w:w="12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11,829</w:t>
            </w:r>
          </w:p>
        </w:tc>
        <w:tc>
          <w:tcPr>
            <w:tcW w:w="300" w:type="dxa"/>
            <w:vAlign w:val="bottom"/>
            <w:shd w:val="clear" w:color="auto" w:fill="E5E5E5"/>
          </w:tcPr>
          <w:p>
            <w:pPr>
              <w:spacing w:after="0"/>
              <w:rPr>
                <w:sz w:val="24"/>
                <w:szCs w:val="24"/>
                <w:color w:val="auto"/>
              </w:rPr>
            </w:pPr>
          </w:p>
        </w:tc>
        <w:tc>
          <w:tcPr>
            <w:tcW w:w="1260" w:type="dxa"/>
            <w:vAlign w:val="bottom"/>
            <w:shd w:val="clear" w:color="auto" w:fill="E5E5E5"/>
          </w:tcPr>
          <w:p>
            <w:pPr>
              <w:ind w:left="1000"/>
              <w:spacing w:after="0"/>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24"/>
                <w:szCs w:val="24"/>
                <w:color w:val="auto"/>
              </w:rPr>
            </w:pPr>
          </w:p>
        </w:tc>
        <w:tc>
          <w:tcPr>
            <w:tcW w:w="12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3420" w:type="dxa"/>
            <w:vAlign w:val="bottom"/>
          </w:tcPr>
          <w:p>
            <w:pPr>
              <w:ind w:left="40"/>
              <w:spacing w:after="0"/>
              <w:rPr>
                <w:sz w:val="20"/>
                <w:szCs w:val="20"/>
                <w:color w:val="auto"/>
              </w:rPr>
            </w:pPr>
            <w:r>
              <w:rPr>
                <w:rFonts w:ascii="Arial" w:cs="Arial" w:eastAsia="Arial" w:hAnsi="Arial"/>
                <w:sz w:val="14"/>
                <w:szCs w:val="14"/>
                <w:color w:val="auto"/>
              </w:rPr>
              <w:t>EICP</w:t>
            </w:r>
          </w:p>
        </w:tc>
        <w:tc>
          <w:tcPr>
            <w:tcW w:w="1340" w:type="dxa"/>
            <w:vAlign w:val="bottom"/>
          </w:tcPr>
          <w:p>
            <w:pPr>
              <w:spacing w:after="0"/>
              <w:rPr>
                <w:sz w:val="22"/>
                <w:szCs w:val="22"/>
                <w:color w:val="auto"/>
              </w:rPr>
            </w:pPr>
          </w:p>
        </w:tc>
        <w:tc>
          <w:tcPr>
            <w:tcW w:w="320" w:type="dxa"/>
            <w:vAlign w:val="bottom"/>
          </w:tcPr>
          <w:p>
            <w:pPr>
              <w:ind w:left="40"/>
              <w:spacing w:after="0"/>
              <w:rPr>
                <w:sz w:val="20"/>
                <w:szCs w:val="20"/>
                <w:color w:val="auto"/>
              </w:rPr>
            </w:pPr>
            <w:r>
              <w:rPr>
                <w:rFonts w:ascii="Arial" w:cs="Arial" w:eastAsia="Arial" w:hAnsi="Arial"/>
                <w:sz w:val="14"/>
                <w:szCs w:val="14"/>
                <w:color w:val="auto"/>
              </w:rPr>
              <w:t>—</w:t>
            </w:r>
          </w:p>
        </w:tc>
        <w:tc>
          <w:tcPr>
            <w:tcW w:w="1260" w:type="dxa"/>
            <w:vAlign w:val="bottom"/>
          </w:tcPr>
          <w:p>
            <w:pPr>
              <w:spacing w:after="0"/>
              <w:rPr>
                <w:sz w:val="22"/>
                <w:szCs w:val="22"/>
                <w:color w:val="auto"/>
              </w:rPr>
            </w:pPr>
          </w:p>
        </w:tc>
        <w:tc>
          <w:tcPr>
            <w:tcW w:w="360" w:type="dxa"/>
            <w:vAlign w:val="bottom"/>
          </w:tcPr>
          <w:p>
            <w:pPr>
              <w:ind w:left="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450,000</w:t>
            </w:r>
          </w:p>
        </w:tc>
        <w:tc>
          <w:tcPr>
            <w:tcW w:w="300" w:type="dxa"/>
            <w:vAlign w:val="bottom"/>
          </w:tcPr>
          <w:p>
            <w:pPr>
              <w:spacing w:after="0"/>
              <w:rPr>
                <w:sz w:val="22"/>
                <w:szCs w:val="22"/>
                <w:color w:val="auto"/>
              </w:rPr>
            </w:pPr>
          </w:p>
        </w:tc>
        <w:tc>
          <w:tcPr>
            <w:tcW w:w="1260" w:type="dxa"/>
            <w:vAlign w:val="bottom"/>
          </w:tcPr>
          <w:p>
            <w:pPr>
              <w:ind w:left="10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3420" w:type="dxa"/>
            <w:vAlign w:val="bottom"/>
            <w:shd w:val="clear" w:color="auto" w:fill="E5E5E5"/>
          </w:tcPr>
          <w:p>
            <w:pPr>
              <w:ind w:left="40"/>
              <w:spacing w:after="0"/>
              <w:rPr>
                <w:sz w:val="20"/>
                <w:szCs w:val="20"/>
                <w:color w:val="auto"/>
              </w:rPr>
            </w:pPr>
            <w:r>
              <w:rPr>
                <w:rFonts w:ascii="Arial" w:cs="Arial" w:eastAsia="Arial" w:hAnsi="Arial"/>
                <w:sz w:val="14"/>
                <w:szCs w:val="14"/>
                <w:color w:val="auto"/>
              </w:rPr>
              <w:t>Financial Planning</w:t>
            </w:r>
          </w:p>
        </w:tc>
        <w:tc>
          <w:tcPr>
            <w:tcW w:w="1340" w:type="dxa"/>
            <w:vAlign w:val="bottom"/>
            <w:shd w:val="clear" w:color="auto" w:fill="E5E5E5"/>
          </w:tcPr>
          <w:p>
            <w:pPr>
              <w:spacing w:after="0"/>
              <w:rPr>
                <w:sz w:val="24"/>
                <w:szCs w:val="24"/>
                <w:color w:val="auto"/>
              </w:rPr>
            </w:pPr>
          </w:p>
        </w:tc>
        <w:tc>
          <w:tcPr>
            <w:tcW w:w="320" w:type="dxa"/>
            <w:vAlign w:val="bottom"/>
            <w:shd w:val="clear" w:color="auto" w:fill="E5E5E5"/>
          </w:tcPr>
          <w:p>
            <w:pPr>
              <w:ind w:left="40"/>
              <w:spacing w:after="0"/>
              <w:rPr>
                <w:sz w:val="20"/>
                <w:szCs w:val="20"/>
                <w:color w:val="auto"/>
              </w:rPr>
            </w:pPr>
            <w:r>
              <w:rPr>
                <w:rFonts w:ascii="Arial" w:cs="Arial" w:eastAsia="Arial" w:hAnsi="Arial"/>
                <w:sz w:val="14"/>
                <w:szCs w:val="14"/>
                <w:color w:val="auto"/>
              </w:rPr>
              <w:t>—</w:t>
            </w:r>
          </w:p>
        </w:tc>
        <w:tc>
          <w:tcPr>
            <w:tcW w:w="1260" w:type="dxa"/>
            <w:vAlign w:val="bottom"/>
            <w:shd w:val="clear" w:color="auto" w:fill="E5E5E5"/>
          </w:tcPr>
          <w:p>
            <w:pPr>
              <w:spacing w:after="0"/>
              <w:rPr>
                <w:sz w:val="24"/>
                <w:szCs w:val="24"/>
                <w:color w:val="auto"/>
              </w:rPr>
            </w:pPr>
          </w:p>
        </w:tc>
        <w:tc>
          <w:tcPr>
            <w:tcW w:w="360" w:type="dxa"/>
            <w:vAlign w:val="bottom"/>
            <w:shd w:val="clear" w:color="auto" w:fill="E5E5E5"/>
          </w:tcPr>
          <w:p>
            <w:pPr>
              <w:ind w:left="80"/>
              <w:spacing w:after="0"/>
              <w:rPr>
                <w:sz w:val="20"/>
                <w:szCs w:val="20"/>
                <w:color w:val="auto"/>
              </w:rPr>
            </w:pPr>
            <w:r>
              <w:rPr>
                <w:rFonts w:ascii="Arial" w:cs="Arial" w:eastAsia="Arial" w:hAnsi="Arial"/>
                <w:sz w:val="14"/>
                <w:szCs w:val="14"/>
                <w:color w:val="auto"/>
              </w:rPr>
              <w:t>—</w:t>
            </w:r>
          </w:p>
        </w:tc>
        <w:tc>
          <w:tcPr>
            <w:tcW w:w="380" w:type="dxa"/>
            <w:vAlign w:val="bottom"/>
            <w:shd w:val="clear" w:color="auto" w:fill="E5E5E5"/>
          </w:tcPr>
          <w:p>
            <w:pPr>
              <w:spacing w:after="0"/>
              <w:rPr>
                <w:sz w:val="24"/>
                <w:szCs w:val="24"/>
                <w:color w:val="auto"/>
              </w:rPr>
            </w:pPr>
          </w:p>
        </w:tc>
        <w:tc>
          <w:tcPr>
            <w:tcW w:w="12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18,510</w:t>
            </w:r>
          </w:p>
        </w:tc>
        <w:tc>
          <w:tcPr>
            <w:tcW w:w="300" w:type="dxa"/>
            <w:vAlign w:val="bottom"/>
            <w:shd w:val="clear" w:color="auto" w:fill="E5E5E5"/>
          </w:tcPr>
          <w:p>
            <w:pPr>
              <w:spacing w:after="0"/>
              <w:rPr>
                <w:sz w:val="24"/>
                <w:szCs w:val="24"/>
                <w:color w:val="auto"/>
              </w:rPr>
            </w:pPr>
          </w:p>
        </w:tc>
        <w:tc>
          <w:tcPr>
            <w:tcW w:w="1260" w:type="dxa"/>
            <w:vAlign w:val="bottom"/>
            <w:shd w:val="clear" w:color="auto" w:fill="E5E5E5"/>
          </w:tcPr>
          <w:p>
            <w:pPr>
              <w:ind w:left="1000"/>
              <w:spacing w:after="0"/>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24"/>
                <w:szCs w:val="24"/>
                <w:color w:val="auto"/>
              </w:rPr>
            </w:pPr>
          </w:p>
        </w:tc>
        <w:tc>
          <w:tcPr>
            <w:tcW w:w="12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3420" w:type="dxa"/>
            <w:vAlign w:val="bottom"/>
          </w:tcPr>
          <w:p>
            <w:pPr>
              <w:ind w:left="40"/>
              <w:spacing w:after="0"/>
              <w:rPr>
                <w:sz w:val="20"/>
                <w:szCs w:val="20"/>
                <w:color w:val="auto"/>
              </w:rPr>
            </w:pPr>
            <w:r>
              <w:rPr>
                <w:rFonts w:ascii="Arial" w:cs="Arial" w:eastAsia="Arial" w:hAnsi="Arial"/>
                <w:sz w:val="14"/>
                <w:szCs w:val="14"/>
                <w:color w:val="auto"/>
              </w:rPr>
              <w:t>Supplemental Executive Retirement Plan (SERP)</w:t>
            </w:r>
          </w:p>
        </w:tc>
        <w:tc>
          <w:tcPr>
            <w:tcW w:w="1340" w:type="dxa"/>
            <w:vAlign w:val="bottom"/>
          </w:tcPr>
          <w:p>
            <w:pPr>
              <w:spacing w:after="0"/>
              <w:rPr>
                <w:sz w:val="22"/>
                <w:szCs w:val="22"/>
                <w:color w:val="auto"/>
              </w:rPr>
            </w:pPr>
          </w:p>
        </w:tc>
        <w:tc>
          <w:tcPr>
            <w:tcW w:w="320" w:type="dxa"/>
            <w:vAlign w:val="bottom"/>
          </w:tcPr>
          <w:p>
            <w:pPr>
              <w:ind w:left="40"/>
              <w:spacing w:after="0"/>
              <w:rPr>
                <w:sz w:val="20"/>
                <w:szCs w:val="20"/>
                <w:color w:val="auto"/>
              </w:rPr>
            </w:pPr>
            <w:r>
              <w:rPr>
                <w:rFonts w:ascii="Arial" w:cs="Arial" w:eastAsia="Arial" w:hAnsi="Arial"/>
                <w:sz w:val="14"/>
                <w:szCs w:val="14"/>
                <w:color w:val="auto"/>
              </w:rPr>
              <w:t>—</w:t>
            </w:r>
          </w:p>
        </w:tc>
        <w:tc>
          <w:tcPr>
            <w:tcW w:w="1260" w:type="dxa"/>
            <w:vAlign w:val="bottom"/>
          </w:tcPr>
          <w:p>
            <w:pPr>
              <w:spacing w:after="0"/>
              <w:rPr>
                <w:sz w:val="22"/>
                <w:szCs w:val="22"/>
                <w:color w:val="auto"/>
              </w:rPr>
            </w:pPr>
          </w:p>
        </w:tc>
        <w:tc>
          <w:tcPr>
            <w:tcW w:w="360" w:type="dxa"/>
            <w:vAlign w:val="bottom"/>
          </w:tcPr>
          <w:p>
            <w:pPr>
              <w:ind w:left="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60" w:type="dxa"/>
            <w:vAlign w:val="bottom"/>
          </w:tcPr>
          <w:p>
            <w:pPr>
              <w:ind w:left="10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3420" w:type="dxa"/>
            <w:vAlign w:val="bottom"/>
            <w:shd w:val="clear" w:color="auto" w:fill="E5E5E5"/>
          </w:tcPr>
          <w:p>
            <w:pPr>
              <w:ind w:left="40"/>
              <w:spacing w:after="0"/>
              <w:rPr>
                <w:sz w:val="20"/>
                <w:szCs w:val="20"/>
                <w:color w:val="auto"/>
              </w:rPr>
            </w:pPr>
            <w:r>
              <w:rPr>
                <w:rFonts w:ascii="Arial" w:cs="Arial" w:eastAsia="Arial" w:hAnsi="Arial"/>
                <w:sz w:val="14"/>
                <w:szCs w:val="14"/>
                <w:color w:val="auto"/>
              </w:rPr>
              <w:t>Restoration Plan</w:t>
            </w:r>
          </w:p>
        </w:tc>
        <w:tc>
          <w:tcPr>
            <w:tcW w:w="1340" w:type="dxa"/>
            <w:vAlign w:val="bottom"/>
            <w:shd w:val="clear" w:color="auto" w:fill="E5E5E5"/>
          </w:tcPr>
          <w:p>
            <w:pPr>
              <w:spacing w:after="0"/>
              <w:rPr>
                <w:sz w:val="24"/>
                <w:szCs w:val="24"/>
                <w:color w:val="auto"/>
              </w:rPr>
            </w:pPr>
          </w:p>
        </w:tc>
        <w:tc>
          <w:tcPr>
            <w:tcW w:w="320" w:type="dxa"/>
            <w:vAlign w:val="bottom"/>
            <w:shd w:val="clear" w:color="auto" w:fill="E5E5E5"/>
          </w:tcPr>
          <w:p>
            <w:pPr>
              <w:ind w:left="40"/>
              <w:spacing w:after="0"/>
              <w:rPr>
                <w:sz w:val="20"/>
                <w:szCs w:val="20"/>
                <w:color w:val="auto"/>
              </w:rPr>
            </w:pPr>
            <w:r>
              <w:rPr>
                <w:rFonts w:ascii="Arial" w:cs="Arial" w:eastAsia="Arial" w:hAnsi="Arial"/>
                <w:sz w:val="14"/>
                <w:szCs w:val="14"/>
                <w:color w:val="auto"/>
              </w:rPr>
              <w:t>—</w:t>
            </w:r>
          </w:p>
        </w:tc>
        <w:tc>
          <w:tcPr>
            <w:tcW w:w="1260" w:type="dxa"/>
            <w:vAlign w:val="bottom"/>
            <w:shd w:val="clear" w:color="auto" w:fill="E5E5E5"/>
          </w:tcPr>
          <w:p>
            <w:pPr>
              <w:spacing w:after="0"/>
              <w:rPr>
                <w:sz w:val="24"/>
                <w:szCs w:val="24"/>
                <w:color w:val="auto"/>
              </w:rPr>
            </w:pPr>
          </w:p>
        </w:tc>
        <w:tc>
          <w:tcPr>
            <w:tcW w:w="360" w:type="dxa"/>
            <w:vAlign w:val="bottom"/>
            <w:shd w:val="clear" w:color="auto" w:fill="E5E5E5"/>
          </w:tcPr>
          <w:p>
            <w:pPr>
              <w:ind w:left="80"/>
              <w:spacing w:after="0"/>
              <w:rPr>
                <w:sz w:val="20"/>
                <w:szCs w:val="20"/>
                <w:color w:val="auto"/>
              </w:rPr>
            </w:pPr>
            <w:r>
              <w:rPr>
                <w:rFonts w:ascii="Arial" w:cs="Arial" w:eastAsia="Arial" w:hAnsi="Arial"/>
                <w:sz w:val="14"/>
                <w:szCs w:val="14"/>
                <w:color w:val="auto"/>
              </w:rPr>
              <w:t>—</w:t>
            </w:r>
          </w:p>
        </w:tc>
        <w:tc>
          <w:tcPr>
            <w:tcW w:w="380" w:type="dxa"/>
            <w:vAlign w:val="bottom"/>
            <w:shd w:val="clear" w:color="auto" w:fill="E5E5E5"/>
          </w:tcPr>
          <w:p>
            <w:pPr>
              <w:spacing w:after="0"/>
              <w:rPr>
                <w:sz w:val="24"/>
                <w:szCs w:val="24"/>
                <w:color w:val="auto"/>
              </w:rPr>
            </w:pPr>
          </w:p>
        </w:tc>
        <w:tc>
          <w:tcPr>
            <w:tcW w:w="12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spacing w:after="0"/>
              <w:rPr>
                <w:sz w:val="24"/>
                <w:szCs w:val="24"/>
                <w:color w:val="auto"/>
              </w:rPr>
            </w:pPr>
          </w:p>
        </w:tc>
        <w:tc>
          <w:tcPr>
            <w:tcW w:w="1260" w:type="dxa"/>
            <w:vAlign w:val="bottom"/>
            <w:shd w:val="clear" w:color="auto" w:fill="E5E5E5"/>
          </w:tcPr>
          <w:p>
            <w:pPr>
              <w:ind w:left="1000"/>
              <w:spacing w:after="0"/>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24"/>
                <w:szCs w:val="24"/>
                <w:color w:val="auto"/>
              </w:rPr>
            </w:pPr>
          </w:p>
        </w:tc>
        <w:tc>
          <w:tcPr>
            <w:tcW w:w="12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3420" w:type="dxa"/>
            <w:vAlign w:val="bottom"/>
          </w:tcPr>
          <w:p>
            <w:pPr>
              <w:ind w:left="40"/>
              <w:spacing w:after="0"/>
              <w:rPr>
                <w:sz w:val="20"/>
                <w:szCs w:val="20"/>
                <w:color w:val="auto"/>
              </w:rPr>
            </w:pPr>
            <w:r>
              <w:rPr>
                <w:rFonts w:ascii="Arial" w:cs="Arial" w:eastAsia="Arial" w:hAnsi="Arial"/>
                <w:sz w:val="14"/>
                <w:szCs w:val="14"/>
                <w:color w:val="auto"/>
              </w:rPr>
              <w:t>Stock Options (unvested and accelerated)</w:t>
            </w:r>
          </w:p>
        </w:tc>
        <w:tc>
          <w:tcPr>
            <w:tcW w:w="1340" w:type="dxa"/>
            <w:vAlign w:val="bottom"/>
          </w:tcPr>
          <w:p>
            <w:pPr>
              <w:spacing w:after="0"/>
              <w:rPr>
                <w:sz w:val="22"/>
                <w:szCs w:val="22"/>
                <w:color w:val="auto"/>
              </w:rPr>
            </w:pPr>
          </w:p>
        </w:tc>
        <w:tc>
          <w:tcPr>
            <w:tcW w:w="320" w:type="dxa"/>
            <w:vAlign w:val="bottom"/>
          </w:tcPr>
          <w:p>
            <w:pPr>
              <w:ind w:left="40"/>
              <w:spacing w:after="0"/>
              <w:rPr>
                <w:sz w:val="20"/>
                <w:szCs w:val="20"/>
                <w:color w:val="auto"/>
              </w:rPr>
            </w:pPr>
            <w:r>
              <w:rPr>
                <w:rFonts w:ascii="Arial" w:cs="Arial" w:eastAsia="Arial" w:hAnsi="Arial"/>
                <w:sz w:val="14"/>
                <w:szCs w:val="14"/>
                <w:color w:val="auto"/>
              </w:rPr>
              <w:t>—</w:t>
            </w:r>
          </w:p>
        </w:tc>
        <w:tc>
          <w:tcPr>
            <w:tcW w:w="1260" w:type="dxa"/>
            <w:vAlign w:val="bottom"/>
          </w:tcPr>
          <w:p>
            <w:pPr>
              <w:spacing w:after="0"/>
              <w:rPr>
                <w:sz w:val="22"/>
                <w:szCs w:val="22"/>
                <w:color w:val="auto"/>
              </w:rPr>
            </w:pPr>
          </w:p>
        </w:tc>
        <w:tc>
          <w:tcPr>
            <w:tcW w:w="360" w:type="dxa"/>
            <w:vAlign w:val="bottom"/>
          </w:tcPr>
          <w:p>
            <w:pPr>
              <w:ind w:left="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60" w:type="dxa"/>
            <w:vAlign w:val="bottom"/>
          </w:tcPr>
          <w:p>
            <w:pPr>
              <w:ind w:left="10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191,023</w:t>
            </w:r>
          </w:p>
        </w:tc>
      </w:tr>
      <w:tr>
        <w:trPr>
          <w:trHeight w:val="276"/>
        </w:trPr>
        <w:tc>
          <w:tcPr>
            <w:tcW w:w="3420" w:type="dxa"/>
            <w:vAlign w:val="bottom"/>
            <w:shd w:val="clear" w:color="auto" w:fill="E5E5E5"/>
          </w:tcPr>
          <w:p>
            <w:pPr>
              <w:ind w:left="40"/>
              <w:spacing w:after="0"/>
              <w:rPr>
                <w:sz w:val="20"/>
                <w:szCs w:val="20"/>
                <w:color w:val="auto"/>
              </w:rPr>
            </w:pPr>
            <w:r>
              <w:rPr>
                <w:rFonts w:ascii="Arial" w:cs="Arial" w:eastAsia="Arial" w:hAnsi="Arial"/>
                <w:sz w:val="14"/>
                <w:szCs w:val="14"/>
                <w:color w:val="auto"/>
              </w:rPr>
              <w:t>Restricted Stock Units (unvested and accelerated)</w:t>
            </w:r>
          </w:p>
        </w:tc>
        <w:tc>
          <w:tcPr>
            <w:tcW w:w="1340" w:type="dxa"/>
            <w:vAlign w:val="bottom"/>
            <w:shd w:val="clear" w:color="auto" w:fill="E5E5E5"/>
          </w:tcPr>
          <w:p>
            <w:pPr>
              <w:spacing w:after="0"/>
              <w:rPr>
                <w:sz w:val="24"/>
                <w:szCs w:val="24"/>
                <w:color w:val="auto"/>
              </w:rPr>
            </w:pPr>
          </w:p>
        </w:tc>
        <w:tc>
          <w:tcPr>
            <w:tcW w:w="320" w:type="dxa"/>
            <w:vAlign w:val="bottom"/>
            <w:shd w:val="clear" w:color="auto" w:fill="E5E5E5"/>
          </w:tcPr>
          <w:p>
            <w:pPr>
              <w:ind w:left="40"/>
              <w:spacing w:after="0"/>
              <w:rPr>
                <w:sz w:val="20"/>
                <w:szCs w:val="20"/>
                <w:color w:val="auto"/>
              </w:rPr>
            </w:pPr>
            <w:r>
              <w:rPr>
                <w:rFonts w:ascii="Arial" w:cs="Arial" w:eastAsia="Arial" w:hAnsi="Arial"/>
                <w:sz w:val="14"/>
                <w:szCs w:val="14"/>
                <w:color w:val="auto"/>
              </w:rPr>
              <w:t>—</w:t>
            </w:r>
          </w:p>
        </w:tc>
        <w:tc>
          <w:tcPr>
            <w:tcW w:w="1260" w:type="dxa"/>
            <w:vAlign w:val="bottom"/>
            <w:shd w:val="clear" w:color="auto" w:fill="E5E5E5"/>
          </w:tcPr>
          <w:p>
            <w:pPr>
              <w:spacing w:after="0"/>
              <w:rPr>
                <w:sz w:val="24"/>
                <w:szCs w:val="24"/>
                <w:color w:val="auto"/>
              </w:rPr>
            </w:pPr>
          </w:p>
        </w:tc>
        <w:tc>
          <w:tcPr>
            <w:tcW w:w="360" w:type="dxa"/>
            <w:vAlign w:val="bottom"/>
            <w:shd w:val="clear" w:color="auto" w:fill="E5E5E5"/>
          </w:tcPr>
          <w:p>
            <w:pPr>
              <w:ind w:left="80"/>
              <w:spacing w:after="0"/>
              <w:rPr>
                <w:sz w:val="20"/>
                <w:szCs w:val="20"/>
                <w:color w:val="auto"/>
              </w:rPr>
            </w:pPr>
            <w:r>
              <w:rPr>
                <w:rFonts w:ascii="Arial" w:cs="Arial" w:eastAsia="Arial" w:hAnsi="Arial"/>
                <w:sz w:val="14"/>
                <w:szCs w:val="14"/>
                <w:color w:val="auto"/>
              </w:rPr>
              <w:t>—</w:t>
            </w:r>
          </w:p>
        </w:tc>
        <w:tc>
          <w:tcPr>
            <w:tcW w:w="380" w:type="dxa"/>
            <w:vAlign w:val="bottom"/>
            <w:shd w:val="clear" w:color="auto" w:fill="E5E5E5"/>
          </w:tcPr>
          <w:p>
            <w:pPr>
              <w:spacing w:after="0"/>
              <w:rPr>
                <w:sz w:val="24"/>
                <w:szCs w:val="24"/>
                <w:color w:val="auto"/>
              </w:rPr>
            </w:pPr>
          </w:p>
        </w:tc>
        <w:tc>
          <w:tcPr>
            <w:tcW w:w="12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spacing w:after="0"/>
              <w:rPr>
                <w:sz w:val="24"/>
                <w:szCs w:val="24"/>
                <w:color w:val="auto"/>
              </w:rPr>
            </w:pPr>
          </w:p>
        </w:tc>
        <w:tc>
          <w:tcPr>
            <w:tcW w:w="1260" w:type="dxa"/>
            <w:vAlign w:val="bottom"/>
            <w:shd w:val="clear" w:color="auto" w:fill="E5E5E5"/>
          </w:tcPr>
          <w:p>
            <w:pPr>
              <w:ind w:left="1000"/>
              <w:spacing w:after="0"/>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24"/>
                <w:szCs w:val="24"/>
                <w:color w:val="auto"/>
              </w:rPr>
            </w:pPr>
          </w:p>
        </w:tc>
        <w:tc>
          <w:tcPr>
            <w:tcW w:w="12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r>
      <w:tr>
        <w:trPr>
          <w:trHeight w:val="194"/>
        </w:trPr>
        <w:tc>
          <w:tcPr>
            <w:tcW w:w="3420" w:type="dxa"/>
            <w:vAlign w:val="bottom"/>
          </w:tcPr>
          <w:p>
            <w:pPr>
              <w:ind w:left="40"/>
              <w:spacing w:after="0"/>
              <w:rPr>
                <w:sz w:val="20"/>
                <w:szCs w:val="20"/>
                <w:color w:val="auto"/>
              </w:rPr>
            </w:pPr>
            <w:r>
              <w:rPr>
                <w:rFonts w:ascii="Arial" w:cs="Arial" w:eastAsia="Arial" w:hAnsi="Arial"/>
                <w:sz w:val="14"/>
                <w:szCs w:val="14"/>
                <w:color w:val="auto"/>
              </w:rPr>
              <w:t>Performance Restricted Stock Units (unvested and</w:t>
            </w:r>
          </w:p>
        </w:tc>
        <w:tc>
          <w:tcPr>
            <w:tcW w:w="1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78"/>
        </w:trPr>
        <w:tc>
          <w:tcPr>
            <w:tcW w:w="3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accelerated)</w:t>
            </w:r>
          </w:p>
        </w:tc>
        <w:tc>
          <w:tcPr>
            <w:tcW w:w="13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ind w:left="100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131,747</w:t>
            </w:r>
          </w:p>
        </w:tc>
      </w:tr>
      <w:tr>
        <w:trPr>
          <w:trHeight w:val="264"/>
        </w:trPr>
        <w:tc>
          <w:tcPr>
            <w:tcW w:w="3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w:t>
            </w:r>
          </w:p>
        </w:tc>
        <w:tc>
          <w:tcPr>
            <w:tcW w:w="1340" w:type="dxa"/>
            <w:vAlign w:val="bottom"/>
            <w:tcBorders>
              <w:bottom w:val="single" w:sz="8" w:color="auto"/>
            </w:tcBorders>
          </w:tcPr>
          <w:p>
            <w:pPr>
              <w:jc w:val="right"/>
              <w:ind w:right="10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480,339</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ind w:left="100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322,770</w:t>
            </w:r>
          </w:p>
        </w:tc>
      </w:tr>
    </w:tbl>
    <w:p>
      <w:pPr>
        <w:spacing w:after="0" w:line="5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 xml:space="preserve">Benefit Payments. </w:t>
      </w:r>
      <w:r>
        <w:rPr>
          <w:rFonts w:ascii="Arial" w:cs="Arial" w:eastAsia="Arial" w:hAnsi="Arial"/>
          <w:sz w:val="18"/>
          <w:szCs w:val="18"/>
          <w:color w:val="auto"/>
        </w:rPr>
        <w:t>Mr. Fees would be entitled to receive COBRA benefits for nine months after his Resignation Date pursuant to the terms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Transition Agreement.</w:t>
      </w:r>
    </w:p>
    <w:p>
      <w:pPr>
        <w:spacing w:after="0" w:line="18"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 xml:space="preserve">EICP. </w:t>
      </w:r>
      <w:r>
        <w:rPr>
          <w:rFonts w:ascii="Arial" w:cs="Arial" w:eastAsia="Arial" w:hAnsi="Arial"/>
          <w:sz w:val="18"/>
          <w:szCs w:val="18"/>
          <w:color w:val="auto"/>
        </w:rPr>
        <w:t>Pursuant to his Transition Agreement, Mr. Fees would be entitled to receive an EICP payment, subject to satisfaction of the applicable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conditions. The value in the table represents the target value of Mr. Fees' EICP payment opportunity.</w:t>
      </w:r>
    </w:p>
    <w:p>
      <w:pPr>
        <w:spacing w:after="0" w:line="18" w:lineRule="exact"/>
        <w:rPr>
          <w:sz w:val="20"/>
          <w:szCs w:val="20"/>
          <w:color w:val="auto"/>
        </w:rPr>
      </w:pPr>
    </w:p>
    <w:p>
      <w:pPr>
        <w:jc w:val="both"/>
        <w:ind w:right="120"/>
        <w:spacing w:after="0" w:line="269" w:lineRule="auto"/>
        <w:rPr>
          <w:sz w:val="20"/>
          <w:szCs w:val="20"/>
          <w:color w:val="auto"/>
        </w:rPr>
      </w:pPr>
      <w:r>
        <w:rPr>
          <w:rFonts w:ascii="Arial" w:cs="Arial" w:eastAsia="Arial" w:hAnsi="Arial"/>
          <w:sz w:val="18"/>
          <w:szCs w:val="18"/>
          <w:b w:val="1"/>
          <w:bCs w:val="1"/>
          <w:i w:val="1"/>
          <w:iCs w:val="1"/>
          <w:color w:val="auto"/>
        </w:rPr>
        <w:t xml:space="preserve">Financial Planning. </w:t>
      </w:r>
      <w:r>
        <w:rPr>
          <w:rFonts w:ascii="Arial" w:cs="Arial" w:eastAsia="Arial" w:hAnsi="Arial"/>
          <w:sz w:val="18"/>
          <w:szCs w:val="18"/>
          <w:color w:val="auto"/>
        </w:rPr>
        <w:t>Under the terms of the agreement with the Company’s financial planning service provider, each Named Executive would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entitled to financial planning benefits for one year following his or her retirement, so long as the agreement has not been earlier terminated. Mr. Fees would be entitled to financial planning through June 2019 pursuant to the Transition Agreement.</w:t>
      </w:r>
    </w:p>
    <w:p>
      <w:pPr>
        <w:spacing w:after="0" w:line="33" w:lineRule="exact"/>
        <w:rPr>
          <w:sz w:val="20"/>
          <w:szCs w:val="20"/>
          <w:color w:val="auto"/>
        </w:rPr>
      </w:pPr>
    </w:p>
    <w:p>
      <w:pPr>
        <w:ind w:right="260"/>
        <w:spacing w:after="0" w:line="269" w:lineRule="auto"/>
        <w:rPr>
          <w:sz w:val="20"/>
          <w:szCs w:val="20"/>
          <w:color w:val="auto"/>
        </w:rPr>
      </w:pPr>
      <w:r>
        <w:rPr>
          <w:rFonts w:ascii="Arial" w:cs="Arial" w:eastAsia="Arial" w:hAnsi="Arial"/>
          <w:sz w:val="18"/>
          <w:szCs w:val="18"/>
          <w:b w:val="1"/>
          <w:bCs w:val="1"/>
          <w:i w:val="1"/>
          <w:iCs w:val="1"/>
          <w:color w:val="auto"/>
        </w:rPr>
        <w:t xml:space="preserve">SERP. </w:t>
      </w:r>
      <w:r>
        <w:rPr>
          <w:rFonts w:ascii="Arial" w:cs="Arial" w:eastAsia="Arial" w:hAnsi="Arial"/>
          <w:sz w:val="18"/>
          <w:szCs w:val="18"/>
          <w:color w:val="auto"/>
        </w:rPr>
        <w:t>Under the terms of the Company’s SERP, an executive’s company account becomes fully vested on, among other events, the date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executive’s retirement. For purposes of SERP, retirement is defined as separation from service with us on or after the first day of the calendar month coincident with or following the executive’s attainment of the age of 65.</w:t>
      </w:r>
    </w:p>
    <w:p>
      <w:pPr>
        <w:spacing w:after="0" w:line="209" w:lineRule="exact"/>
        <w:rPr>
          <w:sz w:val="20"/>
          <w:szCs w:val="20"/>
          <w:color w:val="auto"/>
        </w:rPr>
      </w:pPr>
    </w:p>
    <w:p>
      <w:pPr>
        <w:ind w:right="340"/>
        <w:spacing w:after="0" w:line="269" w:lineRule="auto"/>
        <w:rPr>
          <w:sz w:val="20"/>
          <w:szCs w:val="20"/>
          <w:color w:val="auto"/>
        </w:rPr>
      </w:pPr>
      <w:r>
        <w:rPr>
          <w:rFonts w:ascii="Arial" w:cs="Arial" w:eastAsia="Arial" w:hAnsi="Arial"/>
          <w:sz w:val="18"/>
          <w:szCs w:val="18"/>
          <w:b w:val="1"/>
          <w:bCs w:val="1"/>
          <w:i w:val="1"/>
          <w:iCs w:val="1"/>
          <w:color w:val="auto"/>
        </w:rPr>
        <w:t>Restoration Plan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terms of the Company’s Restoration Plan, an executive’s Company matching account and Company service-based account become fully vested on, among other events, the date of the executive’s retirement. Retirement has substantially the same meaning under the Restoration Plan as it does under the SERP.</w:t>
      </w:r>
    </w:p>
    <w:p>
      <w:pPr>
        <w:spacing w:after="0" w:line="33"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b w:val="1"/>
          <w:bCs w:val="1"/>
          <w:i w:val="1"/>
          <w:iCs w:val="1"/>
          <w:color w:val="auto"/>
        </w:rPr>
        <w:t>Equity Awards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as discussed below, the equity awards for the Named Executives do not provide for accelerated vesting upon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voluntary termination of employment. Most awards, however, provide for accelerated vesting either on retirement or on becoming eligible for retirement. The Company’s Compensation Committee may also exercise its discretion to provide for accelerated vesting in the event of a Named Executive’s voluntary termination.</w:t>
      </w:r>
    </w:p>
    <w:p>
      <w:pPr>
        <w:spacing w:after="0" w:line="6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Generally, the terms of the Company’s stock and option award grants define retirement as a voluntary termination of employment after attaining age 65. Under this definition, Mr. Henry was the only Named Executive who was employed with us on December 31, 2017 and eligible for retirement.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vesting associated with retirement varies by award type, as follows:</w:t>
      </w:r>
    </w:p>
    <w:p>
      <w:pPr>
        <w:spacing w:after="0" w:line="117" w:lineRule="exact"/>
        <w:rPr>
          <w:sz w:val="20"/>
          <w:szCs w:val="20"/>
          <w:color w:val="auto"/>
        </w:rPr>
      </w:pPr>
    </w:p>
    <w:p>
      <w:pPr>
        <w:ind w:left="380" w:right="380" w:hanging="318"/>
        <w:spacing w:after="0" w:line="262" w:lineRule="auto"/>
        <w:tabs>
          <w:tab w:leader="none" w:pos="3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Stock Options: 25% of then-unvested options will become vested in the event a Named Executive retires during the second year of an award’s three-year vesting period, and 50% will become vested if the retirement occurs during the third year.</w:t>
      </w:r>
    </w:p>
    <w:p>
      <w:pPr>
        <w:spacing w:after="0" w:line="88" w:lineRule="exact"/>
        <w:rPr>
          <w:rFonts w:ascii="Arial" w:cs="Arial" w:eastAsia="Arial" w:hAnsi="Arial"/>
          <w:sz w:val="18"/>
          <w:szCs w:val="18"/>
          <w:color w:val="auto"/>
        </w:rPr>
      </w:pPr>
    </w:p>
    <w:p>
      <w:pPr>
        <w:ind w:left="380" w:right="340" w:hanging="318"/>
        <w:spacing w:after="0" w:line="256" w:lineRule="auto"/>
        <w:tabs>
          <w:tab w:leader="none" w:pos="3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Eligible Restricted Stock Units: 25% of then-outstanding units will become vested when the Named Executive first becomes eligible for retirement during the second year of the three-year vesting period and 50% when the Named Executive first becomes eligible for retirement during the third year.</w:t>
      </w:r>
    </w:p>
    <w:p>
      <w:pPr>
        <w:spacing w:after="0" w:line="93" w:lineRule="exact"/>
        <w:rPr>
          <w:rFonts w:ascii="Arial" w:cs="Arial" w:eastAsia="Arial" w:hAnsi="Arial"/>
          <w:sz w:val="18"/>
          <w:szCs w:val="18"/>
          <w:color w:val="auto"/>
        </w:rPr>
      </w:pPr>
    </w:p>
    <w:p>
      <w:pPr>
        <w:ind w:left="380" w:right="200" w:hanging="318"/>
        <w:spacing w:after="0" w:line="253" w:lineRule="auto"/>
        <w:tabs>
          <w:tab w:leader="none" w:pos="3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Eligible Performance Awards: 25% of the performance awards will remain eligible for vesting in the event an eligible Named Executive retires during the second year of an award’s three-year vest term. 50% of the performance awards will remain eligible for vesting in the event an eligible Named Executive retires during the third year of the award’s three-year vest term but before the third anniversary of the grant date. In such event, the number of performance awards that will vest at the end of the three-year vest term are determined by multiplying (1) the total number of performance shares that would have vested based on actual performance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2C2C2C"/>
        </w:rPr>
        <w:t xml:space="preserve">54 </w:t>
      </w:r>
      <w:r>
        <w:rPr>
          <w:sz w:val="1"/>
          <w:szCs w:val="1"/>
          <w:color w:val="auto"/>
        </w:rPr>
        <w:drawing>
          <wp:inline distT="0" distB="0" distL="0" distR="0">
            <wp:extent cx="445770" cy="180340"/>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45770" cy="180340"/>
                    </a:xfrm>
                    <a:prstGeom prst="rect">
                      <a:avLst/>
                    </a:prstGeom>
                    <a:noFill/>
                    <a:ln>
                      <a:noFill/>
                    </a:ln>
                  </pic:spPr>
                </pic:pic>
              </a:graphicData>
            </a:graphic>
          </wp:inline>
        </w:drawing>
      </w:r>
      <w:r>
        <w:rPr>
          <w:rFonts w:ascii="Arial" w:cs="Arial" w:eastAsia="Arial" w:hAnsi="Arial"/>
          <w:sz w:val="18"/>
          <w:szCs w:val="18"/>
          <w:color w:val="auto"/>
        </w:rPr>
        <w:t xml:space="preserve"> 2018 PROXY STATEMENT</w:t>
      </w:r>
    </w:p>
    <w:p>
      <w:pPr>
        <w:sectPr>
          <w:pgSz w:w="11900" w:h="16838" w:orient="portrait"/>
          <w:cols w:equalWidth="0" w:num="1">
            <w:col w:w="11420"/>
          </w:cols>
          <w:pgMar w:left="240" w:top="125" w:right="239" w:bottom="1440" w:gutter="0" w:footer="0" w:header="0"/>
        </w:sectPr>
      </w:pPr>
    </w:p>
    <w:bookmarkStart w:id="63" w:name="page64"/>
    <w:bookmarkEnd w:id="63"/>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left="960"/>
        <w:spacing w:after="0"/>
        <w:rPr>
          <w:sz w:val="20"/>
          <w:szCs w:val="20"/>
          <w:color w:val="auto"/>
        </w:rPr>
      </w:pPr>
      <w:r>
        <w:rPr>
          <w:rFonts w:ascii="Arial" w:cs="Arial" w:eastAsia="Arial" w:hAnsi="Arial"/>
          <w:sz w:val="14"/>
          <w:szCs w:val="14"/>
          <w:color w:val="auto"/>
        </w:rPr>
        <w:t>COMPENSATION OF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had the applicable Named Executive been employed at the end of the vest term by (2) the applicable percentage discussed above.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VALUE OF BENEFITS TO BE RECEIVED UPON TERMINATION DUE TO DEATH OR DISABILITY</w:t>
      </w:r>
    </w:p>
    <w:p>
      <w:pPr>
        <w:spacing w:after="0" w:line="193" w:lineRule="exact"/>
        <w:rPr>
          <w:sz w:val="20"/>
          <w:szCs w:val="20"/>
          <w:color w:val="auto"/>
        </w:rPr>
      </w:pPr>
    </w:p>
    <w:p>
      <w:pPr>
        <w:ind w:right="980"/>
        <w:spacing w:after="0" w:line="262" w:lineRule="auto"/>
        <w:rPr>
          <w:sz w:val="20"/>
          <w:szCs w:val="20"/>
          <w:color w:val="auto"/>
        </w:rPr>
      </w:pPr>
      <w:r>
        <w:rPr>
          <w:rFonts w:ascii="Arial" w:cs="Arial" w:eastAsia="Arial" w:hAnsi="Arial"/>
          <w:sz w:val="18"/>
          <w:szCs w:val="18"/>
          <w:color w:val="auto"/>
        </w:rPr>
        <w:t>The following table shows the value of payments and other benefits due to the Named Executives assuming the termination of their employment by reason of death or disability as of December 31, 2017.</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420" w:type="dxa"/>
            <w:vAlign w:val="bottom"/>
            <w:shd w:val="clear" w:color="auto" w:fill="525252"/>
          </w:tcPr>
          <w:p>
            <w:pPr>
              <w:spacing w:after="0"/>
              <w:rPr>
                <w:sz w:val="23"/>
                <w:szCs w:val="23"/>
                <w:color w:val="auto"/>
              </w:rPr>
            </w:pPr>
          </w:p>
        </w:tc>
        <w:tc>
          <w:tcPr>
            <w:tcW w:w="360" w:type="dxa"/>
            <w:vAlign w:val="bottom"/>
            <w:shd w:val="clear" w:color="auto" w:fill="525252"/>
          </w:tcPr>
          <w:p>
            <w:pPr>
              <w:spacing w:after="0"/>
              <w:rPr>
                <w:sz w:val="23"/>
                <w:szCs w:val="23"/>
                <w:color w:val="auto"/>
              </w:rPr>
            </w:pPr>
          </w:p>
        </w:tc>
        <w:tc>
          <w:tcPr>
            <w:tcW w:w="1300" w:type="dxa"/>
            <w:vAlign w:val="bottom"/>
            <w:shd w:val="clear" w:color="auto" w:fill="525252"/>
          </w:tcPr>
          <w:p>
            <w:pPr>
              <w:jc w:val="right"/>
              <w:ind w:right="268"/>
              <w:spacing w:after="0"/>
              <w:rPr>
                <w:sz w:val="20"/>
                <w:szCs w:val="20"/>
                <w:color w:val="auto"/>
              </w:rPr>
            </w:pPr>
            <w:r>
              <w:rPr>
                <w:rFonts w:ascii="Arial" w:cs="Arial" w:eastAsia="Arial" w:hAnsi="Arial"/>
                <w:sz w:val="14"/>
                <w:szCs w:val="14"/>
                <w:b w:val="1"/>
                <w:bCs w:val="1"/>
                <w:color w:val="FFFFFF"/>
              </w:rPr>
              <w:t>Mr. Geveden</w:t>
            </w:r>
          </w:p>
        </w:tc>
        <w:tc>
          <w:tcPr>
            <w:tcW w:w="360" w:type="dxa"/>
            <w:vAlign w:val="bottom"/>
            <w:shd w:val="clear" w:color="auto" w:fill="525252"/>
          </w:tcPr>
          <w:p>
            <w:pPr>
              <w:spacing w:after="0"/>
              <w:rPr>
                <w:sz w:val="23"/>
                <w:szCs w:val="23"/>
                <w:color w:val="auto"/>
              </w:rPr>
            </w:pPr>
          </w:p>
        </w:tc>
        <w:tc>
          <w:tcPr>
            <w:tcW w:w="1260" w:type="dxa"/>
            <w:vAlign w:val="bottom"/>
            <w:shd w:val="clear" w:color="auto" w:fill="525252"/>
          </w:tcPr>
          <w:p>
            <w:pPr>
              <w:jc w:val="right"/>
              <w:ind w:right="368"/>
              <w:spacing w:after="0"/>
              <w:rPr>
                <w:sz w:val="20"/>
                <w:szCs w:val="20"/>
                <w:color w:val="auto"/>
              </w:rPr>
            </w:pPr>
            <w:r>
              <w:rPr>
                <w:rFonts w:ascii="Arial" w:cs="Arial" w:eastAsia="Arial" w:hAnsi="Arial"/>
                <w:sz w:val="14"/>
                <w:szCs w:val="14"/>
                <w:b w:val="1"/>
                <w:bCs w:val="1"/>
                <w:color w:val="FFFFFF"/>
              </w:rPr>
              <w:t>Mr. Black</w:t>
            </w:r>
          </w:p>
        </w:tc>
        <w:tc>
          <w:tcPr>
            <w:tcW w:w="380" w:type="dxa"/>
            <w:vAlign w:val="bottom"/>
            <w:shd w:val="clear" w:color="auto" w:fill="525252"/>
          </w:tcPr>
          <w:p>
            <w:pPr>
              <w:spacing w:after="0"/>
              <w:rPr>
                <w:sz w:val="23"/>
                <w:szCs w:val="23"/>
                <w:color w:val="auto"/>
              </w:rPr>
            </w:pPr>
          </w:p>
        </w:tc>
        <w:tc>
          <w:tcPr>
            <w:tcW w:w="1220" w:type="dxa"/>
            <w:vAlign w:val="bottom"/>
            <w:shd w:val="clear" w:color="auto" w:fill="525252"/>
          </w:tcPr>
          <w:p>
            <w:pPr>
              <w:jc w:val="right"/>
              <w:ind w:right="368"/>
              <w:spacing w:after="0"/>
              <w:rPr>
                <w:sz w:val="20"/>
                <w:szCs w:val="20"/>
                <w:color w:val="auto"/>
              </w:rPr>
            </w:pPr>
            <w:r>
              <w:rPr>
                <w:rFonts w:ascii="Arial" w:cs="Arial" w:eastAsia="Arial" w:hAnsi="Arial"/>
                <w:sz w:val="14"/>
                <w:szCs w:val="14"/>
                <w:b w:val="1"/>
                <w:bCs w:val="1"/>
                <w:color w:val="FFFFFF"/>
              </w:rPr>
              <w:t>Mr. Fees</w:t>
            </w:r>
          </w:p>
        </w:tc>
        <w:tc>
          <w:tcPr>
            <w:tcW w:w="300" w:type="dxa"/>
            <w:vAlign w:val="bottom"/>
            <w:shd w:val="clear" w:color="auto" w:fill="525252"/>
          </w:tcPr>
          <w:p>
            <w:pPr>
              <w:spacing w:after="0"/>
              <w:rPr>
                <w:sz w:val="23"/>
                <w:szCs w:val="23"/>
                <w:color w:val="auto"/>
              </w:rPr>
            </w:pPr>
          </w:p>
        </w:tc>
        <w:tc>
          <w:tcPr>
            <w:tcW w:w="1260" w:type="dxa"/>
            <w:vAlign w:val="bottom"/>
            <w:shd w:val="clear" w:color="auto" w:fill="525252"/>
          </w:tcPr>
          <w:p>
            <w:pPr>
              <w:jc w:val="right"/>
              <w:ind w:right="248"/>
              <w:spacing w:after="0"/>
              <w:rPr>
                <w:sz w:val="20"/>
                <w:szCs w:val="20"/>
                <w:color w:val="auto"/>
              </w:rPr>
            </w:pPr>
            <w:r>
              <w:rPr>
                <w:rFonts w:ascii="Arial" w:cs="Arial" w:eastAsia="Arial" w:hAnsi="Arial"/>
                <w:sz w:val="14"/>
                <w:szCs w:val="14"/>
                <w:b w:val="1"/>
                <w:bCs w:val="1"/>
                <w:color w:val="FFFFFF"/>
              </w:rPr>
              <w:t>Mr. Canafax</w:t>
            </w:r>
          </w:p>
        </w:tc>
        <w:tc>
          <w:tcPr>
            <w:tcW w:w="340" w:type="dxa"/>
            <w:vAlign w:val="bottom"/>
            <w:shd w:val="clear" w:color="auto" w:fill="525252"/>
          </w:tcPr>
          <w:p>
            <w:pPr>
              <w:spacing w:after="0"/>
              <w:rPr>
                <w:sz w:val="23"/>
                <w:szCs w:val="23"/>
                <w:color w:val="auto"/>
              </w:rPr>
            </w:pPr>
          </w:p>
        </w:tc>
        <w:tc>
          <w:tcPr>
            <w:tcW w:w="1220" w:type="dxa"/>
            <w:vAlign w:val="bottom"/>
            <w:shd w:val="clear" w:color="auto" w:fill="525252"/>
          </w:tcPr>
          <w:p>
            <w:pPr>
              <w:jc w:val="right"/>
              <w:ind w:right="308"/>
              <w:spacing w:after="0"/>
              <w:rPr>
                <w:sz w:val="20"/>
                <w:szCs w:val="20"/>
                <w:color w:val="auto"/>
              </w:rPr>
            </w:pPr>
            <w:r>
              <w:rPr>
                <w:rFonts w:ascii="Arial" w:cs="Arial" w:eastAsia="Arial" w:hAnsi="Arial"/>
                <w:sz w:val="14"/>
                <w:szCs w:val="14"/>
                <w:b w:val="1"/>
                <w:bCs w:val="1"/>
                <w:color w:val="FFFFFF"/>
              </w:rPr>
              <w:t>Mr. Henry</w:t>
            </w:r>
          </w:p>
        </w:tc>
        <w:tc>
          <w:tcPr>
            <w:tcW w:w="0" w:type="dxa"/>
            <w:vAlign w:val="bottom"/>
          </w:tcPr>
          <w:p>
            <w:pPr>
              <w:spacing w:after="0"/>
              <w:rPr>
                <w:sz w:val="1"/>
                <w:szCs w:val="1"/>
                <w:color w:val="auto"/>
              </w:rPr>
            </w:pPr>
          </w:p>
        </w:tc>
      </w:tr>
      <w:tr>
        <w:trPr>
          <w:trHeight w:val="270"/>
        </w:trPr>
        <w:tc>
          <w:tcPr>
            <w:tcW w:w="3420" w:type="dxa"/>
            <w:vAlign w:val="bottom"/>
          </w:tcPr>
          <w:p>
            <w:pPr>
              <w:ind w:left="40"/>
              <w:spacing w:after="0"/>
              <w:rPr>
                <w:sz w:val="20"/>
                <w:szCs w:val="20"/>
                <w:color w:val="auto"/>
              </w:rPr>
            </w:pPr>
            <w:r>
              <w:rPr>
                <w:rFonts w:ascii="Arial" w:cs="Arial" w:eastAsia="Arial" w:hAnsi="Arial"/>
                <w:sz w:val="14"/>
                <w:szCs w:val="14"/>
                <w:color w:val="auto"/>
              </w:rPr>
              <w:t>Severance Payments</w:t>
            </w:r>
            <w:r>
              <w:rPr>
                <w:rFonts w:ascii="Arial" w:cs="Arial" w:eastAsia="Arial" w:hAnsi="Arial"/>
                <w:sz w:val="17"/>
                <w:szCs w:val="17"/>
                <w:color w:val="auto"/>
                <w:vertAlign w:val="superscript"/>
              </w:rPr>
              <w:t>(1)</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700,000</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450,000</w:t>
            </w:r>
          </w:p>
        </w:tc>
        <w:tc>
          <w:tcPr>
            <w:tcW w:w="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510,000</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470,000</w:t>
            </w:r>
          </w:p>
        </w:tc>
        <w:tc>
          <w:tcPr>
            <w:tcW w:w="0" w:type="dxa"/>
            <w:vAlign w:val="bottom"/>
          </w:tcPr>
          <w:p>
            <w:pPr>
              <w:spacing w:after="0"/>
              <w:rPr>
                <w:sz w:val="1"/>
                <w:szCs w:val="1"/>
                <w:color w:val="auto"/>
              </w:rPr>
            </w:pPr>
          </w:p>
        </w:tc>
      </w:tr>
      <w:tr>
        <w:trPr>
          <w:trHeight w:val="270"/>
        </w:trPr>
        <w:tc>
          <w:tcPr>
            <w:tcW w:w="3420" w:type="dxa"/>
            <w:vAlign w:val="bottom"/>
            <w:shd w:val="clear" w:color="auto" w:fill="E5E5E5"/>
          </w:tcPr>
          <w:p>
            <w:pPr>
              <w:ind w:left="40"/>
              <w:spacing w:after="0"/>
              <w:rPr>
                <w:sz w:val="20"/>
                <w:szCs w:val="20"/>
                <w:color w:val="auto"/>
              </w:rPr>
            </w:pPr>
            <w:r>
              <w:rPr>
                <w:rFonts w:ascii="Arial" w:cs="Arial" w:eastAsia="Arial" w:hAnsi="Arial"/>
                <w:sz w:val="14"/>
                <w:szCs w:val="14"/>
                <w:color w:val="auto"/>
              </w:rPr>
              <w:t>Benefit Payments</w:t>
            </w:r>
            <w:r>
              <w:rPr>
                <w:rFonts w:ascii="Arial" w:cs="Arial" w:eastAsia="Arial" w:hAnsi="Arial"/>
                <w:sz w:val="17"/>
                <w:szCs w:val="17"/>
                <w:color w:val="auto"/>
                <w:vertAlign w:val="superscript"/>
              </w:rPr>
              <w:t>(1)</w:t>
            </w:r>
          </w:p>
        </w:tc>
        <w:tc>
          <w:tcPr>
            <w:tcW w:w="360" w:type="dxa"/>
            <w:vAlign w:val="bottom"/>
            <w:shd w:val="clear" w:color="auto" w:fill="E5E5E5"/>
          </w:tcPr>
          <w:p>
            <w:pPr>
              <w:spacing w:after="0"/>
              <w:rPr>
                <w:sz w:val="23"/>
                <w:szCs w:val="23"/>
                <w:color w:val="auto"/>
              </w:rPr>
            </w:pPr>
          </w:p>
        </w:tc>
        <w:tc>
          <w:tcPr>
            <w:tcW w:w="13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10,479</w:t>
            </w:r>
          </w:p>
        </w:tc>
        <w:tc>
          <w:tcPr>
            <w:tcW w:w="360" w:type="dxa"/>
            <w:vAlign w:val="bottom"/>
            <w:shd w:val="clear" w:color="auto" w:fill="E5E5E5"/>
          </w:tcPr>
          <w:p>
            <w:pPr>
              <w:spacing w:after="0"/>
              <w:rPr>
                <w:sz w:val="23"/>
                <w:szCs w:val="23"/>
                <w:color w:val="auto"/>
              </w:rPr>
            </w:pPr>
          </w:p>
        </w:tc>
        <w:tc>
          <w:tcPr>
            <w:tcW w:w="126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14,975</w:t>
            </w:r>
          </w:p>
        </w:tc>
        <w:tc>
          <w:tcPr>
            <w:tcW w:w="380" w:type="dxa"/>
            <w:vAlign w:val="bottom"/>
            <w:shd w:val="clear" w:color="auto" w:fill="E5E5E5"/>
          </w:tcPr>
          <w:p>
            <w:pPr>
              <w:spacing w:after="0"/>
              <w:rPr>
                <w:sz w:val="23"/>
                <w:szCs w:val="23"/>
                <w:color w:val="auto"/>
              </w:rPr>
            </w:pPr>
          </w:p>
        </w:tc>
        <w:tc>
          <w:tcPr>
            <w:tcW w:w="12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12,066</w:t>
            </w:r>
          </w:p>
        </w:tc>
        <w:tc>
          <w:tcPr>
            <w:tcW w:w="300" w:type="dxa"/>
            <w:vAlign w:val="bottom"/>
            <w:shd w:val="clear" w:color="auto" w:fill="E5E5E5"/>
          </w:tcPr>
          <w:p>
            <w:pPr>
              <w:spacing w:after="0"/>
              <w:rPr>
                <w:sz w:val="23"/>
                <w:szCs w:val="23"/>
                <w:color w:val="auto"/>
              </w:rPr>
            </w:pPr>
          </w:p>
        </w:tc>
        <w:tc>
          <w:tcPr>
            <w:tcW w:w="12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16,223</w:t>
            </w:r>
          </w:p>
        </w:tc>
        <w:tc>
          <w:tcPr>
            <w:tcW w:w="340" w:type="dxa"/>
            <w:vAlign w:val="bottom"/>
            <w:shd w:val="clear" w:color="auto" w:fill="E5E5E5"/>
          </w:tcPr>
          <w:p>
            <w:pPr>
              <w:spacing w:after="0"/>
              <w:rPr>
                <w:sz w:val="23"/>
                <w:szCs w:val="23"/>
                <w:color w:val="auto"/>
              </w:rPr>
            </w:pPr>
          </w:p>
        </w:tc>
        <w:tc>
          <w:tcPr>
            <w:tcW w:w="12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420" w:type="dxa"/>
            <w:vAlign w:val="bottom"/>
          </w:tcPr>
          <w:p>
            <w:pPr>
              <w:ind w:left="40"/>
              <w:spacing w:after="0"/>
              <w:rPr>
                <w:sz w:val="20"/>
                <w:szCs w:val="20"/>
                <w:color w:val="auto"/>
              </w:rPr>
            </w:pPr>
            <w:r>
              <w:rPr>
                <w:rFonts w:ascii="Arial" w:cs="Arial" w:eastAsia="Arial" w:hAnsi="Arial"/>
                <w:sz w:val="14"/>
                <w:szCs w:val="14"/>
                <w:color w:val="auto"/>
              </w:rPr>
              <w:t>EICP</w:t>
            </w:r>
          </w:p>
        </w:tc>
        <w:tc>
          <w:tcPr>
            <w:tcW w:w="360" w:type="dxa"/>
            <w:vAlign w:val="bottom"/>
          </w:tcPr>
          <w:p>
            <w:pPr>
              <w:spacing w:after="0"/>
              <w:rPr>
                <w:sz w:val="22"/>
                <w:szCs w:val="22"/>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450,000</w:t>
            </w:r>
          </w:p>
        </w:tc>
        <w:tc>
          <w:tcPr>
            <w:tcW w:w="30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420" w:type="dxa"/>
            <w:vAlign w:val="bottom"/>
            <w:shd w:val="clear" w:color="auto" w:fill="E5E5E5"/>
          </w:tcPr>
          <w:p>
            <w:pPr>
              <w:ind w:left="40"/>
              <w:spacing w:after="0"/>
              <w:rPr>
                <w:sz w:val="20"/>
                <w:szCs w:val="20"/>
                <w:color w:val="auto"/>
              </w:rPr>
            </w:pPr>
            <w:r>
              <w:rPr>
                <w:rFonts w:ascii="Arial" w:cs="Arial" w:eastAsia="Arial" w:hAnsi="Arial"/>
                <w:sz w:val="14"/>
                <w:szCs w:val="14"/>
                <w:color w:val="auto"/>
              </w:rPr>
              <w:t>Outplacement Services</w:t>
            </w:r>
            <w:r>
              <w:rPr>
                <w:rFonts w:ascii="Arial" w:cs="Arial" w:eastAsia="Arial" w:hAnsi="Arial"/>
                <w:sz w:val="17"/>
                <w:szCs w:val="17"/>
                <w:color w:val="auto"/>
                <w:vertAlign w:val="superscript"/>
              </w:rPr>
              <w:t>(1)</w:t>
            </w:r>
          </w:p>
        </w:tc>
        <w:tc>
          <w:tcPr>
            <w:tcW w:w="360" w:type="dxa"/>
            <w:vAlign w:val="bottom"/>
            <w:shd w:val="clear" w:color="auto" w:fill="E5E5E5"/>
          </w:tcPr>
          <w:p>
            <w:pPr>
              <w:spacing w:after="0"/>
              <w:rPr>
                <w:sz w:val="24"/>
                <w:szCs w:val="24"/>
                <w:color w:val="auto"/>
              </w:rPr>
            </w:pPr>
          </w:p>
        </w:tc>
        <w:tc>
          <w:tcPr>
            <w:tcW w:w="13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15,000</w:t>
            </w:r>
          </w:p>
        </w:tc>
        <w:tc>
          <w:tcPr>
            <w:tcW w:w="360" w:type="dxa"/>
            <w:vAlign w:val="bottom"/>
            <w:shd w:val="clear" w:color="auto" w:fill="E5E5E5"/>
          </w:tcPr>
          <w:p>
            <w:pPr>
              <w:spacing w:after="0"/>
              <w:rPr>
                <w:sz w:val="24"/>
                <w:szCs w:val="24"/>
                <w:color w:val="auto"/>
              </w:rPr>
            </w:pPr>
          </w:p>
        </w:tc>
        <w:tc>
          <w:tcPr>
            <w:tcW w:w="126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15,000</w:t>
            </w:r>
          </w:p>
        </w:tc>
        <w:tc>
          <w:tcPr>
            <w:tcW w:w="380" w:type="dxa"/>
            <w:vAlign w:val="bottom"/>
            <w:shd w:val="clear" w:color="auto" w:fill="E5E5E5"/>
          </w:tcPr>
          <w:p>
            <w:pPr>
              <w:spacing w:after="0"/>
              <w:rPr>
                <w:sz w:val="24"/>
                <w:szCs w:val="24"/>
                <w:color w:val="auto"/>
              </w:rPr>
            </w:pPr>
          </w:p>
        </w:tc>
        <w:tc>
          <w:tcPr>
            <w:tcW w:w="12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15,000</w:t>
            </w:r>
          </w:p>
        </w:tc>
        <w:tc>
          <w:tcPr>
            <w:tcW w:w="300" w:type="dxa"/>
            <w:vAlign w:val="bottom"/>
            <w:shd w:val="clear" w:color="auto" w:fill="E5E5E5"/>
          </w:tcPr>
          <w:p>
            <w:pPr>
              <w:spacing w:after="0"/>
              <w:rPr>
                <w:sz w:val="24"/>
                <w:szCs w:val="24"/>
                <w:color w:val="auto"/>
              </w:rPr>
            </w:pPr>
          </w:p>
        </w:tc>
        <w:tc>
          <w:tcPr>
            <w:tcW w:w="12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15,000</w:t>
            </w:r>
          </w:p>
        </w:tc>
        <w:tc>
          <w:tcPr>
            <w:tcW w:w="340" w:type="dxa"/>
            <w:vAlign w:val="bottom"/>
            <w:shd w:val="clear" w:color="auto" w:fill="E5E5E5"/>
          </w:tcPr>
          <w:p>
            <w:pPr>
              <w:spacing w:after="0"/>
              <w:rPr>
                <w:sz w:val="24"/>
                <w:szCs w:val="24"/>
                <w:color w:val="auto"/>
              </w:rPr>
            </w:pPr>
          </w:p>
        </w:tc>
        <w:tc>
          <w:tcPr>
            <w:tcW w:w="12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204"/>
        </w:trPr>
        <w:tc>
          <w:tcPr>
            <w:tcW w:w="3420" w:type="dxa"/>
            <w:vAlign w:val="bottom"/>
          </w:tcPr>
          <w:p>
            <w:pPr>
              <w:ind w:left="40"/>
              <w:spacing w:after="0"/>
              <w:rPr>
                <w:sz w:val="20"/>
                <w:szCs w:val="20"/>
                <w:color w:val="auto"/>
              </w:rPr>
            </w:pPr>
            <w:r>
              <w:rPr>
                <w:rFonts w:ascii="Arial" w:cs="Arial" w:eastAsia="Arial" w:hAnsi="Arial"/>
                <w:sz w:val="14"/>
                <w:szCs w:val="14"/>
                <w:color w:val="auto"/>
              </w:rPr>
              <w:t>Financial Planning</w:t>
            </w:r>
          </w:p>
        </w:tc>
        <w:tc>
          <w:tcPr>
            <w:tcW w:w="360" w:type="dxa"/>
            <w:vAlign w:val="bottom"/>
          </w:tcPr>
          <w:p>
            <w:pPr>
              <w:spacing w:after="0"/>
              <w:rPr>
                <w:sz w:val="17"/>
                <w:szCs w:val="17"/>
                <w:color w:val="auto"/>
              </w:rPr>
            </w:pPr>
          </w:p>
        </w:tc>
        <w:tc>
          <w:tcPr>
            <w:tcW w:w="1300" w:type="dxa"/>
            <w:vAlign w:val="bottom"/>
            <w:vMerge w:val="restart"/>
          </w:tcPr>
          <w:p>
            <w:pPr>
              <w:jc w:val="right"/>
              <w:ind w:right="68"/>
              <w:spacing w:after="0"/>
              <w:rPr>
                <w:sz w:val="20"/>
                <w:szCs w:val="20"/>
                <w:color w:val="auto"/>
              </w:rPr>
            </w:pPr>
            <w:r>
              <w:rPr>
                <w:rFonts w:ascii="Arial" w:cs="Arial" w:eastAsia="Arial" w:hAnsi="Arial"/>
                <w:sz w:val="14"/>
                <w:szCs w:val="14"/>
                <w:color w:val="auto"/>
              </w:rPr>
              <w:t>12,340</w:t>
            </w:r>
          </w:p>
        </w:tc>
        <w:tc>
          <w:tcPr>
            <w:tcW w:w="360" w:type="dxa"/>
            <w:vAlign w:val="bottom"/>
          </w:tcPr>
          <w:p>
            <w:pPr>
              <w:spacing w:after="0"/>
              <w:rPr>
                <w:sz w:val="17"/>
                <w:szCs w:val="17"/>
                <w:color w:val="auto"/>
              </w:rPr>
            </w:pPr>
          </w:p>
        </w:tc>
        <w:tc>
          <w:tcPr>
            <w:tcW w:w="12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18,510</w:t>
            </w:r>
          </w:p>
        </w:tc>
        <w:tc>
          <w:tcPr>
            <w:tcW w:w="300" w:type="dxa"/>
            <w:vAlign w:val="bottom"/>
          </w:tcPr>
          <w:p>
            <w:pPr>
              <w:spacing w:after="0"/>
              <w:rPr>
                <w:sz w:val="17"/>
                <w:szCs w:val="17"/>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12,340</w:t>
            </w:r>
          </w:p>
        </w:tc>
        <w:tc>
          <w:tcPr>
            <w:tcW w:w="0" w:type="dxa"/>
            <w:vAlign w:val="bottom"/>
          </w:tcPr>
          <w:p>
            <w:pPr>
              <w:spacing w:after="0"/>
              <w:rPr>
                <w:sz w:val="1"/>
                <w:szCs w:val="1"/>
                <w:color w:val="auto"/>
              </w:rPr>
            </w:pPr>
          </w:p>
        </w:tc>
      </w:tr>
      <w:tr>
        <w:trPr>
          <w:trHeight w:val="60"/>
        </w:trPr>
        <w:tc>
          <w:tcPr>
            <w:tcW w:w="3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420" w:type="dxa"/>
            <w:vAlign w:val="bottom"/>
            <w:shd w:val="clear" w:color="auto" w:fill="E5E5E5"/>
          </w:tcPr>
          <w:p>
            <w:pPr>
              <w:ind w:left="40"/>
              <w:spacing w:after="0"/>
              <w:rPr>
                <w:sz w:val="20"/>
                <w:szCs w:val="20"/>
                <w:color w:val="auto"/>
              </w:rPr>
            </w:pPr>
            <w:r>
              <w:rPr>
                <w:rFonts w:ascii="Arial" w:cs="Arial" w:eastAsia="Arial" w:hAnsi="Arial"/>
                <w:sz w:val="14"/>
                <w:szCs w:val="14"/>
                <w:color w:val="auto"/>
              </w:rPr>
              <w:t>Restoration Plan</w:t>
            </w:r>
          </w:p>
        </w:tc>
        <w:tc>
          <w:tcPr>
            <w:tcW w:w="360" w:type="dxa"/>
            <w:vAlign w:val="bottom"/>
            <w:shd w:val="clear" w:color="auto" w:fill="E5E5E5"/>
          </w:tcPr>
          <w:p>
            <w:pPr>
              <w:spacing w:after="0"/>
              <w:rPr>
                <w:sz w:val="18"/>
                <w:szCs w:val="18"/>
                <w:color w:val="auto"/>
              </w:rPr>
            </w:pPr>
          </w:p>
        </w:tc>
        <w:tc>
          <w:tcPr>
            <w:tcW w:w="1300" w:type="dxa"/>
            <w:vAlign w:val="bottom"/>
            <w:vMerge w:val="restart"/>
            <w:shd w:val="clear" w:color="auto" w:fill="E5E5E5"/>
          </w:tcPr>
          <w:p>
            <w:pPr>
              <w:jc w:val="right"/>
              <w:ind w:right="68"/>
              <w:spacing w:after="0"/>
              <w:rPr>
                <w:sz w:val="20"/>
                <w:szCs w:val="20"/>
                <w:color w:val="auto"/>
              </w:rPr>
            </w:pPr>
            <w:r>
              <w:rPr>
                <w:rFonts w:ascii="Arial" w:cs="Arial" w:eastAsia="Arial" w:hAnsi="Arial"/>
                <w:sz w:val="14"/>
                <w:szCs w:val="14"/>
                <w:color w:val="auto"/>
              </w:rPr>
              <w:t>44,707</w:t>
            </w:r>
          </w:p>
        </w:tc>
        <w:tc>
          <w:tcPr>
            <w:tcW w:w="360" w:type="dxa"/>
            <w:vAlign w:val="bottom"/>
            <w:shd w:val="clear" w:color="auto" w:fill="E5E5E5"/>
          </w:tcPr>
          <w:p>
            <w:pPr>
              <w:spacing w:after="0"/>
              <w:rPr>
                <w:sz w:val="18"/>
                <w:szCs w:val="18"/>
                <w:color w:val="auto"/>
              </w:rPr>
            </w:pPr>
          </w:p>
        </w:tc>
        <w:tc>
          <w:tcPr>
            <w:tcW w:w="1260" w:type="dxa"/>
            <w:vAlign w:val="bottom"/>
            <w:vMerge w:val="restart"/>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shd w:val="clear" w:color="auto" w:fill="E5E5E5"/>
          </w:tcPr>
          <w:p>
            <w:pPr>
              <w:spacing w:after="0"/>
              <w:rPr>
                <w:sz w:val="18"/>
                <w:szCs w:val="18"/>
                <w:color w:val="auto"/>
              </w:rPr>
            </w:pPr>
          </w:p>
        </w:tc>
        <w:tc>
          <w:tcPr>
            <w:tcW w:w="1220" w:type="dxa"/>
            <w:vAlign w:val="bottom"/>
            <w:vMerge w:val="restart"/>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spacing w:after="0"/>
              <w:rPr>
                <w:sz w:val="18"/>
                <w:szCs w:val="18"/>
                <w:color w:val="auto"/>
              </w:rPr>
            </w:pPr>
          </w:p>
        </w:tc>
        <w:tc>
          <w:tcPr>
            <w:tcW w:w="1260" w:type="dxa"/>
            <w:vAlign w:val="bottom"/>
            <w:vMerge w:val="restart"/>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8"/>
                <w:szCs w:val="18"/>
                <w:color w:val="auto"/>
              </w:rPr>
            </w:pPr>
          </w:p>
        </w:tc>
        <w:tc>
          <w:tcPr>
            <w:tcW w:w="1220" w:type="dxa"/>
            <w:vAlign w:val="bottom"/>
            <w:vMerge w:val="restart"/>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3420" w:type="dxa"/>
            <w:vAlign w:val="bottom"/>
            <w:shd w:val="clear" w:color="auto" w:fill="E5E5E5"/>
          </w:tcPr>
          <w:p>
            <w:pPr>
              <w:spacing w:after="0"/>
              <w:rPr>
                <w:sz w:val="5"/>
                <w:szCs w:val="5"/>
                <w:color w:val="auto"/>
              </w:rPr>
            </w:pPr>
          </w:p>
        </w:tc>
        <w:tc>
          <w:tcPr>
            <w:tcW w:w="360" w:type="dxa"/>
            <w:vAlign w:val="bottom"/>
            <w:shd w:val="clear" w:color="auto" w:fill="E5E5E5"/>
          </w:tcPr>
          <w:p>
            <w:pPr>
              <w:spacing w:after="0"/>
              <w:rPr>
                <w:sz w:val="5"/>
                <w:szCs w:val="5"/>
                <w:color w:val="auto"/>
              </w:rPr>
            </w:pPr>
          </w:p>
        </w:tc>
        <w:tc>
          <w:tcPr>
            <w:tcW w:w="1300" w:type="dxa"/>
            <w:vAlign w:val="bottom"/>
            <w:vMerge w:val="continue"/>
            <w:shd w:val="clear" w:color="auto" w:fill="E5E5E5"/>
          </w:tcPr>
          <w:p>
            <w:pPr>
              <w:spacing w:after="0"/>
              <w:rPr>
                <w:sz w:val="5"/>
                <w:szCs w:val="5"/>
                <w:color w:val="auto"/>
              </w:rPr>
            </w:pPr>
          </w:p>
        </w:tc>
        <w:tc>
          <w:tcPr>
            <w:tcW w:w="360" w:type="dxa"/>
            <w:vAlign w:val="bottom"/>
            <w:shd w:val="clear" w:color="auto" w:fill="E5E5E5"/>
          </w:tcPr>
          <w:p>
            <w:pPr>
              <w:spacing w:after="0"/>
              <w:rPr>
                <w:sz w:val="5"/>
                <w:szCs w:val="5"/>
                <w:color w:val="auto"/>
              </w:rPr>
            </w:pPr>
          </w:p>
        </w:tc>
        <w:tc>
          <w:tcPr>
            <w:tcW w:w="1260" w:type="dxa"/>
            <w:vAlign w:val="bottom"/>
            <w:vMerge w:val="continue"/>
            <w:shd w:val="clear" w:color="auto" w:fill="E5E5E5"/>
          </w:tcPr>
          <w:p>
            <w:pPr>
              <w:spacing w:after="0"/>
              <w:rPr>
                <w:sz w:val="5"/>
                <w:szCs w:val="5"/>
                <w:color w:val="auto"/>
              </w:rPr>
            </w:pPr>
          </w:p>
        </w:tc>
        <w:tc>
          <w:tcPr>
            <w:tcW w:w="380" w:type="dxa"/>
            <w:vAlign w:val="bottom"/>
            <w:shd w:val="clear" w:color="auto" w:fill="E5E5E5"/>
          </w:tcPr>
          <w:p>
            <w:pPr>
              <w:spacing w:after="0"/>
              <w:rPr>
                <w:sz w:val="5"/>
                <w:szCs w:val="5"/>
                <w:color w:val="auto"/>
              </w:rPr>
            </w:pPr>
          </w:p>
        </w:tc>
        <w:tc>
          <w:tcPr>
            <w:tcW w:w="1220" w:type="dxa"/>
            <w:vAlign w:val="bottom"/>
            <w:vMerge w:val="continue"/>
            <w:shd w:val="clear" w:color="auto" w:fill="E5E5E5"/>
          </w:tcPr>
          <w:p>
            <w:pPr>
              <w:spacing w:after="0"/>
              <w:rPr>
                <w:sz w:val="5"/>
                <w:szCs w:val="5"/>
                <w:color w:val="auto"/>
              </w:rPr>
            </w:pPr>
          </w:p>
        </w:tc>
        <w:tc>
          <w:tcPr>
            <w:tcW w:w="300" w:type="dxa"/>
            <w:vAlign w:val="bottom"/>
            <w:shd w:val="clear" w:color="auto" w:fill="E5E5E5"/>
          </w:tcPr>
          <w:p>
            <w:pPr>
              <w:spacing w:after="0"/>
              <w:rPr>
                <w:sz w:val="5"/>
                <w:szCs w:val="5"/>
                <w:color w:val="auto"/>
              </w:rPr>
            </w:pPr>
          </w:p>
        </w:tc>
        <w:tc>
          <w:tcPr>
            <w:tcW w:w="1260" w:type="dxa"/>
            <w:vAlign w:val="bottom"/>
            <w:vMerge w:val="continue"/>
            <w:shd w:val="clear" w:color="auto" w:fill="E5E5E5"/>
          </w:tcPr>
          <w:p>
            <w:pPr>
              <w:spacing w:after="0"/>
              <w:rPr>
                <w:sz w:val="5"/>
                <w:szCs w:val="5"/>
                <w:color w:val="auto"/>
              </w:rPr>
            </w:pPr>
          </w:p>
        </w:tc>
        <w:tc>
          <w:tcPr>
            <w:tcW w:w="340" w:type="dxa"/>
            <w:vAlign w:val="bottom"/>
            <w:shd w:val="clear" w:color="auto" w:fill="E5E5E5"/>
          </w:tcPr>
          <w:p>
            <w:pPr>
              <w:spacing w:after="0"/>
              <w:rPr>
                <w:sz w:val="5"/>
                <w:szCs w:val="5"/>
                <w:color w:val="auto"/>
              </w:rPr>
            </w:pPr>
          </w:p>
        </w:tc>
        <w:tc>
          <w:tcPr>
            <w:tcW w:w="1220" w:type="dxa"/>
            <w:vAlign w:val="bottom"/>
            <w:vMerge w:val="continue"/>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3420" w:type="dxa"/>
            <w:vAlign w:val="bottom"/>
          </w:tcPr>
          <w:p>
            <w:pPr>
              <w:ind w:left="40"/>
              <w:spacing w:after="0"/>
              <w:rPr>
                <w:sz w:val="20"/>
                <w:szCs w:val="20"/>
                <w:color w:val="auto"/>
              </w:rPr>
            </w:pPr>
            <w:r>
              <w:rPr>
                <w:rFonts w:ascii="Arial" w:cs="Arial" w:eastAsia="Arial" w:hAnsi="Arial"/>
                <w:sz w:val="14"/>
                <w:szCs w:val="14"/>
                <w:color w:val="auto"/>
              </w:rPr>
              <w:t>Stock Options (unvested and accelerated)</w:t>
            </w:r>
          </w:p>
        </w:tc>
        <w:tc>
          <w:tcPr>
            <w:tcW w:w="360" w:type="dxa"/>
            <w:vAlign w:val="bottom"/>
          </w:tcPr>
          <w:p>
            <w:pPr>
              <w:spacing w:after="0"/>
              <w:rPr>
                <w:sz w:val="22"/>
                <w:szCs w:val="22"/>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182,074</w:t>
            </w:r>
          </w:p>
        </w:tc>
        <w:tc>
          <w:tcPr>
            <w:tcW w:w="3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764,168</w:t>
            </w:r>
          </w:p>
        </w:tc>
        <w:tc>
          <w:tcPr>
            <w:tcW w:w="3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382,047</w:t>
            </w:r>
          </w:p>
        </w:tc>
        <w:tc>
          <w:tcPr>
            <w:tcW w:w="0" w:type="dxa"/>
            <w:vAlign w:val="bottom"/>
          </w:tcPr>
          <w:p>
            <w:pPr>
              <w:spacing w:after="0"/>
              <w:rPr>
                <w:sz w:val="1"/>
                <w:szCs w:val="1"/>
                <w:color w:val="auto"/>
              </w:rPr>
            </w:pPr>
          </w:p>
        </w:tc>
      </w:tr>
      <w:tr>
        <w:trPr>
          <w:trHeight w:val="210"/>
        </w:trPr>
        <w:tc>
          <w:tcPr>
            <w:tcW w:w="3420" w:type="dxa"/>
            <w:vAlign w:val="bottom"/>
            <w:shd w:val="clear" w:color="auto" w:fill="E5E5E5"/>
          </w:tcPr>
          <w:p>
            <w:pPr>
              <w:ind w:left="40"/>
              <w:spacing w:after="0"/>
              <w:rPr>
                <w:sz w:val="20"/>
                <w:szCs w:val="20"/>
                <w:color w:val="auto"/>
              </w:rPr>
            </w:pPr>
            <w:r>
              <w:rPr>
                <w:rFonts w:ascii="Arial" w:cs="Arial" w:eastAsia="Arial" w:hAnsi="Arial"/>
                <w:sz w:val="14"/>
                <w:szCs w:val="14"/>
                <w:color w:val="auto"/>
              </w:rPr>
              <w:t>Restricted Stock Units (unvested and accelerated)</w:t>
            </w:r>
          </w:p>
        </w:tc>
        <w:tc>
          <w:tcPr>
            <w:tcW w:w="360" w:type="dxa"/>
            <w:vAlign w:val="bottom"/>
            <w:shd w:val="clear" w:color="auto" w:fill="E5E5E5"/>
          </w:tcPr>
          <w:p>
            <w:pPr>
              <w:spacing w:after="0"/>
              <w:rPr>
                <w:sz w:val="18"/>
                <w:szCs w:val="18"/>
                <w:color w:val="auto"/>
              </w:rPr>
            </w:pPr>
          </w:p>
        </w:tc>
        <w:tc>
          <w:tcPr>
            <w:tcW w:w="1300" w:type="dxa"/>
            <w:vAlign w:val="bottom"/>
            <w:vMerge w:val="restart"/>
            <w:shd w:val="clear" w:color="auto" w:fill="E5E5E5"/>
          </w:tcPr>
          <w:p>
            <w:pPr>
              <w:jc w:val="right"/>
              <w:ind w:right="68"/>
              <w:spacing w:after="0"/>
              <w:rPr>
                <w:sz w:val="20"/>
                <w:szCs w:val="20"/>
                <w:color w:val="auto"/>
              </w:rPr>
            </w:pPr>
            <w:r>
              <w:rPr>
                <w:rFonts w:ascii="Arial" w:cs="Arial" w:eastAsia="Arial" w:hAnsi="Arial"/>
                <w:sz w:val="14"/>
                <w:szCs w:val="14"/>
                <w:color w:val="auto"/>
              </w:rPr>
              <w:t>2,348,948</w:t>
            </w:r>
          </w:p>
        </w:tc>
        <w:tc>
          <w:tcPr>
            <w:tcW w:w="360" w:type="dxa"/>
            <w:vAlign w:val="bottom"/>
            <w:shd w:val="clear" w:color="auto" w:fill="E5E5E5"/>
          </w:tcPr>
          <w:p>
            <w:pPr>
              <w:spacing w:after="0"/>
              <w:rPr>
                <w:sz w:val="18"/>
                <w:szCs w:val="18"/>
                <w:color w:val="auto"/>
              </w:rPr>
            </w:pPr>
          </w:p>
        </w:tc>
        <w:tc>
          <w:tcPr>
            <w:tcW w:w="1260" w:type="dxa"/>
            <w:vAlign w:val="bottom"/>
            <w:vMerge w:val="restart"/>
            <w:shd w:val="clear" w:color="auto" w:fill="E5E5E5"/>
          </w:tcPr>
          <w:p>
            <w:pPr>
              <w:jc w:val="right"/>
              <w:ind w:right="68"/>
              <w:spacing w:after="0"/>
              <w:rPr>
                <w:sz w:val="20"/>
                <w:szCs w:val="20"/>
                <w:color w:val="auto"/>
              </w:rPr>
            </w:pPr>
            <w:r>
              <w:rPr>
                <w:rFonts w:ascii="Arial" w:cs="Arial" w:eastAsia="Arial" w:hAnsi="Arial"/>
                <w:sz w:val="14"/>
                <w:szCs w:val="14"/>
                <w:color w:val="auto"/>
              </w:rPr>
              <w:t>1,175,805</w:t>
            </w:r>
          </w:p>
        </w:tc>
        <w:tc>
          <w:tcPr>
            <w:tcW w:w="380" w:type="dxa"/>
            <w:vAlign w:val="bottom"/>
            <w:shd w:val="clear" w:color="auto" w:fill="E5E5E5"/>
          </w:tcPr>
          <w:p>
            <w:pPr>
              <w:spacing w:after="0"/>
              <w:rPr>
                <w:sz w:val="18"/>
                <w:szCs w:val="18"/>
                <w:color w:val="auto"/>
              </w:rPr>
            </w:pPr>
          </w:p>
        </w:tc>
        <w:tc>
          <w:tcPr>
            <w:tcW w:w="1220" w:type="dxa"/>
            <w:vAlign w:val="bottom"/>
            <w:vMerge w:val="restart"/>
            <w:shd w:val="clear" w:color="auto" w:fill="E5E5E5"/>
          </w:tcPr>
          <w:p>
            <w:pPr>
              <w:jc w:val="right"/>
              <w:ind w:right="48"/>
              <w:spacing w:after="0"/>
              <w:rPr>
                <w:sz w:val="20"/>
                <w:szCs w:val="20"/>
                <w:color w:val="auto"/>
              </w:rPr>
            </w:pPr>
            <w:r>
              <w:rPr>
                <w:rFonts w:ascii="Arial" w:cs="Arial" w:eastAsia="Arial" w:hAnsi="Arial"/>
                <w:sz w:val="14"/>
                <w:szCs w:val="14"/>
                <w:color w:val="auto"/>
              </w:rPr>
              <w:t>1,272,649</w:t>
            </w:r>
          </w:p>
        </w:tc>
        <w:tc>
          <w:tcPr>
            <w:tcW w:w="300" w:type="dxa"/>
            <w:vAlign w:val="bottom"/>
            <w:shd w:val="clear" w:color="auto" w:fill="E5E5E5"/>
          </w:tcPr>
          <w:p>
            <w:pPr>
              <w:spacing w:after="0"/>
              <w:rPr>
                <w:sz w:val="18"/>
                <w:szCs w:val="18"/>
                <w:color w:val="auto"/>
              </w:rPr>
            </w:pPr>
          </w:p>
        </w:tc>
        <w:tc>
          <w:tcPr>
            <w:tcW w:w="1260" w:type="dxa"/>
            <w:vAlign w:val="bottom"/>
            <w:vMerge w:val="restart"/>
            <w:shd w:val="clear" w:color="auto" w:fill="E5E5E5"/>
          </w:tcPr>
          <w:p>
            <w:pPr>
              <w:jc w:val="right"/>
              <w:ind w:right="48"/>
              <w:spacing w:after="0"/>
              <w:rPr>
                <w:sz w:val="20"/>
                <w:szCs w:val="20"/>
                <w:color w:val="auto"/>
              </w:rPr>
            </w:pPr>
            <w:r>
              <w:rPr>
                <w:rFonts w:ascii="Arial" w:cs="Arial" w:eastAsia="Arial" w:hAnsi="Arial"/>
                <w:sz w:val="14"/>
                <w:szCs w:val="14"/>
                <w:color w:val="auto"/>
              </w:rPr>
              <w:t>1,766,731</w:t>
            </w:r>
          </w:p>
        </w:tc>
        <w:tc>
          <w:tcPr>
            <w:tcW w:w="340" w:type="dxa"/>
            <w:vAlign w:val="bottom"/>
            <w:shd w:val="clear" w:color="auto" w:fill="E5E5E5"/>
          </w:tcPr>
          <w:p>
            <w:pPr>
              <w:spacing w:after="0"/>
              <w:rPr>
                <w:sz w:val="18"/>
                <w:szCs w:val="18"/>
                <w:color w:val="auto"/>
              </w:rPr>
            </w:pPr>
          </w:p>
        </w:tc>
        <w:tc>
          <w:tcPr>
            <w:tcW w:w="1220" w:type="dxa"/>
            <w:vAlign w:val="bottom"/>
            <w:vMerge w:val="restart"/>
            <w:shd w:val="clear" w:color="auto" w:fill="E5E5E5"/>
          </w:tcPr>
          <w:p>
            <w:pPr>
              <w:jc w:val="right"/>
              <w:ind w:right="28"/>
              <w:spacing w:after="0"/>
              <w:rPr>
                <w:sz w:val="20"/>
                <w:szCs w:val="20"/>
                <w:color w:val="auto"/>
              </w:rPr>
            </w:pPr>
            <w:r>
              <w:rPr>
                <w:rFonts w:ascii="Arial" w:cs="Arial" w:eastAsia="Arial" w:hAnsi="Arial"/>
                <w:sz w:val="14"/>
                <w:szCs w:val="14"/>
                <w:color w:val="auto"/>
              </w:rPr>
              <w:t>982,116</w:t>
            </w:r>
          </w:p>
        </w:tc>
        <w:tc>
          <w:tcPr>
            <w:tcW w:w="0" w:type="dxa"/>
            <w:vAlign w:val="bottom"/>
          </w:tcPr>
          <w:p>
            <w:pPr>
              <w:spacing w:after="0"/>
              <w:rPr>
                <w:sz w:val="1"/>
                <w:szCs w:val="1"/>
                <w:color w:val="auto"/>
              </w:rPr>
            </w:pPr>
          </w:p>
        </w:tc>
      </w:tr>
      <w:tr>
        <w:trPr>
          <w:trHeight w:val="66"/>
        </w:trPr>
        <w:tc>
          <w:tcPr>
            <w:tcW w:w="3420" w:type="dxa"/>
            <w:vAlign w:val="bottom"/>
            <w:shd w:val="clear" w:color="auto" w:fill="E5E5E5"/>
          </w:tcPr>
          <w:p>
            <w:pPr>
              <w:spacing w:after="0"/>
              <w:rPr>
                <w:sz w:val="5"/>
                <w:szCs w:val="5"/>
                <w:color w:val="auto"/>
              </w:rPr>
            </w:pPr>
          </w:p>
        </w:tc>
        <w:tc>
          <w:tcPr>
            <w:tcW w:w="360" w:type="dxa"/>
            <w:vAlign w:val="bottom"/>
            <w:shd w:val="clear" w:color="auto" w:fill="E5E5E5"/>
          </w:tcPr>
          <w:p>
            <w:pPr>
              <w:spacing w:after="0"/>
              <w:rPr>
                <w:sz w:val="5"/>
                <w:szCs w:val="5"/>
                <w:color w:val="auto"/>
              </w:rPr>
            </w:pPr>
          </w:p>
        </w:tc>
        <w:tc>
          <w:tcPr>
            <w:tcW w:w="1300" w:type="dxa"/>
            <w:vAlign w:val="bottom"/>
            <w:vMerge w:val="continue"/>
            <w:shd w:val="clear" w:color="auto" w:fill="E5E5E5"/>
          </w:tcPr>
          <w:p>
            <w:pPr>
              <w:spacing w:after="0"/>
              <w:rPr>
                <w:sz w:val="5"/>
                <w:szCs w:val="5"/>
                <w:color w:val="auto"/>
              </w:rPr>
            </w:pPr>
          </w:p>
        </w:tc>
        <w:tc>
          <w:tcPr>
            <w:tcW w:w="360" w:type="dxa"/>
            <w:vAlign w:val="bottom"/>
            <w:shd w:val="clear" w:color="auto" w:fill="E5E5E5"/>
          </w:tcPr>
          <w:p>
            <w:pPr>
              <w:spacing w:after="0"/>
              <w:rPr>
                <w:sz w:val="5"/>
                <w:szCs w:val="5"/>
                <w:color w:val="auto"/>
              </w:rPr>
            </w:pPr>
          </w:p>
        </w:tc>
        <w:tc>
          <w:tcPr>
            <w:tcW w:w="1260" w:type="dxa"/>
            <w:vAlign w:val="bottom"/>
            <w:vMerge w:val="continue"/>
            <w:shd w:val="clear" w:color="auto" w:fill="E5E5E5"/>
          </w:tcPr>
          <w:p>
            <w:pPr>
              <w:spacing w:after="0"/>
              <w:rPr>
                <w:sz w:val="5"/>
                <w:szCs w:val="5"/>
                <w:color w:val="auto"/>
              </w:rPr>
            </w:pPr>
          </w:p>
        </w:tc>
        <w:tc>
          <w:tcPr>
            <w:tcW w:w="380" w:type="dxa"/>
            <w:vAlign w:val="bottom"/>
            <w:shd w:val="clear" w:color="auto" w:fill="E5E5E5"/>
          </w:tcPr>
          <w:p>
            <w:pPr>
              <w:spacing w:after="0"/>
              <w:rPr>
                <w:sz w:val="5"/>
                <w:szCs w:val="5"/>
                <w:color w:val="auto"/>
              </w:rPr>
            </w:pPr>
          </w:p>
        </w:tc>
        <w:tc>
          <w:tcPr>
            <w:tcW w:w="1220" w:type="dxa"/>
            <w:vAlign w:val="bottom"/>
            <w:vMerge w:val="continue"/>
            <w:shd w:val="clear" w:color="auto" w:fill="E5E5E5"/>
          </w:tcPr>
          <w:p>
            <w:pPr>
              <w:spacing w:after="0"/>
              <w:rPr>
                <w:sz w:val="5"/>
                <w:szCs w:val="5"/>
                <w:color w:val="auto"/>
              </w:rPr>
            </w:pPr>
          </w:p>
        </w:tc>
        <w:tc>
          <w:tcPr>
            <w:tcW w:w="300" w:type="dxa"/>
            <w:vAlign w:val="bottom"/>
            <w:shd w:val="clear" w:color="auto" w:fill="E5E5E5"/>
          </w:tcPr>
          <w:p>
            <w:pPr>
              <w:spacing w:after="0"/>
              <w:rPr>
                <w:sz w:val="5"/>
                <w:szCs w:val="5"/>
                <w:color w:val="auto"/>
              </w:rPr>
            </w:pPr>
          </w:p>
        </w:tc>
        <w:tc>
          <w:tcPr>
            <w:tcW w:w="1260" w:type="dxa"/>
            <w:vAlign w:val="bottom"/>
            <w:vMerge w:val="continue"/>
            <w:shd w:val="clear" w:color="auto" w:fill="E5E5E5"/>
          </w:tcPr>
          <w:p>
            <w:pPr>
              <w:spacing w:after="0"/>
              <w:rPr>
                <w:sz w:val="5"/>
                <w:szCs w:val="5"/>
                <w:color w:val="auto"/>
              </w:rPr>
            </w:pPr>
          </w:p>
        </w:tc>
        <w:tc>
          <w:tcPr>
            <w:tcW w:w="340" w:type="dxa"/>
            <w:vAlign w:val="bottom"/>
            <w:shd w:val="clear" w:color="auto" w:fill="E5E5E5"/>
          </w:tcPr>
          <w:p>
            <w:pPr>
              <w:spacing w:after="0"/>
              <w:rPr>
                <w:sz w:val="5"/>
                <w:szCs w:val="5"/>
                <w:color w:val="auto"/>
              </w:rPr>
            </w:pPr>
          </w:p>
        </w:tc>
        <w:tc>
          <w:tcPr>
            <w:tcW w:w="1220" w:type="dxa"/>
            <w:vAlign w:val="bottom"/>
            <w:vMerge w:val="continue"/>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3420" w:type="dxa"/>
            <w:vAlign w:val="bottom"/>
          </w:tcPr>
          <w:p>
            <w:pPr>
              <w:ind w:left="40"/>
              <w:spacing w:after="0"/>
              <w:rPr>
                <w:sz w:val="20"/>
                <w:szCs w:val="20"/>
                <w:color w:val="auto"/>
              </w:rPr>
            </w:pPr>
            <w:r>
              <w:rPr>
                <w:rFonts w:ascii="Arial" w:cs="Arial" w:eastAsia="Arial" w:hAnsi="Arial"/>
                <w:sz w:val="14"/>
                <w:szCs w:val="14"/>
                <w:color w:val="auto"/>
              </w:rPr>
              <w:t>Performance Restricted Stock Units (unvested and</w:t>
            </w: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420" w:type="dxa"/>
            <w:vAlign w:val="bottom"/>
          </w:tcPr>
          <w:p>
            <w:pPr>
              <w:ind w:left="40"/>
              <w:spacing w:after="0"/>
              <w:rPr>
                <w:sz w:val="20"/>
                <w:szCs w:val="20"/>
                <w:color w:val="auto"/>
              </w:rPr>
            </w:pPr>
            <w:r>
              <w:rPr>
                <w:rFonts w:ascii="Arial" w:cs="Arial" w:eastAsia="Arial" w:hAnsi="Arial"/>
                <w:sz w:val="14"/>
                <w:szCs w:val="14"/>
                <w:color w:val="auto"/>
              </w:rPr>
              <w:t>accelerated)</w:t>
            </w:r>
          </w:p>
        </w:tc>
        <w:tc>
          <w:tcPr>
            <w:tcW w:w="360" w:type="dxa"/>
            <w:vAlign w:val="bottom"/>
          </w:tcPr>
          <w:p>
            <w:pPr>
              <w:spacing w:after="0"/>
              <w:rPr>
                <w:sz w:val="15"/>
                <w:szCs w:val="15"/>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3,267,307</w:t>
            </w:r>
          </w:p>
        </w:tc>
        <w:tc>
          <w:tcPr>
            <w:tcW w:w="360" w:type="dxa"/>
            <w:vAlign w:val="bottom"/>
          </w:tcPr>
          <w:p>
            <w:pPr>
              <w:spacing w:after="0"/>
              <w:rPr>
                <w:sz w:val="15"/>
                <w:szCs w:val="15"/>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1,121,787</w:t>
            </w:r>
          </w:p>
        </w:tc>
        <w:tc>
          <w:tcPr>
            <w:tcW w:w="380" w:type="dxa"/>
            <w:vAlign w:val="bottom"/>
          </w:tcPr>
          <w:p>
            <w:pPr>
              <w:spacing w:after="0"/>
              <w:rPr>
                <w:sz w:val="15"/>
                <w:szCs w:val="15"/>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2,247,445</w:t>
            </w:r>
          </w:p>
        </w:tc>
        <w:tc>
          <w:tcPr>
            <w:tcW w:w="300" w:type="dxa"/>
            <w:vAlign w:val="bottom"/>
          </w:tcPr>
          <w:p>
            <w:pPr>
              <w:spacing w:after="0"/>
              <w:rPr>
                <w:sz w:val="15"/>
                <w:szCs w:val="15"/>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1,525,316</w:t>
            </w:r>
          </w:p>
        </w:tc>
        <w:tc>
          <w:tcPr>
            <w:tcW w:w="340" w:type="dxa"/>
            <w:vAlign w:val="bottom"/>
          </w:tcPr>
          <w:p>
            <w:pPr>
              <w:spacing w:after="0"/>
              <w:rPr>
                <w:sz w:val="15"/>
                <w:szCs w:val="15"/>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925,437</w:t>
            </w:r>
          </w:p>
        </w:tc>
        <w:tc>
          <w:tcPr>
            <w:tcW w:w="0" w:type="dxa"/>
            <w:vAlign w:val="bottom"/>
          </w:tcPr>
          <w:p>
            <w:pPr>
              <w:spacing w:after="0"/>
              <w:rPr>
                <w:sz w:val="1"/>
                <w:szCs w:val="1"/>
                <w:color w:val="auto"/>
              </w:rPr>
            </w:pPr>
          </w:p>
        </w:tc>
      </w:tr>
      <w:tr>
        <w:trPr>
          <w:trHeight w:val="210"/>
        </w:trPr>
        <w:tc>
          <w:tcPr>
            <w:tcW w:w="3420" w:type="dxa"/>
            <w:vAlign w:val="bottom"/>
            <w:shd w:val="clear" w:color="auto" w:fill="E5E5E5"/>
          </w:tcPr>
          <w:p>
            <w:pPr>
              <w:ind w:left="40"/>
              <w:spacing w:after="0"/>
              <w:rPr>
                <w:sz w:val="20"/>
                <w:szCs w:val="20"/>
                <w:color w:val="auto"/>
              </w:rPr>
            </w:pPr>
            <w:r>
              <w:rPr>
                <w:rFonts w:ascii="Arial" w:cs="Arial" w:eastAsia="Arial" w:hAnsi="Arial"/>
                <w:sz w:val="14"/>
                <w:szCs w:val="14"/>
                <w:color w:val="auto"/>
              </w:rPr>
              <w:t>SERP</w:t>
            </w:r>
          </w:p>
        </w:tc>
        <w:tc>
          <w:tcPr>
            <w:tcW w:w="360" w:type="dxa"/>
            <w:vAlign w:val="bottom"/>
            <w:shd w:val="clear" w:color="auto" w:fill="E5E5E5"/>
          </w:tcPr>
          <w:p>
            <w:pPr>
              <w:spacing w:after="0"/>
              <w:rPr>
                <w:sz w:val="18"/>
                <w:szCs w:val="18"/>
                <w:color w:val="auto"/>
              </w:rPr>
            </w:pPr>
          </w:p>
        </w:tc>
        <w:tc>
          <w:tcPr>
            <w:tcW w:w="1300" w:type="dxa"/>
            <w:vAlign w:val="bottom"/>
            <w:vMerge w:val="restart"/>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8"/>
                <w:szCs w:val="18"/>
                <w:color w:val="auto"/>
              </w:rPr>
            </w:pPr>
          </w:p>
        </w:tc>
        <w:tc>
          <w:tcPr>
            <w:tcW w:w="1260" w:type="dxa"/>
            <w:vAlign w:val="bottom"/>
            <w:vMerge w:val="restart"/>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shd w:val="clear" w:color="auto" w:fill="E5E5E5"/>
          </w:tcPr>
          <w:p>
            <w:pPr>
              <w:spacing w:after="0"/>
              <w:rPr>
                <w:sz w:val="18"/>
                <w:szCs w:val="18"/>
                <w:color w:val="auto"/>
              </w:rPr>
            </w:pPr>
          </w:p>
        </w:tc>
        <w:tc>
          <w:tcPr>
            <w:tcW w:w="1220" w:type="dxa"/>
            <w:vAlign w:val="bottom"/>
            <w:vMerge w:val="restart"/>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spacing w:after="0"/>
              <w:rPr>
                <w:sz w:val="18"/>
                <w:szCs w:val="18"/>
                <w:color w:val="auto"/>
              </w:rPr>
            </w:pPr>
          </w:p>
        </w:tc>
        <w:tc>
          <w:tcPr>
            <w:tcW w:w="1260" w:type="dxa"/>
            <w:vAlign w:val="bottom"/>
            <w:vMerge w:val="restart"/>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8"/>
                <w:szCs w:val="18"/>
                <w:color w:val="auto"/>
              </w:rPr>
            </w:pPr>
          </w:p>
        </w:tc>
        <w:tc>
          <w:tcPr>
            <w:tcW w:w="1220" w:type="dxa"/>
            <w:vAlign w:val="bottom"/>
            <w:vMerge w:val="restart"/>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420" w:type="dxa"/>
            <w:vAlign w:val="bottom"/>
            <w:tcBorders>
              <w:bottom w:val="single" w:sz="8" w:color="auto"/>
            </w:tcBorders>
            <w:shd w:val="clear" w:color="auto" w:fill="E5E5E5"/>
          </w:tcPr>
          <w:p>
            <w:pPr>
              <w:spacing w:after="0"/>
              <w:rPr>
                <w:sz w:val="5"/>
                <w:szCs w:val="5"/>
                <w:color w:val="auto"/>
              </w:rPr>
            </w:pPr>
          </w:p>
        </w:tc>
        <w:tc>
          <w:tcPr>
            <w:tcW w:w="360" w:type="dxa"/>
            <w:vAlign w:val="bottom"/>
            <w:tcBorders>
              <w:bottom w:val="single" w:sz="8" w:color="auto"/>
            </w:tcBorders>
            <w:shd w:val="clear" w:color="auto" w:fill="E5E5E5"/>
          </w:tcPr>
          <w:p>
            <w:pPr>
              <w:spacing w:after="0"/>
              <w:rPr>
                <w:sz w:val="5"/>
                <w:szCs w:val="5"/>
                <w:color w:val="auto"/>
              </w:rPr>
            </w:pPr>
          </w:p>
        </w:tc>
        <w:tc>
          <w:tcPr>
            <w:tcW w:w="1300" w:type="dxa"/>
            <w:vAlign w:val="bottom"/>
            <w:tcBorders>
              <w:bottom w:val="single" w:sz="8" w:color="auto"/>
            </w:tcBorders>
            <w:vMerge w:val="continue"/>
            <w:shd w:val="clear" w:color="auto" w:fill="E5E5E5"/>
          </w:tcPr>
          <w:p>
            <w:pPr>
              <w:spacing w:after="0"/>
              <w:rPr>
                <w:sz w:val="5"/>
                <w:szCs w:val="5"/>
                <w:color w:val="auto"/>
              </w:rPr>
            </w:pPr>
          </w:p>
        </w:tc>
        <w:tc>
          <w:tcPr>
            <w:tcW w:w="360" w:type="dxa"/>
            <w:vAlign w:val="bottom"/>
            <w:tcBorders>
              <w:bottom w:val="single" w:sz="8" w:color="auto"/>
            </w:tcBorders>
            <w:shd w:val="clear" w:color="auto" w:fill="E5E5E5"/>
          </w:tcPr>
          <w:p>
            <w:pPr>
              <w:spacing w:after="0"/>
              <w:rPr>
                <w:sz w:val="5"/>
                <w:szCs w:val="5"/>
                <w:color w:val="auto"/>
              </w:rPr>
            </w:pPr>
          </w:p>
        </w:tc>
        <w:tc>
          <w:tcPr>
            <w:tcW w:w="1260" w:type="dxa"/>
            <w:vAlign w:val="bottom"/>
            <w:tcBorders>
              <w:bottom w:val="single" w:sz="8" w:color="auto"/>
            </w:tcBorders>
            <w:vMerge w:val="continue"/>
            <w:shd w:val="clear" w:color="auto" w:fill="E5E5E5"/>
          </w:tcPr>
          <w:p>
            <w:pPr>
              <w:spacing w:after="0"/>
              <w:rPr>
                <w:sz w:val="5"/>
                <w:szCs w:val="5"/>
                <w:color w:val="auto"/>
              </w:rPr>
            </w:pPr>
          </w:p>
        </w:tc>
        <w:tc>
          <w:tcPr>
            <w:tcW w:w="380" w:type="dxa"/>
            <w:vAlign w:val="bottom"/>
            <w:tcBorders>
              <w:bottom w:val="single" w:sz="8" w:color="auto"/>
            </w:tcBorders>
            <w:shd w:val="clear" w:color="auto" w:fill="E5E5E5"/>
          </w:tcPr>
          <w:p>
            <w:pPr>
              <w:spacing w:after="0"/>
              <w:rPr>
                <w:sz w:val="5"/>
                <w:szCs w:val="5"/>
                <w:color w:val="auto"/>
              </w:rPr>
            </w:pPr>
          </w:p>
        </w:tc>
        <w:tc>
          <w:tcPr>
            <w:tcW w:w="1220" w:type="dxa"/>
            <w:vAlign w:val="bottom"/>
            <w:tcBorders>
              <w:bottom w:val="single" w:sz="8" w:color="auto"/>
            </w:tcBorders>
            <w:vMerge w:val="continue"/>
            <w:shd w:val="clear" w:color="auto" w:fill="E5E5E5"/>
          </w:tcPr>
          <w:p>
            <w:pPr>
              <w:spacing w:after="0"/>
              <w:rPr>
                <w:sz w:val="5"/>
                <w:szCs w:val="5"/>
                <w:color w:val="auto"/>
              </w:rPr>
            </w:pPr>
          </w:p>
        </w:tc>
        <w:tc>
          <w:tcPr>
            <w:tcW w:w="300" w:type="dxa"/>
            <w:vAlign w:val="bottom"/>
            <w:tcBorders>
              <w:bottom w:val="single" w:sz="8" w:color="auto"/>
            </w:tcBorders>
            <w:shd w:val="clear" w:color="auto" w:fill="E5E5E5"/>
          </w:tcPr>
          <w:p>
            <w:pPr>
              <w:spacing w:after="0"/>
              <w:rPr>
                <w:sz w:val="5"/>
                <w:szCs w:val="5"/>
                <w:color w:val="auto"/>
              </w:rPr>
            </w:pPr>
          </w:p>
        </w:tc>
        <w:tc>
          <w:tcPr>
            <w:tcW w:w="1260" w:type="dxa"/>
            <w:vAlign w:val="bottom"/>
            <w:tcBorders>
              <w:bottom w:val="single" w:sz="8" w:color="auto"/>
            </w:tcBorders>
            <w:vMerge w:val="continue"/>
            <w:shd w:val="clear" w:color="auto" w:fill="E5E5E5"/>
          </w:tcPr>
          <w:p>
            <w:pPr>
              <w:spacing w:after="0"/>
              <w:rPr>
                <w:sz w:val="5"/>
                <w:szCs w:val="5"/>
                <w:color w:val="auto"/>
              </w:rPr>
            </w:pPr>
          </w:p>
        </w:tc>
        <w:tc>
          <w:tcPr>
            <w:tcW w:w="340" w:type="dxa"/>
            <w:vAlign w:val="bottom"/>
            <w:tcBorders>
              <w:bottom w:val="single" w:sz="8" w:color="auto"/>
            </w:tcBorders>
            <w:shd w:val="clear" w:color="auto" w:fill="E5E5E5"/>
          </w:tcPr>
          <w:p>
            <w:pPr>
              <w:spacing w:after="0"/>
              <w:rPr>
                <w:sz w:val="5"/>
                <w:szCs w:val="5"/>
                <w:color w:val="auto"/>
              </w:rPr>
            </w:pPr>
          </w:p>
        </w:tc>
        <w:tc>
          <w:tcPr>
            <w:tcW w:w="1220" w:type="dxa"/>
            <w:vAlign w:val="bottom"/>
            <w:tcBorders>
              <w:bottom w:val="single" w:sz="8" w:color="auto"/>
            </w:tcBorders>
            <w:vMerge w:val="continue"/>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3420" w:type="dxa"/>
            <w:vAlign w:val="bottom"/>
          </w:tcPr>
          <w:p>
            <w:pPr>
              <w:ind w:left="40"/>
              <w:spacing w:after="0"/>
              <w:rPr>
                <w:sz w:val="20"/>
                <w:szCs w:val="20"/>
                <w:color w:val="auto"/>
              </w:rPr>
            </w:pPr>
            <w:r>
              <w:rPr>
                <w:rFonts w:ascii="Arial" w:cs="Arial" w:eastAsia="Arial" w:hAnsi="Arial"/>
                <w:sz w:val="14"/>
                <w:szCs w:val="14"/>
                <w:color w:val="auto"/>
              </w:rPr>
              <w:t>Total</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6,398,781</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2,959,641</w:t>
            </w:r>
          </w:p>
        </w:tc>
        <w:tc>
          <w:tcPr>
            <w:tcW w:w="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4,015,670</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4,597,438</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2,786,940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60" w:hanging="330"/>
        <w:spacing w:after="0"/>
        <w:tabs>
          <w:tab w:leader="none" w:pos="460" w:val="left"/>
        </w:tabs>
        <w:numPr>
          <w:ilvl w:val="0"/>
          <w:numId w:val="106"/>
        </w:numPr>
        <w:rPr>
          <w:rFonts w:ascii="Arial" w:cs="Arial" w:eastAsia="Arial" w:hAnsi="Arial"/>
          <w:sz w:val="14"/>
          <w:szCs w:val="14"/>
          <w:i w:val="1"/>
          <w:iCs w:val="1"/>
          <w:color w:val="auto"/>
        </w:rPr>
      </w:pPr>
      <w:r>
        <w:rPr>
          <w:rFonts w:ascii="Arial" w:cs="Arial" w:eastAsia="Arial" w:hAnsi="Arial"/>
          <w:sz w:val="14"/>
          <w:szCs w:val="14"/>
          <w:i w:val="1"/>
          <w:iCs w:val="1"/>
          <w:color w:val="auto"/>
        </w:rPr>
        <w:t>These benefits would not be payable in the event of a Named Executive’s death.</w:t>
      </w:r>
    </w:p>
    <w:p>
      <w:pPr>
        <w:spacing w:after="0" w:line="6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Severance Payments. </w:t>
      </w:r>
      <w:r>
        <w:rPr>
          <w:rFonts w:ascii="Arial" w:cs="Arial" w:eastAsia="Arial" w:hAnsi="Arial"/>
          <w:sz w:val="18"/>
          <w:szCs w:val="18"/>
          <w:color w:val="auto"/>
        </w:rPr>
        <w:t>The severance payments reported for each Named Executive, other than Mr. Fees, represent lump-sum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 equal to 52 weeks base salary as in effect on the date of termination. Pursuant to Mr. Fees' Transition Agreement, he is not entitled to severance benefits under the Executive Severance Plan.Through the Executive Severance Plan, eligible employees are entitled to receive specified severance benefits, including the severance payment reported, in the event their employment is terminated due to a termination by the Company by reason of a Named Executive being unable to perform his duties due to their physical or mental illness or disability. The Executive Severance Plan generally provides for benefits in the event a Named Executive is terminated by the Company for reasons other than “cause.” “Cause” is defined to exclude instances where an eligible employee is unable to perform his duties by reason of his physical or mental illness or disability.</w:t>
      </w:r>
    </w:p>
    <w:p>
      <w:pPr>
        <w:spacing w:after="0" w:line="50"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Benefit Payments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a termination by the Company for any reason other than cause under the Executive Severance Plan, each Named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other than Mr. Fees, would be entitled to a lump-sum payment equal to nine months of COBRA premiums for the medical, dental and/or vision benefits in effect for the Named Executive and his qualified beneficiaries as of the date of termination. The amounts reported were determined by multiplying the monthly cost of 2017 medical, dental and/or vision benefits for the Named Executive and his qualified beneficiaries by 102%, and then multiplying the product by nine. The Executive Severance Plan also provides for extended availability of COBRA coverage from 18 to 24 months. Mr. Fees would be entitled to receive COBRA benefits until two years after his Resignation Date pursuant to the terms of the Transition Agreement.</w:t>
      </w:r>
    </w:p>
    <w:p>
      <w:pPr>
        <w:spacing w:after="0" w:line="4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Financial Planning</w:t>
      </w:r>
      <w:r>
        <w:rPr>
          <w:rFonts w:ascii="Arial" w:cs="Arial" w:eastAsia="Arial" w:hAnsi="Arial"/>
          <w:sz w:val="18"/>
          <w:szCs w:val="18"/>
          <w:color w:val="auto"/>
        </w:rPr>
        <w:t>. Under the terms of the agreement with the Company’s financial planning service provider, each Named Executive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entitled to financial planning benefits for one year following his termination without cause, among other events, so long as the agreement has not been earlier terminated. The amounts reported in this column represent the fee that the Company would be required to pay for the applicable Named Executive to receive such benefits. Mr. Fees would be entitled to financial planning through June 2019 pursuant to the Transition Agreement.</w:t>
      </w:r>
    </w:p>
    <w:p>
      <w:pPr>
        <w:spacing w:after="0" w:line="45"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b w:val="1"/>
          <w:bCs w:val="1"/>
          <w:i w:val="1"/>
          <w:iCs w:val="1"/>
          <w:color w:val="auto"/>
        </w:rPr>
        <w:t>Outplacement Services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Named Executive would be entitled to 12 months of employer-paid outplacement services under the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Severance Plan following his termination by the Company for reasons other than cause. The amounts reported represent the per-person cost the Company would incur to engage a third-party service provider for 12 months of executive outplacement services.</w:t>
      </w:r>
    </w:p>
    <w:p>
      <w:pPr>
        <w:spacing w:after="0" w:line="3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 xml:space="preserve">Restoration Plan. </w:t>
      </w:r>
      <w:r>
        <w:rPr>
          <w:rFonts w:ascii="Arial" w:cs="Arial" w:eastAsia="Arial" w:hAnsi="Arial"/>
          <w:sz w:val="18"/>
          <w:szCs w:val="18"/>
          <w:color w:val="auto"/>
        </w:rPr>
        <w:t>Under the Restoration Plan, an executive’s Company matching account and Company service-based account become fully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vested on, among other events, the date of the executive’s death or disability.</w:t>
      </w:r>
    </w:p>
    <w:p>
      <w:pPr>
        <w:spacing w:after="0" w:line="18"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b w:val="1"/>
          <w:bCs w:val="1"/>
          <w:i w:val="1"/>
          <w:iCs w:val="1"/>
          <w:color w:val="auto"/>
        </w:rPr>
        <w:t>Equity Awards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terms of the awards outstanding for each Named Executive as of December 31, 2017, all unvested stock awards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become vested and all unvested option awards become vested and exercisable in the event the applicable Named Executive’s employment terminates by reason of his death or disability.</w:t>
      </w:r>
    </w:p>
    <w:p>
      <w:pPr>
        <w:spacing w:after="0" w:line="218" w:lineRule="exact"/>
        <w:rPr>
          <w:sz w:val="20"/>
          <w:szCs w:val="20"/>
          <w:color w:val="auto"/>
        </w:rPr>
      </w:pPr>
    </w:p>
    <w:p>
      <w:pPr>
        <w:jc w:val="right"/>
        <w:spacing w:after="0"/>
        <w:rPr>
          <w:sz w:val="20"/>
          <w:szCs w:val="20"/>
          <w:color w:val="auto"/>
        </w:rPr>
      </w:pPr>
      <w:r>
        <w:rPr>
          <w:sz w:val="1"/>
          <w:szCs w:val="1"/>
          <w:color w:val="auto"/>
        </w:rPr>
        <w:drawing>
          <wp:inline distT="0" distB="0" distL="0" distR="0">
            <wp:extent cx="488950" cy="205740"/>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88950" cy="205740"/>
                    </a:xfrm>
                    <a:prstGeom prst="rect">
                      <a:avLst/>
                    </a:prstGeom>
                    <a:noFill/>
                    <a:ln>
                      <a:noFill/>
                    </a:ln>
                  </pic:spPr>
                </pic:pic>
              </a:graphicData>
            </a:graphic>
          </wp:inline>
        </w:drawing>
      </w:r>
      <w:r>
        <w:rPr>
          <w:rFonts w:ascii="Arial" w:cs="Arial" w:eastAsia="Arial" w:hAnsi="Arial"/>
          <w:sz w:val="18"/>
          <w:szCs w:val="18"/>
          <w:color w:val="auto"/>
        </w:rPr>
        <w:t xml:space="preserve"> 2018 PROXY STATEMENT </w:t>
      </w:r>
      <w:r>
        <w:rPr>
          <w:rFonts w:ascii="Arial" w:cs="Arial" w:eastAsia="Arial" w:hAnsi="Arial"/>
          <w:sz w:val="18"/>
          <w:szCs w:val="18"/>
          <w:b w:val="1"/>
          <w:bCs w:val="1"/>
          <w:color w:val="2C2C2C"/>
        </w:rPr>
        <w:t>55</w:t>
      </w:r>
    </w:p>
    <w:p>
      <w:pPr>
        <w:sectPr>
          <w:pgSz w:w="11900" w:h="16838" w:orient="portrait"/>
          <w:cols w:equalWidth="0" w:num="1">
            <w:col w:w="11420"/>
          </w:cols>
          <w:pgMar w:left="240" w:top="125" w:right="239" w:bottom="1440" w:gutter="0" w:footer="0" w:header="0"/>
        </w:sectPr>
      </w:pPr>
    </w:p>
    <w:bookmarkStart w:id="64" w:name="page65"/>
    <w:bookmarkEnd w:id="64"/>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7240"/>
        <w:spacing w:after="0"/>
        <w:rPr>
          <w:sz w:val="20"/>
          <w:szCs w:val="20"/>
          <w:color w:val="auto"/>
        </w:rPr>
      </w:pPr>
      <w:r>
        <w:rPr>
          <w:rFonts w:ascii="Arial" w:cs="Arial" w:eastAsia="Arial" w:hAnsi="Arial"/>
          <w:sz w:val="14"/>
          <w:szCs w:val="14"/>
          <w:color w:val="auto"/>
        </w:rPr>
        <w:t>COMPENSATION OF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8"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SERP</w:t>
      </w:r>
      <w:r>
        <w:rPr>
          <w:rFonts w:ascii="Arial" w:cs="Arial" w:eastAsia="Arial" w:hAnsi="Arial"/>
          <w:sz w:val="18"/>
          <w:szCs w:val="18"/>
          <w:color w:val="auto"/>
        </w:rPr>
        <w:t>. Under the terms of the Company’s SERP, an executive’s Company account becomes fully vested on, among other events, the date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executive’s death or disability.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VALUE OF BENEFITS TO BE RECEIVED UPON CHANGE IN CONTROL</w:t>
      </w:r>
    </w:p>
    <w:p>
      <w:pPr>
        <w:spacing w:after="0" w:line="112"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following table shows the estimated value of payments and other benefits due the Named Executives assuming a change in control and termination as of December 31, 2017.</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420" w:type="dxa"/>
            <w:vAlign w:val="bottom"/>
            <w:shd w:val="clear" w:color="auto" w:fill="525252"/>
          </w:tcPr>
          <w:p>
            <w:pPr>
              <w:spacing w:after="0"/>
              <w:rPr>
                <w:sz w:val="23"/>
                <w:szCs w:val="23"/>
                <w:color w:val="auto"/>
              </w:rPr>
            </w:pPr>
          </w:p>
        </w:tc>
        <w:tc>
          <w:tcPr>
            <w:tcW w:w="360" w:type="dxa"/>
            <w:vAlign w:val="bottom"/>
            <w:shd w:val="clear" w:color="auto" w:fill="525252"/>
          </w:tcPr>
          <w:p>
            <w:pPr>
              <w:spacing w:after="0"/>
              <w:rPr>
                <w:sz w:val="23"/>
                <w:szCs w:val="23"/>
                <w:color w:val="auto"/>
              </w:rPr>
            </w:pPr>
          </w:p>
        </w:tc>
        <w:tc>
          <w:tcPr>
            <w:tcW w:w="1300" w:type="dxa"/>
            <w:vAlign w:val="bottom"/>
            <w:shd w:val="clear" w:color="auto" w:fill="525252"/>
          </w:tcPr>
          <w:p>
            <w:pPr>
              <w:jc w:val="right"/>
              <w:ind w:right="268"/>
              <w:spacing w:after="0"/>
              <w:rPr>
                <w:sz w:val="20"/>
                <w:szCs w:val="20"/>
                <w:color w:val="auto"/>
              </w:rPr>
            </w:pPr>
            <w:r>
              <w:rPr>
                <w:rFonts w:ascii="Arial" w:cs="Arial" w:eastAsia="Arial" w:hAnsi="Arial"/>
                <w:sz w:val="14"/>
                <w:szCs w:val="14"/>
                <w:b w:val="1"/>
                <w:bCs w:val="1"/>
                <w:color w:val="FFFFFF"/>
              </w:rPr>
              <w:t>Mr. Geveden</w:t>
            </w:r>
          </w:p>
        </w:tc>
        <w:tc>
          <w:tcPr>
            <w:tcW w:w="360" w:type="dxa"/>
            <w:vAlign w:val="bottom"/>
            <w:shd w:val="clear" w:color="auto" w:fill="525252"/>
          </w:tcPr>
          <w:p>
            <w:pPr>
              <w:spacing w:after="0"/>
              <w:rPr>
                <w:sz w:val="23"/>
                <w:szCs w:val="23"/>
                <w:color w:val="auto"/>
              </w:rPr>
            </w:pPr>
          </w:p>
        </w:tc>
        <w:tc>
          <w:tcPr>
            <w:tcW w:w="1260" w:type="dxa"/>
            <w:vAlign w:val="bottom"/>
            <w:shd w:val="clear" w:color="auto" w:fill="525252"/>
          </w:tcPr>
          <w:p>
            <w:pPr>
              <w:jc w:val="right"/>
              <w:ind w:right="368"/>
              <w:spacing w:after="0"/>
              <w:rPr>
                <w:sz w:val="20"/>
                <w:szCs w:val="20"/>
                <w:color w:val="auto"/>
              </w:rPr>
            </w:pPr>
            <w:r>
              <w:rPr>
                <w:rFonts w:ascii="Arial" w:cs="Arial" w:eastAsia="Arial" w:hAnsi="Arial"/>
                <w:sz w:val="14"/>
                <w:szCs w:val="14"/>
                <w:b w:val="1"/>
                <w:bCs w:val="1"/>
                <w:color w:val="FFFFFF"/>
              </w:rPr>
              <w:t>Mr. Black</w:t>
            </w:r>
          </w:p>
        </w:tc>
        <w:tc>
          <w:tcPr>
            <w:tcW w:w="380" w:type="dxa"/>
            <w:vAlign w:val="bottom"/>
            <w:shd w:val="clear" w:color="auto" w:fill="525252"/>
          </w:tcPr>
          <w:p>
            <w:pPr>
              <w:spacing w:after="0"/>
              <w:rPr>
                <w:sz w:val="23"/>
                <w:szCs w:val="23"/>
                <w:color w:val="auto"/>
              </w:rPr>
            </w:pPr>
          </w:p>
        </w:tc>
        <w:tc>
          <w:tcPr>
            <w:tcW w:w="1220" w:type="dxa"/>
            <w:vAlign w:val="bottom"/>
            <w:shd w:val="clear" w:color="auto" w:fill="525252"/>
          </w:tcPr>
          <w:p>
            <w:pPr>
              <w:jc w:val="right"/>
              <w:ind w:right="368"/>
              <w:spacing w:after="0"/>
              <w:rPr>
                <w:sz w:val="20"/>
                <w:szCs w:val="20"/>
                <w:color w:val="auto"/>
              </w:rPr>
            </w:pPr>
            <w:r>
              <w:rPr>
                <w:rFonts w:ascii="Arial" w:cs="Arial" w:eastAsia="Arial" w:hAnsi="Arial"/>
                <w:sz w:val="14"/>
                <w:szCs w:val="14"/>
                <w:b w:val="1"/>
                <w:bCs w:val="1"/>
                <w:color w:val="FFFFFF"/>
              </w:rPr>
              <w:t>Mr. Fees</w:t>
            </w:r>
          </w:p>
        </w:tc>
        <w:tc>
          <w:tcPr>
            <w:tcW w:w="300" w:type="dxa"/>
            <w:vAlign w:val="bottom"/>
            <w:shd w:val="clear" w:color="auto" w:fill="525252"/>
          </w:tcPr>
          <w:p>
            <w:pPr>
              <w:spacing w:after="0"/>
              <w:rPr>
                <w:sz w:val="23"/>
                <w:szCs w:val="23"/>
                <w:color w:val="auto"/>
              </w:rPr>
            </w:pPr>
          </w:p>
        </w:tc>
        <w:tc>
          <w:tcPr>
            <w:tcW w:w="1260" w:type="dxa"/>
            <w:vAlign w:val="bottom"/>
            <w:shd w:val="clear" w:color="auto" w:fill="525252"/>
          </w:tcPr>
          <w:p>
            <w:pPr>
              <w:jc w:val="right"/>
              <w:ind w:right="248"/>
              <w:spacing w:after="0"/>
              <w:rPr>
                <w:sz w:val="20"/>
                <w:szCs w:val="20"/>
                <w:color w:val="auto"/>
              </w:rPr>
            </w:pPr>
            <w:r>
              <w:rPr>
                <w:rFonts w:ascii="Arial" w:cs="Arial" w:eastAsia="Arial" w:hAnsi="Arial"/>
                <w:sz w:val="14"/>
                <w:szCs w:val="14"/>
                <w:b w:val="1"/>
                <w:bCs w:val="1"/>
                <w:color w:val="FFFFFF"/>
              </w:rPr>
              <w:t>Mr. Canafax</w:t>
            </w:r>
          </w:p>
        </w:tc>
        <w:tc>
          <w:tcPr>
            <w:tcW w:w="340" w:type="dxa"/>
            <w:vAlign w:val="bottom"/>
            <w:shd w:val="clear" w:color="auto" w:fill="525252"/>
          </w:tcPr>
          <w:p>
            <w:pPr>
              <w:spacing w:after="0"/>
              <w:rPr>
                <w:sz w:val="23"/>
                <w:szCs w:val="23"/>
                <w:color w:val="auto"/>
              </w:rPr>
            </w:pPr>
          </w:p>
        </w:tc>
        <w:tc>
          <w:tcPr>
            <w:tcW w:w="1220" w:type="dxa"/>
            <w:vAlign w:val="bottom"/>
            <w:shd w:val="clear" w:color="auto" w:fill="525252"/>
          </w:tcPr>
          <w:p>
            <w:pPr>
              <w:jc w:val="right"/>
              <w:ind w:right="308"/>
              <w:spacing w:after="0"/>
              <w:rPr>
                <w:sz w:val="20"/>
                <w:szCs w:val="20"/>
                <w:color w:val="auto"/>
              </w:rPr>
            </w:pPr>
            <w:r>
              <w:rPr>
                <w:rFonts w:ascii="Arial" w:cs="Arial" w:eastAsia="Arial" w:hAnsi="Arial"/>
                <w:sz w:val="14"/>
                <w:szCs w:val="14"/>
                <w:b w:val="1"/>
                <w:bCs w:val="1"/>
                <w:color w:val="FFFFFF"/>
              </w:rPr>
              <w:t>Mr. Henry</w:t>
            </w:r>
          </w:p>
        </w:tc>
        <w:tc>
          <w:tcPr>
            <w:tcW w:w="0" w:type="dxa"/>
            <w:vAlign w:val="bottom"/>
          </w:tcPr>
          <w:p>
            <w:pPr>
              <w:spacing w:after="0"/>
              <w:rPr>
                <w:sz w:val="1"/>
                <w:szCs w:val="1"/>
                <w:color w:val="auto"/>
              </w:rPr>
            </w:pPr>
          </w:p>
        </w:tc>
      </w:tr>
      <w:tr>
        <w:trPr>
          <w:trHeight w:val="264"/>
        </w:trPr>
        <w:tc>
          <w:tcPr>
            <w:tcW w:w="3420" w:type="dxa"/>
            <w:vAlign w:val="bottom"/>
          </w:tcPr>
          <w:p>
            <w:pPr>
              <w:ind w:left="40"/>
              <w:spacing w:after="0"/>
              <w:rPr>
                <w:sz w:val="20"/>
                <w:szCs w:val="20"/>
                <w:color w:val="auto"/>
              </w:rPr>
            </w:pPr>
            <w:r>
              <w:rPr>
                <w:rFonts w:ascii="Arial" w:cs="Arial" w:eastAsia="Arial" w:hAnsi="Arial"/>
                <w:sz w:val="14"/>
                <w:szCs w:val="14"/>
                <w:color w:val="auto"/>
              </w:rPr>
              <w:t>Severance Payments</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3,976,700</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1,440,000</w:t>
            </w:r>
          </w:p>
        </w:tc>
        <w:tc>
          <w:tcPr>
            <w:tcW w:w="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3,139,500</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1,632,000</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1,504,000</w:t>
            </w:r>
          </w:p>
        </w:tc>
        <w:tc>
          <w:tcPr>
            <w:tcW w:w="0" w:type="dxa"/>
            <w:vAlign w:val="bottom"/>
          </w:tcPr>
          <w:p>
            <w:pPr>
              <w:spacing w:after="0"/>
              <w:rPr>
                <w:sz w:val="1"/>
                <w:szCs w:val="1"/>
                <w:color w:val="auto"/>
              </w:rPr>
            </w:pPr>
          </w:p>
        </w:tc>
      </w:tr>
      <w:tr>
        <w:trPr>
          <w:trHeight w:val="276"/>
        </w:trPr>
        <w:tc>
          <w:tcPr>
            <w:tcW w:w="3420" w:type="dxa"/>
            <w:vAlign w:val="bottom"/>
            <w:shd w:val="clear" w:color="auto" w:fill="D8D8D8"/>
          </w:tcPr>
          <w:p>
            <w:pPr>
              <w:ind w:left="40"/>
              <w:spacing w:after="0"/>
              <w:rPr>
                <w:sz w:val="20"/>
                <w:szCs w:val="20"/>
                <w:color w:val="auto"/>
              </w:rPr>
            </w:pPr>
            <w:r>
              <w:rPr>
                <w:rFonts w:ascii="Arial" w:cs="Arial" w:eastAsia="Arial" w:hAnsi="Arial"/>
                <w:sz w:val="14"/>
                <w:szCs w:val="14"/>
                <w:color w:val="auto"/>
              </w:rPr>
              <w:t>EICP</w:t>
            </w:r>
          </w:p>
        </w:tc>
        <w:tc>
          <w:tcPr>
            <w:tcW w:w="360" w:type="dxa"/>
            <w:vAlign w:val="bottom"/>
            <w:shd w:val="clear" w:color="auto" w:fill="D8D8D8"/>
          </w:tcPr>
          <w:p>
            <w:pPr>
              <w:spacing w:after="0"/>
              <w:rPr>
                <w:sz w:val="24"/>
                <w:szCs w:val="24"/>
                <w:color w:val="auto"/>
              </w:rPr>
            </w:pPr>
          </w:p>
        </w:tc>
        <w:tc>
          <w:tcPr>
            <w:tcW w:w="1300" w:type="dxa"/>
            <w:vAlign w:val="bottom"/>
            <w:shd w:val="clear" w:color="auto" w:fill="D8D8D8"/>
          </w:tcPr>
          <w:p>
            <w:pPr>
              <w:jc w:val="right"/>
              <w:ind w:right="68"/>
              <w:spacing w:after="0"/>
              <w:rPr>
                <w:sz w:val="20"/>
                <w:szCs w:val="20"/>
                <w:color w:val="auto"/>
              </w:rPr>
            </w:pPr>
            <w:r>
              <w:rPr>
                <w:rFonts w:ascii="Arial" w:cs="Arial" w:eastAsia="Arial" w:hAnsi="Arial"/>
                <w:sz w:val="14"/>
                <w:szCs w:val="14"/>
                <w:color w:val="auto"/>
              </w:rPr>
              <w:t>630,000</w:t>
            </w:r>
          </w:p>
        </w:tc>
        <w:tc>
          <w:tcPr>
            <w:tcW w:w="360" w:type="dxa"/>
            <w:vAlign w:val="bottom"/>
            <w:shd w:val="clear" w:color="auto" w:fill="D8D8D8"/>
          </w:tcPr>
          <w:p>
            <w:pPr>
              <w:spacing w:after="0"/>
              <w:rPr>
                <w:sz w:val="24"/>
                <w:szCs w:val="24"/>
                <w:color w:val="auto"/>
              </w:rPr>
            </w:pPr>
          </w:p>
        </w:tc>
        <w:tc>
          <w:tcPr>
            <w:tcW w:w="1260" w:type="dxa"/>
            <w:vAlign w:val="bottom"/>
            <w:shd w:val="clear" w:color="auto" w:fill="D8D8D8"/>
          </w:tcPr>
          <w:p>
            <w:pPr>
              <w:jc w:val="right"/>
              <w:ind w:right="68"/>
              <w:spacing w:after="0"/>
              <w:rPr>
                <w:sz w:val="20"/>
                <w:szCs w:val="20"/>
                <w:color w:val="auto"/>
              </w:rPr>
            </w:pPr>
            <w:r>
              <w:rPr>
                <w:rFonts w:ascii="Arial" w:cs="Arial" w:eastAsia="Arial" w:hAnsi="Arial"/>
                <w:sz w:val="14"/>
                <w:szCs w:val="14"/>
                <w:color w:val="auto"/>
              </w:rPr>
              <w:t>270,000</w:t>
            </w:r>
          </w:p>
        </w:tc>
        <w:tc>
          <w:tcPr>
            <w:tcW w:w="380" w:type="dxa"/>
            <w:vAlign w:val="bottom"/>
            <w:shd w:val="clear" w:color="auto" w:fill="D8D8D8"/>
          </w:tcPr>
          <w:p>
            <w:pPr>
              <w:spacing w:after="0"/>
              <w:rPr>
                <w:sz w:val="24"/>
                <w:szCs w:val="24"/>
                <w:color w:val="auto"/>
              </w:rPr>
            </w:pPr>
          </w:p>
        </w:tc>
        <w:tc>
          <w:tcPr>
            <w:tcW w:w="122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450,000</w:t>
            </w:r>
          </w:p>
        </w:tc>
        <w:tc>
          <w:tcPr>
            <w:tcW w:w="300" w:type="dxa"/>
            <w:vAlign w:val="bottom"/>
            <w:shd w:val="clear" w:color="auto" w:fill="D8D8D8"/>
          </w:tcPr>
          <w:p>
            <w:pPr>
              <w:spacing w:after="0"/>
              <w:rPr>
                <w:sz w:val="24"/>
                <w:szCs w:val="24"/>
                <w:color w:val="auto"/>
              </w:rPr>
            </w:pPr>
          </w:p>
        </w:tc>
        <w:tc>
          <w:tcPr>
            <w:tcW w:w="126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306,000</w:t>
            </w:r>
          </w:p>
        </w:tc>
        <w:tc>
          <w:tcPr>
            <w:tcW w:w="340" w:type="dxa"/>
            <w:vAlign w:val="bottom"/>
            <w:shd w:val="clear" w:color="auto" w:fill="D8D8D8"/>
          </w:tcPr>
          <w:p>
            <w:pPr>
              <w:spacing w:after="0"/>
              <w:rPr>
                <w:sz w:val="24"/>
                <w:szCs w:val="24"/>
                <w:color w:val="auto"/>
              </w:rPr>
            </w:pPr>
          </w:p>
        </w:tc>
        <w:tc>
          <w:tcPr>
            <w:tcW w:w="122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282,000</w:t>
            </w:r>
          </w:p>
        </w:tc>
        <w:tc>
          <w:tcPr>
            <w:tcW w:w="0" w:type="dxa"/>
            <w:vAlign w:val="bottom"/>
          </w:tcPr>
          <w:p>
            <w:pPr>
              <w:spacing w:after="0"/>
              <w:rPr>
                <w:sz w:val="1"/>
                <w:szCs w:val="1"/>
                <w:color w:val="auto"/>
              </w:rPr>
            </w:pPr>
          </w:p>
        </w:tc>
      </w:tr>
      <w:tr>
        <w:trPr>
          <w:trHeight w:val="264"/>
        </w:trPr>
        <w:tc>
          <w:tcPr>
            <w:tcW w:w="3420" w:type="dxa"/>
            <w:vAlign w:val="bottom"/>
          </w:tcPr>
          <w:p>
            <w:pPr>
              <w:ind w:left="40"/>
              <w:spacing w:after="0"/>
              <w:rPr>
                <w:sz w:val="20"/>
                <w:szCs w:val="20"/>
                <w:color w:val="auto"/>
              </w:rPr>
            </w:pPr>
            <w:r>
              <w:rPr>
                <w:rFonts w:ascii="Arial" w:cs="Arial" w:eastAsia="Arial" w:hAnsi="Arial"/>
                <w:sz w:val="14"/>
                <w:szCs w:val="14"/>
                <w:color w:val="auto"/>
              </w:rPr>
              <w:t>Financial Planning</w:t>
            </w:r>
          </w:p>
        </w:tc>
        <w:tc>
          <w:tcPr>
            <w:tcW w:w="360" w:type="dxa"/>
            <w:vAlign w:val="bottom"/>
          </w:tcPr>
          <w:p>
            <w:pPr>
              <w:spacing w:after="0"/>
              <w:rPr>
                <w:sz w:val="22"/>
                <w:szCs w:val="22"/>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12,340</w:t>
            </w:r>
          </w:p>
        </w:tc>
        <w:tc>
          <w:tcPr>
            <w:tcW w:w="360" w:type="dxa"/>
            <w:vAlign w:val="bottom"/>
          </w:tcPr>
          <w:p>
            <w:pPr>
              <w:spacing w:after="0"/>
              <w:rPr>
                <w:sz w:val="22"/>
                <w:szCs w:val="22"/>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12,340</w:t>
            </w:r>
          </w:p>
        </w:tc>
        <w:tc>
          <w:tcPr>
            <w:tcW w:w="0" w:type="dxa"/>
            <w:vAlign w:val="bottom"/>
          </w:tcPr>
          <w:p>
            <w:pPr>
              <w:spacing w:after="0"/>
              <w:rPr>
                <w:sz w:val="1"/>
                <w:szCs w:val="1"/>
                <w:color w:val="auto"/>
              </w:rPr>
            </w:pPr>
          </w:p>
        </w:tc>
      </w:tr>
      <w:tr>
        <w:trPr>
          <w:trHeight w:val="276"/>
        </w:trPr>
        <w:tc>
          <w:tcPr>
            <w:tcW w:w="3420" w:type="dxa"/>
            <w:vAlign w:val="bottom"/>
            <w:shd w:val="clear" w:color="auto" w:fill="D8D8D8"/>
          </w:tcPr>
          <w:p>
            <w:pPr>
              <w:ind w:left="40"/>
              <w:spacing w:after="0"/>
              <w:rPr>
                <w:sz w:val="20"/>
                <w:szCs w:val="20"/>
                <w:color w:val="auto"/>
              </w:rPr>
            </w:pPr>
            <w:r>
              <w:rPr>
                <w:rFonts w:ascii="Arial" w:cs="Arial" w:eastAsia="Arial" w:hAnsi="Arial"/>
                <w:sz w:val="14"/>
                <w:szCs w:val="14"/>
                <w:color w:val="auto"/>
              </w:rPr>
              <w:t>Restoration Plan</w:t>
            </w:r>
          </w:p>
        </w:tc>
        <w:tc>
          <w:tcPr>
            <w:tcW w:w="360" w:type="dxa"/>
            <w:vAlign w:val="bottom"/>
            <w:shd w:val="clear" w:color="auto" w:fill="D8D8D8"/>
          </w:tcPr>
          <w:p>
            <w:pPr>
              <w:spacing w:after="0"/>
              <w:rPr>
                <w:sz w:val="24"/>
                <w:szCs w:val="24"/>
                <w:color w:val="auto"/>
              </w:rPr>
            </w:pPr>
          </w:p>
        </w:tc>
        <w:tc>
          <w:tcPr>
            <w:tcW w:w="1300" w:type="dxa"/>
            <w:vAlign w:val="bottom"/>
            <w:shd w:val="clear" w:color="auto" w:fill="D8D8D8"/>
          </w:tcPr>
          <w:p>
            <w:pPr>
              <w:jc w:val="right"/>
              <w:ind w:right="68"/>
              <w:spacing w:after="0"/>
              <w:rPr>
                <w:sz w:val="20"/>
                <w:szCs w:val="20"/>
                <w:color w:val="auto"/>
              </w:rPr>
            </w:pPr>
            <w:r>
              <w:rPr>
                <w:rFonts w:ascii="Arial" w:cs="Arial" w:eastAsia="Arial" w:hAnsi="Arial"/>
                <w:sz w:val="14"/>
                <w:szCs w:val="14"/>
                <w:color w:val="auto"/>
              </w:rPr>
              <w:t>44,707</w:t>
            </w:r>
          </w:p>
        </w:tc>
        <w:tc>
          <w:tcPr>
            <w:tcW w:w="360" w:type="dxa"/>
            <w:vAlign w:val="bottom"/>
            <w:shd w:val="clear" w:color="auto" w:fill="D8D8D8"/>
          </w:tcPr>
          <w:p>
            <w:pPr>
              <w:spacing w:after="0"/>
              <w:rPr>
                <w:sz w:val="24"/>
                <w:szCs w:val="24"/>
                <w:color w:val="auto"/>
              </w:rPr>
            </w:pPr>
          </w:p>
        </w:tc>
        <w:tc>
          <w:tcPr>
            <w:tcW w:w="1260" w:type="dxa"/>
            <w:vAlign w:val="bottom"/>
            <w:shd w:val="clear" w:color="auto" w:fill="D8D8D8"/>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shd w:val="clear" w:color="auto" w:fill="D8D8D8"/>
          </w:tcPr>
          <w:p>
            <w:pPr>
              <w:spacing w:after="0"/>
              <w:rPr>
                <w:sz w:val="24"/>
                <w:szCs w:val="24"/>
                <w:color w:val="auto"/>
              </w:rPr>
            </w:pPr>
          </w:p>
        </w:tc>
        <w:tc>
          <w:tcPr>
            <w:tcW w:w="122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D8D8D8"/>
          </w:tcPr>
          <w:p>
            <w:pPr>
              <w:spacing w:after="0"/>
              <w:rPr>
                <w:sz w:val="24"/>
                <w:szCs w:val="24"/>
                <w:color w:val="auto"/>
              </w:rPr>
            </w:pPr>
          </w:p>
        </w:tc>
        <w:tc>
          <w:tcPr>
            <w:tcW w:w="126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D8D8D8"/>
          </w:tcPr>
          <w:p>
            <w:pPr>
              <w:spacing w:after="0"/>
              <w:rPr>
                <w:sz w:val="24"/>
                <w:szCs w:val="24"/>
                <w:color w:val="auto"/>
              </w:rPr>
            </w:pPr>
          </w:p>
        </w:tc>
        <w:tc>
          <w:tcPr>
            <w:tcW w:w="122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420" w:type="dxa"/>
            <w:vAlign w:val="bottom"/>
          </w:tcPr>
          <w:p>
            <w:pPr>
              <w:ind w:left="40"/>
              <w:spacing w:after="0"/>
              <w:rPr>
                <w:sz w:val="20"/>
                <w:szCs w:val="20"/>
                <w:color w:val="auto"/>
              </w:rPr>
            </w:pPr>
            <w:r>
              <w:rPr>
                <w:rFonts w:ascii="Arial" w:cs="Arial" w:eastAsia="Arial" w:hAnsi="Arial"/>
                <w:sz w:val="14"/>
                <w:szCs w:val="14"/>
                <w:color w:val="auto"/>
              </w:rPr>
              <w:t>Benefit Payments</w:t>
            </w:r>
          </w:p>
        </w:tc>
        <w:tc>
          <w:tcPr>
            <w:tcW w:w="360" w:type="dxa"/>
            <w:vAlign w:val="bottom"/>
          </w:tcPr>
          <w:p>
            <w:pPr>
              <w:spacing w:after="0"/>
              <w:rPr>
                <w:sz w:val="22"/>
                <w:szCs w:val="22"/>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41,098</w:t>
            </w:r>
          </w:p>
        </w:tc>
        <w:tc>
          <w:tcPr>
            <w:tcW w:w="360" w:type="dxa"/>
            <w:vAlign w:val="bottom"/>
          </w:tcPr>
          <w:p>
            <w:pPr>
              <w:spacing w:after="0"/>
              <w:rPr>
                <w:sz w:val="22"/>
                <w:szCs w:val="22"/>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58,725</w:t>
            </w:r>
          </w:p>
        </w:tc>
        <w:tc>
          <w:tcPr>
            <w:tcW w:w="3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47,317</w:t>
            </w:r>
          </w:p>
        </w:tc>
        <w:tc>
          <w:tcPr>
            <w:tcW w:w="30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63,618</w:t>
            </w:r>
          </w:p>
        </w:tc>
        <w:tc>
          <w:tcPr>
            <w:tcW w:w="3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420" w:type="dxa"/>
            <w:vAlign w:val="bottom"/>
            <w:shd w:val="clear" w:color="auto" w:fill="D8D8D8"/>
          </w:tcPr>
          <w:p>
            <w:pPr>
              <w:ind w:left="40"/>
              <w:spacing w:after="0"/>
              <w:rPr>
                <w:sz w:val="20"/>
                <w:szCs w:val="20"/>
                <w:color w:val="auto"/>
              </w:rPr>
            </w:pPr>
            <w:r>
              <w:rPr>
                <w:rFonts w:ascii="Arial" w:cs="Arial" w:eastAsia="Arial" w:hAnsi="Arial"/>
                <w:sz w:val="14"/>
                <w:szCs w:val="14"/>
                <w:color w:val="auto"/>
              </w:rPr>
              <w:t>Stock Options (unvested and accelerated)</w:t>
            </w:r>
          </w:p>
        </w:tc>
        <w:tc>
          <w:tcPr>
            <w:tcW w:w="360" w:type="dxa"/>
            <w:vAlign w:val="bottom"/>
            <w:shd w:val="clear" w:color="auto" w:fill="D8D8D8"/>
          </w:tcPr>
          <w:p>
            <w:pPr>
              <w:spacing w:after="0"/>
              <w:rPr>
                <w:sz w:val="24"/>
                <w:szCs w:val="24"/>
                <w:color w:val="auto"/>
              </w:rPr>
            </w:pPr>
          </w:p>
        </w:tc>
        <w:tc>
          <w:tcPr>
            <w:tcW w:w="1300" w:type="dxa"/>
            <w:vAlign w:val="bottom"/>
            <w:shd w:val="clear" w:color="auto" w:fill="D8D8D8"/>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shd w:val="clear" w:color="auto" w:fill="D8D8D8"/>
          </w:tcPr>
          <w:p>
            <w:pPr>
              <w:spacing w:after="0"/>
              <w:rPr>
                <w:sz w:val="24"/>
                <w:szCs w:val="24"/>
                <w:color w:val="auto"/>
              </w:rPr>
            </w:pPr>
          </w:p>
        </w:tc>
        <w:tc>
          <w:tcPr>
            <w:tcW w:w="1260" w:type="dxa"/>
            <w:vAlign w:val="bottom"/>
            <w:shd w:val="clear" w:color="auto" w:fill="D8D8D8"/>
          </w:tcPr>
          <w:p>
            <w:pPr>
              <w:jc w:val="right"/>
              <w:ind w:right="68"/>
              <w:spacing w:after="0"/>
              <w:rPr>
                <w:sz w:val="20"/>
                <w:szCs w:val="20"/>
                <w:color w:val="auto"/>
              </w:rPr>
            </w:pPr>
            <w:r>
              <w:rPr>
                <w:rFonts w:ascii="Arial" w:cs="Arial" w:eastAsia="Arial" w:hAnsi="Arial"/>
                <w:sz w:val="14"/>
                <w:szCs w:val="14"/>
                <w:color w:val="auto"/>
              </w:rPr>
              <w:t>182,074</w:t>
            </w:r>
          </w:p>
        </w:tc>
        <w:tc>
          <w:tcPr>
            <w:tcW w:w="380" w:type="dxa"/>
            <w:vAlign w:val="bottom"/>
            <w:shd w:val="clear" w:color="auto" w:fill="D8D8D8"/>
          </w:tcPr>
          <w:p>
            <w:pPr>
              <w:spacing w:after="0"/>
              <w:rPr>
                <w:sz w:val="24"/>
                <w:szCs w:val="24"/>
                <w:color w:val="auto"/>
              </w:rPr>
            </w:pPr>
          </w:p>
        </w:tc>
        <w:tc>
          <w:tcPr>
            <w:tcW w:w="1220" w:type="dxa"/>
            <w:vAlign w:val="bottom"/>
            <w:shd w:val="clear" w:color="auto" w:fill="D8D8D8"/>
          </w:tcPr>
          <w:p>
            <w:pPr>
              <w:spacing w:after="0"/>
              <w:rPr>
                <w:sz w:val="24"/>
                <w:szCs w:val="24"/>
                <w:color w:val="auto"/>
              </w:rPr>
            </w:pPr>
          </w:p>
        </w:tc>
        <w:tc>
          <w:tcPr>
            <w:tcW w:w="300" w:type="dxa"/>
            <w:vAlign w:val="bottom"/>
            <w:shd w:val="clear" w:color="auto" w:fill="D8D8D8"/>
          </w:tcPr>
          <w:p>
            <w:pPr>
              <w:spacing w:after="0"/>
              <w:rPr>
                <w:sz w:val="24"/>
                <w:szCs w:val="24"/>
                <w:color w:val="auto"/>
              </w:rPr>
            </w:pPr>
          </w:p>
        </w:tc>
        <w:tc>
          <w:tcPr>
            <w:tcW w:w="126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764,168</w:t>
            </w:r>
          </w:p>
        </w:tc>
        <w:tc>
          <w:tcPr>
            <w:tcW w:w="340" w:type="dxa"/>
            <w:vAlign w:val="bottom"/>
            <w:shd w:val="clear" w:color="auto" w:fill="D8D8D8"/>
          </w:tcPr>
          <w:p>
            <w:pPr>
              <w:spacing w:after="0"/>
              <w:rPr>
                <w:sz w:val="24"/>
                <w:szCs w:val="24"/>
                <w:color w:val="auto"/>
              </w:rPr>
            </w:pPr>
          </w:p>
        </w:tc>
        <w:tc>
          <w:tcPr>
            <w:tcW w:w="122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382,047</w:t>
            </w:r>
          </w:p>
        </w:tc>
        <w:tc>
          <w:tcPr>
            <w:tcW w:w="0" w:type="dxa"/>
            <w:vAlign w:val="bottom"/>
          </w:tcPr>
          <w:p>
            <w:pPr>
              <w:spacing w:after="0"/>
              <w:rPr>
                <w:sz w:val="1"/>
                <w:szCs w:val="1"/>
                <w:color w:val="auto"/>
              </w:rPr>
            </w:pPr>
          </w:p>
        </w:tc>
      </w:tr>
      <w:tr>
        <w:trPr>
          <w:trHeight w:val="204"/>
        </w:trPr>
        <w:tc>
          <w:tcPr>
            <w:tcW w:w="3420" w:type="dxa"/>
            <w:vAlign w:val="bottom"/>
          </w:tcPr>
          <w:p>
            <w:pPr>
              <w:ind w:left="40"/>
              <w:spacing w:after="0"/>
              <w:rPr>
                <w:sz w:val="20"/>
                <w:szCs w:val="20"/>
                <w:color w:val="auto"/>
              </w:rPr>
            </w:pPr>
            <w:r>
              <w:rPr>
                <w:rFonts w:ascii="Arial" w:cs="Arial" w:eastAsia="Arial" w:hAnsi="Arial"/>
                <w:sz w:val="14"/>
                <w:szCs w:val="14"/>
                <w:color w:val="auto"/>
              </w:rPr>
              <w:t>Restricted Stock Units (unvested and accelerated)</w:t>
            </w:r>
          </w:p>
        </w:tc>
        <w:tc>
          <w:tcPr>
            <w:tcW w:w="360" w:type="dxa"/>
            <w:vAlign w:val="bottom"/>
          </w:tcPr>
          <w:p>
            <w:pPr>
              <w:spacing w:after="0"/>
              <w:rPr>
                <w:sz w:val="17"/>
                <w:szCs w:val="17"/>
                <w:color w:val="auto"/>
              </w:rPr>
            </w:pPr>
          </w:p>
        </w:tc>
        <w:tc>
          <w:tcPr>
            <w:tcW w:w="1300" w:type="dxa"/>
            <w:vAlign w:val="bottom"/>
            <w:vMerge w:val="restart"/>
          </w:tcPr>
          <w:p>
            <w:pPr>
              <w:jc w:val="right"/>
              <w:ind w:right="68"/>
              <w:spacing w:after="0"/>
              <w:rPr>
                <w:sz w:val="20"/>
                <w:szCs w:val="20"/>
                <w:color w:val="auto"/>
              </w:rPr>
            </w:pPr>
            <w:r>
              <w:rPr>
                <w:rFonts w:ascii="Arial" w:cs="Arial" w:eastAsia="Arial" w:hAnsi="Arial"/>
                <w:sz w:val="14"/>
                <w:szCs w:val="14"/>
                <w:color w:val="auto"/>
              </w:rPr>
              <w:t>2,348,948</w:t>
            </w:r>
          </w:p>
        </w:tc>
        <w:tc>
          <w:tcPr>
            <w:tcW w:w="360" w:type="dxa"/>
            <w:vAlign w:val="bottom"/>
          </w:tcPr>
          <w:p>
            <w:pPr>
              <w:spacing w:after="0"/>
              <w:rPr>
                <w:sz w:val="17"/>
                <w:szCs w:val="17"/>
                <w:color w:val="auto"/>
              </w:rPr>
            </w:pPr>
          </w:p>
        </w:tc>
        <w:tc>
          <w:tcPr>
            <w:tcW w:w="1260" w:type="dxa"/>
            <w:vAlign w:val="bottom"/>
            <w:vMerge w:val="restart"/>
          </w:tcPr>
          <w:p>
            <w:pPr>
              <w:jc w:val="right"/>
              <w:ind w:right="68"/>
              <w:spacing w:after="0"/>
              <w:rPr>
                <w:sz w:val="20"/>
                <w:szCs w:val="20"/>
                <w:color w:val="auto"/>
              </w:rPr>
            </w:pPr>
            <w:r>
              <w:rPr>
                <w:rFonts w:ascii="Arial" w:cs="Arial" w:eastAsia="Arial" w:hAnsi="Arial"/>
                <w:sz w:val="14"/>
                <w:szCs w:val="14"/>
                <w:color w:val="auto"/>
              </w:rPr>
              <w:t>1,175,805</w:t>
            </w:r>
          </w:p>
        </w:tc>
        <w:tc>
          <w:tcPr>
            <w:tcW w:w="380" w:type="dxa"/>
            <w:vAlign w:val="bottom"/>
          </w:tcPr>
          <w:p>
            <w:pPr>
              <w:spacing w:after="0"/>
              <w:rPr>
                <w:sz w:val="17"/>
                <w:szCs w:val="17"/>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1,272,649</w:t>
            </w:r>
          </w:p>
        </w:tc>
        <w:tc>
          <w:tcPr>
            <w:tcW w:w="300" w:type="dxa"/>
            <w:vAlign w:val="bottom"/>
          </w:tcPr>
          <w:p>
            <w:pPr>
              <w:spacing w:after="0"/>
              <w:rPr>
                <w:sz w:val="17"/>
                <w:szCs w:val="17"/>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1,766,731</w:t>
            </w:r>
          </w:p>
        </w:tc>
        <w:tc>
          <w:tcPr>
            <w:tcW w:w="340" w:type="dxa"/>
            <w:vAlign w:val="bottom"/>
          </w:tcPr>
          <w:p>
            <w:pPr>
              <w:spacing w:after="0"/>
              <w:rPr>
                <w:sz w:val="17"/>
                <w:szCs w:val="17"/>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982,116</w:t>
            </w:r>
          </w:p>
        </w:tc>
        <w:tc>
          <w:tcPr>
            <w:tcW w:w="0" w:type="dxa"/>
            <w:vAlign w:val="bottom"/>
          </w:tcPr>
          <w:p>
            <w:pPr>
              <w:spacing w:after="0"/>
              <w:rPr>
                <w:sz w:val="1"/>
                <w:szCs w:val="1"/>
                <w:color w:val="auto"/>
              </w:rPr>
            </w:pPr>
          </w:p>
        </w:tc>
      </w:tr>
      <w:tr>
        <w:trPr>
          <w:trHeight w:val="60"/>
        </w:trPr>
        <w:tc>
          <w:tcPr>
            <w:tcW w:w="3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3420" w:type="dxa"/>
            <w:vAlign w:val="bottom"/>
            <w:shd w:val="clear" w:color="auto" w:fill="E2E2E2"/>
          </w:tcPr>
          <w:p>
            <w:pPr>
              <w:ind w:left="40"/>
              <w:spacing w:after="0"/>
              <w:rPr>
                <w:sz w:val="20"/>
                <w:szCs w:val="20"/>
                <w:color w:val="auto"/>
              </w:rPr>
            </w:pPr>
            <w:r>
              <w:rPr>
                <w:rFonts w:ascii="Arial" w:cs="Arial" w:eastAsia="Arial" w:hAnsi="Arial"/>
                <w:sz w:val="14"/>
                <w:szCs w:val="14"/>
                <w:color w:val="auto"/>
              </w:rPr>
              <w:t>Performance Restricted Stock Units (unvested and</w:t>
            </w:r>
          </w:p>
        </w:tc>
        <w:tc>
          <w:tcPr>
            <w:tcW w:w="360" w:type="dxa"/>
            <w:vAlign w:val="bottom"/>
            <w:shd w:val="clear" w:color="auto" w:fill="E2E2E2"/>
          </w:tcPr>
          <w:p>
            <w:pPr>
              <w:spacing w:after="0"/>
              <w:rPr>
                <w:sz w:val="17"/>
                <w:szCs w:val="17"/>
                <w:color w:val="auto"/>
              </w:rPr>
            </w:pPr>
          </w:p>
        </w:tc>
        <w:tc>
          <w:tcPr>
            <w:tcW w:w="1300" w:type="dxa"/>
            <w:vAlign w:val="bottom"/>
            <w:shd w:val="clear" w:color="auto" w:fill="E2E2E2"/>
          </w:tcPr>
          <w:p>
            <w:pPr>
              <w:spacing w:after="0"/>
              <w:rPr>
                <w:sz w:val="17"/>
                <w:szCs w:val="17"/>
                <w:color w:val="auto"/>
              </w:rPr>
            </w:pPr>
          </w:p>
        </w:tc>
        <w:tc>
          <w:tcPr>
            <w:tcW w:w="360" w:type="dxa"/>
            <w:vAlign w:val="bottom"/>
            <w:shd w:val="clear" w:color="auto" w:fill="E2E2E2"/>
          </w:tcPr>
          <w:p>
            <w:pPr>
              <w:spacing w:after="0"/>
              <w:rPr>
                <w:sz w:val="17"/>
                <w:szCs w:val="17"/>
                <w:color w:val="auto"/>
              </w:rPr>
            </w:pPr>
          </w:p>
        </w:tc>
        <w:tc>
          <w:tcPr>
            <w:tcW w:w="1260" w:type="dxa"/>
            <w:vAlign w:val="bottom"/>
            <w:shd w:val="clear" w:color="auto" w:fill="E2E2E2"/>
          </w:tcPr>
          <w:p>
            <w:pPr>
              <w:spacing w:after="0"/>
              <w:rPr>
                <w:sz w:val="17"/>
                <w:szCs w:val="17"/>
                <w:color w:val="auto"/>
              </w:rPr>
            </w:pPr>
          </w:p>
        </w:tc>
        <w:tc>
          <w:tcPr>
            <w:tcW w:w="380" w:type="dxa"/>
            <w:vAlign w:val="bottom"/>
            <w:shd w:val="clear" w:color="auto" w:fill="E2E2E2"/>
          </w:tcPr>
          <w:p>
            <w:pPr>
              <w:spacing w:after="0"/>
              <w:rPr>
                <w:sz w:val="17"/>
                <w:szCs w:val="17"/>
                <w:color w:val="auto"/>
              </w:rPr>
            </w:pPr>
          </w:p>
        </w:tc>
        <w:tc>
          <w:tcPr>
            <w:tcW w:w="1220" w:type="dxa"/>
            <w:vAlign w:val="bottom"/>
            <w:shd w:val="clear" w:color="auto" w:fill="E2E2E2"/>
          </w:tcPr>
          <w:p>
            <w:pPr>
              <w:spacing w:after="0"/>
              <w:rPr>
                <w:sz w:val="17"/>
                <w:szCs w:val="17"/>
                <w:color w:val="auto"/>
              </w:rPr>
            </w:pPr>
          </w:p>
        </w:tc>
        <w:tc>
          <w:tcPr>
            <w:tcW w:w="300" w:type="dxa"/>
            <w:vAlign w:val="bottom"/>
            <w:shd w:val="clear" w:color="auto" w:fill="E2E2E2"/>
          </w:tcPr>
          <w:p>
            <w:pPr>
              <w:spacing w:after="0"/>
              <w:rPr>
                <w:sz w:val="17"/>
                <w:szCs w:val="17"/>
                <w:color w:val="auto"/>
              </w:rPr>
            </w:pPr>
          </w:p>
        </w:tc>
        <w:tc>
          <w:tcPr>
            <w:tcW w:w="1260" w:type="dxa"/>
            <w:vAlign w:val="bottom"/>
            <w:shd w:val="clear" w:color="auto" w:fill="E2E2E2"/>
          </w:tcPr>
          <w:p>
            <w:pPr>
              <w:spacing w:after="0"/>
              <w:rPr>
                <w:sz w:val="17"/>
                <w:szCs w:val="17"/>
                <w:color w:val="auto"/>
              </w:rPr>
            </w:pPr>
          </w:p>
        </w:tc>
        <w:tc>
          <w:tcPr>
            <w:tcW w:w="340" w:type="dxa"/>
            <w:vAlign w:val="bottom"/>
            <w:shd w:val="clear" w:color="auto" w:fill="E2E2E2"/>
          </w:tcPr>
          <w:p>
            <w:pPr>
              <w:spacing w:after="0"/>
              <w:rPr>
                <w:sz w:val="17"/>
                <w:szCs w:val="17"/>
                <w:color w:val="auto"/>
              </w:rPr>
            </w:pPr>
          </w:p>
        </w:tc>
        <w:tc>
          <w:tcPr>
            <w:tcW w:w="1220" w:type="dxa"/>
            <w:vAlign w:val="bottom"/>
            <w:shd w:val="clear" w:color="auto" w:fill="E2E2E2"/>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420" w:type="dxa"/>
            <w:vAlign w:val="bottom"/>
            <w:tcBorders>
              <w:bottom w:val="single" w:sz="8" w:color="auto"/>
            </w:tcBorders>
            <w:shd w:val="clear" w:color="auto" w:fill="E2E2E2"/>
          </w:tcPr>
          <w:p>
            <w:pPr>
              <w:ind w:left="40"/>
              <w:spacing w:after="0"/>
              <w:rPr>
                <w:sz w:val="20"/>
                <w:szCs w:val="20"/>
                <w:color w:val="auto"/>
              </w:rPr>
            </w:pPr>
            <w:r>
              <w:rPr>
                <w:rFonts w:ascii="Arial" w:cs="Arial" w:eastAsia="Arial" w:hAnsi="Arial"/>
                <w:sz w:val="14"/>
                <w:szCs w:val="14"/>
                <w:color w:val="auto"/>
              </w:rPr>
              <w:t>accelerated)</w:t>
            </w:r>
          </w:p>
        </w:tc>
        <w:tc>
          <w:tcPr>
            <w:tcW w:w="360" w:type="dxa"/>
            <w:vAlign w:val="bottom"/>
            <w:tcBorders>
              <w:bottom w:val="single" w:sz="8" w:color="auto"/>
            </w:tcBorders>
            <w:shd w:val="clear" w:color="auto" w:fill="E2E2E2"/>
          </w:tcPr>
          <w:p>
            <w:pPr>
              <w:spacing w:after="0"/>
              <w:rPr>
                <w:sz w:val="15"/>
                <w:szCs w:val="15"/>
                <w:color w:val="auto"/>
              </w:rPr>
            </w:pPr>
          </w:p>
        </w:tc>
        <w:tc>
          <w:tcPr>
            <w:tcW w:w="1300" w:type="dxa"/>
            <w:vAlign w:val="bottom"/>
            <w:tcBorders>
              <w:bottom w:val="single" w:sz="8" w:color="auto"/>
            </w:tcBorders>
            <w:shd w:val="clear" w:color="auto" w:fill="E2E2E2"/>
          </w:tcPr>
          <w:p>
            <w:pPr>
              <w:jc w:val="right"/>
              <w:ind w:right="68"/>
              <w:spacing w:after="0"/>
              <w:rPr>
                <w:sz w:val="20"/>
                <w:szCs w:val="20"/>
                <w:color w:val="auto"/>
              </w:rPr>
            </w:pPr>
            <w:r>
              <w:rPr>
                <w:rFonts w:ascii="Arial" w:cs="Arial" w:eastAsia="Arial" w:hAnsi="Arial"/>
                <w:sz w:val="14"/>
                <w:szCs w:val="14"/>
                <w:color w:val="auto"/>
              </w:rPr>
              <w:t>3,267,307</w:t>
            </w:r>
          </w:p>
        </w:tc>
        <w:tc>
          <w:tcPr>
            <w:tcW w:w="360" w:type="dxa"/>
            <w:vAlign w:val="bottom"/>
            <w:tcBorders>
              <w:bottom w:val="single" w:sz="8" w:color="auto"/>
            </w:tcBorders>
            <w:shd w:val="clear" w:color="auto" w:fill="E2E2E2"/>
          </w:tcPr>
          <w:p>
            <w:pPr>
              <w:spacing w:after="0"/>
              <w:rPr>
                <w:sz w:val="15"/>
                <w:szCs w:val="15"/>
                <w:color w:val="auto"/>
              </w:rPr>
            </w:pPr>
          </w:p>
        </w:tc>
        <w:tc>
          <w:tcPr>
            <w:tcW w:w="1260" w:type="dxa"/>
            <w:vAlign w:val="bottom"/>
            <w:tcBorders>
              <w:bottom w:val="single" w:sz="8" w:color="auto"/>
            </w:tcBorders>
            <w:shd w:val="clear" w:color="auto" w:fill="E2E2E2"/>
          </w:tcPr>
          <w:p>
            <w:pPr>
              <w:jc w:val="right"/>
              <w:ind w:right="68"/>
              <w:spacing w:after="0"/>
              <w:rPr>
                <w:sz w:val="20"/>
                <w:szCs w:val="20"/>
                <w:color w:val="auto"/>
              </w:rPr>
            </w:pPr>
            <w:r>
              <w:rPr>
                <w:rFonts w:ascii="Arial" w:cs="Arial" w:eastAsia="Arial" w:hAnsi="Arial"/>
                <w:sz w:val="14"/>
                <w:szCs w:val="14"/>
                <w:color w:val="auto"/>
              </w:rPr>
              <w:t>1,121,787</w:t>
            </w:r>
          </w:p>
        </w:tc>
        <w:tc>
          <w:tcPr>
            <w:tcW w:w="380" w:type="dxa"/>
            <w:vAlign w:val="bottom"/>
            <w:tcBorders>
              <w:bottom w:val="single" w:sz="8" w:color="auto"/>
            </w:tcBorders>
            <w:shd w:val="clear" w:color="auto" w:fill="E2E2E2"/>
          </w:tcPr>
          <w:p>
            <w:pPr>
              <w:spacing w:after="0"/>
              <w:rPr>
                <w:sz w:val="15"/>
                <w:szCs w:val="15"/>
                <w:color w:val="auto"/>
              </w:rPr>
            </w:pPr>
          </w:p>
        </w:tc>
        <w:tc>
          <w:tcPr>
            <w:tcW w:w="1220" w:type="dxa"/>
            <w:vAlign w:val="bottom"/>
            <w:tcBorders>
              <w:bottom w:val="single" w:sz="8" w:color="auto"/>
            </w:tcBorders>
            <w:shd w:val="clear" w:color="auto" w:fill="E2E2E2"/>
          </w:tcPr>
          <w:p>
            <w:pPr>
              <w:jc w:val="right"/>
              <w:ind w:right="48"/>
              <w:spacing w:after="0"/>
              <w:rPr>
                <w:sz w:val="20"/>
                <w:szCs w:val="20"/>
                <w:color w:val="auto"/>
              </w:rPr>
            </w:pPr>
            <w:r>
              <w:rPr>
                <w:rFonts w:ascii="Arial" w:cs="Arial" w:eastAsia="Arial" w:hAnsi="Arial"/>
                <w:sz w:val="14"/>
                <w:szCs w:val="14"/>
                <w:color w:val="auto"/>
              </w:rPr>
              <w:t>2,247,445</w:t>
            </w:r>
          </w:p>
        </w:tc>
        <w:tc>
          <w:tcPr>
            <w:tcW w:w="300" w:type="dxa"/>
            <w:vAlign w:val="bottom"/>
            <w:tcBorders>
              <w:bottom w:val="single" w:sz="8" w:color="auto"/>
            </w:tcBorders>
            <w:shd w:val="clear" w:color="auto" w:fill="E2E2E2"/>
          </w:tcPr>
          <w:p>
            <w:pPr>
              <w:spacing w:after="0"/>
              <w:rPr>
                <w:sz w:val="15"/>
                <w:szCs w:val="15"/>
                <w:color w:val="auto"/>
              </w:rPr>
            </w:pPr>
          </w:p>
        </w:tc>
        <w:tc>
          <w:tcPr>
            <w:tcW w:w="1260" w:type="dxa"/>
            <w:vAlign w:val="bottom"/>
            <w:tcBorders>
              <w:bottom w:val="single" w:sz="8" w:color="auto"/>
            </w:tcBorders>
            <w:shd w:val="clear" w:color="auto" w:fill="E2E2E2"/>
          </w:tcPr>
          <w:p>
            <w:pPr>
              <w:jc w:val="right"/>
              <w:ind w:right="48"/>
              <w:spacing w:after="0"/>
              <w:rPr>
                <w:sz w:val="20"/>
                <w:szCs w:val="20"/>
                <w:color w:val="auto"/>
              </w:rPr>
            </w:pPr>
            <w:r>
              <w:rPr>
                <w:rFonts w:ascii="Arial" w:cs="Arial" w:eastAsia="Arial" w:hAnsi="Arial"/>
                <w:sz w:val="14"/>
                <w:szCs w:val="14"/>
                <w:color w:val="auto"/>
              </w:rPr>
              <w:t>1,525,316</w:t>
            </w:r>
          </w:p>
        </w:tc>
        <w:tc>
          <w:tcPr>
            <w:tcW w:w="340" w:type="dxa"/>
            <w:vAlign w:val="bottom"/>
            <w:tcBorders>
              <w:bottom w:val="single" w:sz="8" w:color="auto"/>
            </w:tcBorders>
            <w:shd w:val="clear" w:color="auto" w:fill="E2E2E2"/>
          </w:tcPr>
          <w:p>
            <w:pPr>
              <w:spacing w:after="0"/>
              <w:rPr>
                <w:sz w:val="15"/>
                <w:szCs w:val="15"/>
                <w:color w:val="auto"/>
              </w:rPr>
            </w:pPr>
          </w:p>
        </w:tc>
        <w:tc>
          <w:tcPr>
            <w:tcW w:w="1220" w:type="dxa"/>
            <w:vAlign w:val="bottom"/>
            <w:tcBorders>
              <w:bottom w:val="single" w:sz="8" w:color="auto"/>
            </w:tcBorders>
            <w:shd w:val="clear" w:color="auto" w:fill="E2E2E2"/>
          </w:tcPr>
          <w:p>
            <w:pPr>
              <w:jc w:val="right"/>
              <w:ind w:right="28"/>
              <w:spacing w:after="0"/>
              <w:rPr>
                <w:sz w:val="20"/>
                <w:szCs w:val="20"/>
                <w:color w:val="auto"/>
              </w:rPr>
            </w:pPr>
            <w:r>
              <w:rPr>
                <w:rFonts w:ascii="Arial" w:cs="Arial" w:eastAsia="Arial" w:hAnsi="Arial"/>
                <w:sz w:val="14"/>
                <w:szCs w:val="14"/>
                <w:color w:val="auto"/>
              </w:rPr>
              <w:t>925,437</w:t>
            </w:r>
          </w:p>
        </w:tc>
        <w:tc>
          <w:tcPr>
            <w:tcW w:w="0" w:type="dxa"/>
            <w:vAlign w:val="bottom"/>
          </w:tcPr>
          <w:p>
            <w:pPr>
              <w:spacing w:after="0"/>
              <w:rPr>
                <w:sz w:val="1"/>
                <w:szCs w:val="1"/>
                <w:color w:val="auto"/>
              </w:rPr>
            </w:pPr>
          </w:p>
        </w:tc>
      </w:tr>
      <w:tr>
        <w:trPr>
          <w:trHeight w:val="264"/>
        </w:trPr>
        <w:tc>
          <w:tcPr>
            <w:tcW w:w="3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10,321,100</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4,248,391</w:t>
            </w:r>
          </w:p>
        </w:tc>
        <w:tc>
          <w:tcPr>
            <w:tcW w:w="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7,156,911</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6,057,833</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4,087,940</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Company has change-in-control agreements with various officers. Generally, under the Company’s change-in-control agreements, if a Named Executive is terminated within 30 months following a change in control either (1) by the Company for any reason other than cause or death or disability; or (2) by the Named Executive for good reason, the Named Executive is entitled to receive:</w:t>
      </w:r>
    </w:p>
    <w:p>
      <w:pPr>
        <w:spacing w:after="0" w:line="94" w:lineRule="exact"/>
        <w:rPr>
          <w:sz w:val="20"/>
          <w:szCs w:val="20"/>
          <w:color w:val="auto"/>
        </w:rPr>
      </w:pPr>
    </w:p>
    <w:p>
      <w:pPr>
        <w:ind w:left="380" w:hanging="318"/>
        <w:spacing w:after="0"/>
        <w:tabs>
          <w:tab w:leader="none" w:pos="3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accelerated vesting in the executive’s SERP and Restoration Plan account;</w:t>
      </w:r>
    </w:p>
    <w:p>
      <w:pPr>
        <w:spacing w:after="0" w:line="117" w:lineRule="exact"/>
        <w:rPr>
          <w:rFonts w:ascii="Arial" w:cs="Arial" w:eastAsia="Arial" w:hAnsi="Arial"/>
          <w:sz w:val="18"/>
          <w:szCs w:val="18"/>
          <w:color w:val="auto"/>
        </w:rPr>
      </w:pPr>
    </w:p>
    <w:p>
      <w:pPr>
        <w:ind w:left="380" w:hanging="318"/>
        <w:spacing w:after="0"/>
        <w:tabs>
          <w:tab w:leader="none" w:pos="3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accelerated vesting in any outstanding equity awards;</w:t>
      </w:r>
    </w:p>
    <w:p>
      <w:pPr>
        <w:spacing w:after="0" w:line="117" w:lineRule="exact"/>
        <w:rPr>
          <w:rFonts w:ascii="Arial" w:cs="Arial" w:eastAsia="Arial" w:hAnsi="Arial"/>
          <w:sz w:val="18"/>
          <w:szCs w:val="18"/>
          <w:color w:val="auto"/>
        </w:rPr>
      </w:pPr>
    </w:p>
    <w:p>
      <w:pPr>
        <w:ind w:left="380" w:hanging="318"/>
        <w:spacing w:after="0"/>
        <w:tabs>
          <w:tab w:leader="none" w:pos="3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cash severance payment;</w:t>
      </w:r>
    </w:p>
    <w:p>
      <w:pPr>
        <w:spacing w:after="0" w:line="117" w:lineRule="exact"/>
        <w:rPr>
          <w:rFonts w:ascii="Arial" w:cs="Arial" w:eastAsia="Arial" w:hAnsi="Arial"/>
          <w:sz w:val="18"/>
          <w:szCs w:val="18"/>
          <w:color w:val="auto"/>
        </w:rPr>
      </w:pPr>
    </w:p>
    <w:p>
      <w:pPr>
        <w:ind w:left="380" w:hanging="318"/>
        <w:spacing w:after="0"/>
        <w:tabs>
          <w:tab w:leader="none" w:pos="3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prorated target EICP payment;</w:t>
      </w:r>
    </w:p>
    <w:p>
      <w:pPr>
        <w:spacing w:after="0" w:line="117" w:lineRule="exact"/>
        <w:rPr>
          <w:rFonts w:ascii="Arial" w:cs="Arial" w:eastAsia="Arial" w:hAnsi="Arial"/>
          <w:sz w:val="18"/>
          <w:szCs w:val="18"/>
          <w:color w:val="auto"/>
        </w:rPr>
      </w:pPr>
    </w:p>
    <w:p>
      <w:pPr>
        <w:ind w:left="380" w:hanging="318"/>
        <w:spacing w:after="0"/>
        <w:tabs>
          <w:tab w:leader="none" w:pos="3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payment of the prior year’s EICP payment, if unpaid at termination; and</w:t>
      </w:r>
    </w:p>
    <w:p>
      <w:pPr>
        <w:spacing w:after="0" w:line="117" w:lineRule="exact"/>
        <w:rPr>
          <w:rFonts w:ascii="Arial" w:cs="Arial" w:eastAsia="Arial" w:hAnsi="Arial"/>
          <w:sz w:val="18"/>
          <w:szCs w:val="18"/>
          <w:color w:val="auto"/>
        </w:rPr>
      </w:pPr>
    </w:p>
    <w:p>
      <w:pPr>
        <w:ind w:left="380" w:hanging="318"/>
        <w:spacing w:after="0"/>
        <w:tabs>
          <w:tab w:leader="none" w:pos="3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cash payment for health benefits coverage.</w:t>
      </w:r>
    </w:p>
    <w:p>
      <w:pPr>
        <w:spacing w:after="0" w:line="9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addition to these payments, the Named Executive would be entitled to various accrued benefits earned through the date of termination, such as earned but unpaid salary and earned but unused vacation and reimbursements.</w:t>
      </w:r>
    </w:p>
    <w:p>
      <w:pPr>
        <w:spacing w:after="0" w:line="61"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Under the Company’s change-in-control agreements, a “change in control” will be deemed to have occurred on the occurrence of any of the following:</w:t>
      </w:r>
    </w:p>
    <w:p>
      <w:pPr>
        <w:spacing w:after="0" w:line="88" w:lineRule="exact"/>
        <w:rPr>
          <w:sz w:val="20"/>
          <w:szCs w:val="20"/>
          <w:color w:val="auto"/>
        </w:rPr>
      </w:pPr>
    </w:p>
    <w:p>
      <w:pPr>
        <w:ind w:left="380" w:right="120" w:hanging="318"/>
        <w:spacing w:after="0" w:line="253" w:lineRule="auto"/>
        <w:tabs>
          <w:tab w:leader="none" w:pos="3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person, other than an ERISA-regulated pension plan established by the Company or its affiliates makes an acquisition of outstanding voting stock and is, immediately thereafter, the beneficial owner of 30% or more of the then outstanding voting stock, unless such acquisition is made directly from the Company in a transaction approved by a majority of the incumbent directors; or any group is formed that is the beneficial owner of 30% or more of the outstanding voting stock (other than a group formation for the purpose of making an acquisition directly from the Company and approved (prior to such group formation) by a majority of the incumbent directors);</w:t>
      </w:r>
    </w:p>
    <w:p>
      <w:pPr>
        <w:spacing w:after="0" w:line="97" w:lineRule="exact"/>
        <w:rPr>
          <w:rFonts w:ascii="Arial" w:cs="Arial" w:eastAsia="Arial" w:hAnsi="Arial"/>
          <w:sz w:val="18"/>
          <w:szCs w:val="18"/>
          <w:color w:val="auto"/>
        </w:rPr>
      </w:pPr>
    </w:p>
    <w:p>
      <w:pPr>
        <w:ind w:left="380" w:hanging="318"/>
        <w:spacing w:after="0"/>
        <w:tabs>
          <w:tab w:leader="none" w:pos="3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individuals who are incumbent directors cease for any reason to constitute a majority of the members of the board of directors;</w:t>
      </w:r>
    </w:p>
    <w:p>
      <w:pPr>
        <w:spacing w:after="0" w:line="117" w:lineRule="exact"/>
        <w:rPr>
          <w:rFonts w:ascii="Arial" w:cs="Arial" w:eastAsia="Arial" w:hAnsi="Arial"/>
          <w:sz w:val="18"/>
          <w:szCs w:val="18"/>
          <w:color w:val="auto"/>
        </w:rPr>
      </w:pPr>
    </w:p>
    <w:p>
      <w:pPr>
        <w:ind w:left="380" w:right="20" w:hanging="318"/>
        <w:spacing w:after="0" w:line="251" w:lineRule="auto"/>
        <w:tabs>
          <w:tab w:leader="none" w:pos="3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consummation of a business combination unless, immediately following such business combination, (1) all or substantially all of the individuals and entities that were the beneficial owners of the outstanding voting stock immediately before such business combination beneficially own, directly or indirectly, more than 51% of the then outstanding shares of voting stock of the parent corporation resulting from such business combination in substantially the same relative proportions as their ownership, immediately before such business combination, of the outstanding voting stock, (2) if the business combination involves the issuance or payment by the Company of consideration to another entity or its stockholders, the total fair market value of such consideration plus the principal amount of the consolidated long-term debt of the entity or business being acquired (in each case, determined as of the date of consummation of such business combination by a majority of the incumbent directors) does not exceed 50% of the sum of the fair market value of the outstanding voting stock plus the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2C2C2C"/>
        </w:rPr>
        <w:t xml:space="preserve">56 </w:t>
      </w:r>
      <w:r>
        <w:rPr>
          <w:sz w:val="1"/>
          <w:szCs w:val="1"/>
          <w:color w:val="auto"/>
        </w:rPr>
        <w:drawing>
          <wp:inline distT="0" distB="0" distL="0" distR="0">
            <wp:extent cx="445770" cy="180340"/>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45770" cy="180340"/>
                    </a:xfrm>
                    <a:prstGeom prst="rect">
                      <a:avLst/>
                    </a:prstGeom>
                    <a:noFill/>
                    <a:ln>
                      <a:noFill/>
                    </a:ln>
                  </pic:spPr>
                </pic:pic>
              </a:graphicData>
            </a:graphic>
          </wp:inline>
        </w:drawing>
      </w:r>
      <w:r>
        <w:rPr>
          <w:rFonts w:ascii="Arial" w:cs="Arial" w:eastAsia="Arial" w:hAnsi="Arial"/>
          <w:sz w:val="18"/>
          <w:szCs w:val="18"/>
          <w:color w:val="auto"/>
        </w:rPr>
        <w:t xml:space="preserve"> 2018 PROXY STATEMENT</w:t>
      </w:r>
    </w:p>
    <w:p>
      <w:pPr>
        <w:sectPr>
          <w:pgSz w:w="11900" w:h="16838" w:orient="portrait"/>
          <w:cols w:equalWidth="0" w:num="1">
            <w:col w:w="11420"/>
          </w:cols>
          <w:pgMar w:left="240" w:top="125" w:right="239" w:bottom="1440" w:gutter="0" w:footer="0" w:header="0"/>
        </w:sectPr>
      </w:pPr>
    </w:p>
    <w:bookmarkStart w:id="65" w:name="page66"/>
    <w:bookmarkEnd w:id="65"/>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left="960"/>
        <w:spacing w:after="0"/>
        <w:rPr>
          <w:sz w:val="20"/>
          <w:szCs w:val="20"/>
          <w:color w:val="auto"/>
        </w:rPr>
      </w:pPr>
      <w:r>
        <w:rPr>
          <w:rFonts w:ascii="Arial" w:cs="Arial" w:eastAsia="Arial" w:hAnsi="Arial"/>
          <w:sz w:val="14"/>
          <w:szCs w:val="14"/>
          <w:color w:val="auto"/>
        </w:rPr>
        <w:t>COMPENSATION OF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80" w:right="260"/>
        <w:spacing w:after="0" w:line="300" w:lineRule="auto"/>
        <w:rPr>
          <w:sz w:val="20"/>
          <w:szCs w:val="20"/>
          <w:color w:val="auto"/>
        </w:rPr>
      </w:pPr>
      <w:r>
        <w:rPr>
          <w:rFonts w:ascii="Arial" w:cs="Arial" w:eastAsia="Arial" w:hAnsi="Arial"/>
          <w:sz w:val="18"/>
          <w:szCs w:val="18"/>
          <w:color w:val="auto"/>
        </w:rPr>
        <w:t>principal amount of the Company’s consolidated long-term debt (in each case, determined immediately before such consummation by a majority of the incumbent directors), (3) no person (other than any corporation resulting from such business combination) beneficially owns, directly or indirectly, 30% or more of the then outstanding shares of voting stock of the parent corporation resulting from such business combination and (4) a majority of the members of the board of directors of the parent corporation resulting from such business combination were incumbent directors of the Company immediately before consummation of such business combination; or</w:t>
      </w:r>
    </w:p>
    <w:p>
      <w:pPr>
        <w:spacing w:after="0" w:line="70" w:lineRule="exact"/>
        <w:rPr>
          <w:sz w:val="20"/>
          <w:szCs w:val="20"/>
          <w:color w:val="auto"/>
        </w:rPr>
      </w:pPr>
    </w:p>
    <w:p>
      <w:pPr>
        <w:ind w:left="380" w:right="140" w:hanging="318"/>
        <w:spacing w:after="0" w:line="252" w:lineRule="auto"/>
        <w:tabs>
          <w:tab w:leader="none" w:pos="3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consummation of a major asset disposition unless, immediately following such major asset disposition, (1) individuals and entities that were beneficial owners of the outstanding voting stock immediately before such major asset disposition beneficially own, directly or indirectly, more than 70% of the then outstanding shares of voting stock (if it continues to exist) and of the entity that acquires the largest portion of such assets (or the entity, if any, that owns a majority of the outstanding voting stock of such acquiring entity) and (2) a majority of the members of the board of directors (if it continues to exist) and of the entity that acquires the largest portion of such assets (or the entity, if any, that owns a majority of the outstanding voting stock of such acquiring entity) were incumbent directors of the Company immediately before consummation of such major asset disposition.</w:t>
      </w:r>
    </w:p>
    <w:p>
      <w:pPr>
        <w:spacing w:after="0" w:line="50"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Severance Payment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severance payment that would be made to each Named Executive, with the exception of Messrs. Fees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Geveden, in connection with a change in control is a cash payment equal to two times the sum of (1) the executive’s annual base salary prior to termination and (2) the same annual base salary multiplied by the executive’s target annual incentive compensation percentage for the year in which the termination occurs. The severance payment made to Messrs. Fees and Geveden in connection with a change in control is a cash payment equal to 2.99 times the sum of (1) his annual base salary prior to termination and (2) the same annual base salary multiplied by his target EICP percentage for the year in which the termination occurs. Assuming a termination as of December 31, 2017, the severance payment under a change in control would have been calculated based on the following:</w:t>
      </w:r>
    </w:p>
    <w:p>
      <w:pPr>
        <w:spacing w:after="0" w:line="97" w:lineRule="exact"/>
        <w:rPr>
          <w:sz w:val="20"/>
          <w:szCs w:val="20"/>
          <w:color w:val="auto"/>
        </w:rPr>
      </w:pPr>
    </w:p>
    <w:p>
      <w:pPr>
        <w:ind w:left="380" w:hanging="318"/>
        <w:spacing w:after="0"/>
        <w:tabs>
          <w:tab w:leader="none" w:pos="3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Mr. Geveden: $700,000 base salary and $630,000 target annual incentive compensation (90% of his annual base salary);</w:t>
      </w:r>
    </w:p>
    <w:p>
      <w:pPr>
        <w:spacing w:after="0" w:line="117" w:lineRule="exact"/>
        <w:rPr>
          <w:rFonts w:ascii="Arial" w:cs="Arial" w:eastAsia="Arial" w:hAnsi="Arial"/>
          <w:sz w:val="18"/>
          <w:szCs w:val="18"/>
          <w:color w:val="auto"/>
        </w:rPr>
      </w:pPr>
    </w:p>
    <w:p>
      <w:pPr>
        <w:ind w:left="380" w:hanging="318"/>
        <w:spacing w:after="0"/>
        <w:tabs>
          <w:tab w:leader="none" w:pos="3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Mr. Black: $450,000 base salary and $270,000 target annual incentive compensation (60% of his annual base salary);</w:t>
      </w:r>
    </w:p>
    <w:p>
      <w:pPr>
        <w:spacing w:after="0" w:line="117" w:lineRule="exact"/>
        <w:rPr>
          <w:rFonts w:ascii="Arial" w:cs="Arial" w:eastAsia="Arial" w:hAnsi="Arial"/>
          <w:sz w:val="18"/>
          <w:szCs w:val="18"/>
          <w:color w:val="auto"/>
        </w:rPr>
      </w:pPr>
    </w:p>
    <w:p>
      <w:pPr>
        <w:ind w:left="380" w:hanging="318"/>
        <w:spacing w:after="0"/>
        <w:tabs>
          <w:tab w:leader="none" w:pos="3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Mr. Fees: $600,000 base salary and $450,000 target annual incentive compensation (75% of his annual base salary);</w:t>
      </w:r>
    </w:p>
    <w:p>
      <w:pPr>
        <w:spacing w:after="0" w:line="117" w:lineRule="exact"/>
        <w:rPr>
          <w:rFonts w:ascii="Arial" w:cs="Arial" w:eastAsia="Arial" w:hAnsi="Arial"/>
          <w:sz w:val="18"/>
          <w:szCs w:val="18"/>
          <w:color w:val="auto"/>
        </w:rPr>
      </w:pPr>
    </w:p>
    <w:p>
      <w:pPr>
        <w:ind w:left="380" w:hanging="318"/>
        <w:spacing w:after="0"/>
        <w:tabs>
          <w:tab w:leader="none" w:pos="3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Mr. Canafax: $510,000 base salary and $306,000 target annual incentive compensation (60% of his annual base salary); and</w:t>
      </w:r>
    </w:p>
    <w:p>
      <w:pPr>
        <w:spacing w:after="0" w:line="117" w:lineRule="exact"/>
        <w:rPr>
          <w:rFonts w:ascii="Arial" w:cs="Arial" w:eastAsia="Arial" w:hAnsi="Arial"/>
          <w:sz w:val="18"/>
          <w:szCs w:val="18"/>
          <w:color w:val="auto"/>
        </w:rPr>
      </w:pPr>
    </w:p>
    <w:p>
      <w:pPr>
        <w:ind w:left="380" w:hanging="318"/>
        <w:spacing w:after="0"/>
        <w:tabs>
          <w:tab w:leader="none" w:pos="3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Mr. Henry: $470,000 base salary and $282,000 target annual incentive compensation (60% of his annual base salary).</w:t>
      </w:r>
    </w:p>
    <w:p>
      <w:pPr>
        <w:spacing w:after="0" w:line="95" w:lineRule="exact"/>
        <w:rPr>
          <w:sz w:val="20"/>
          <w:szCs w:val="20"/>
          <w:color w:val="auto"/>
        </w:rPr>
      </w:pPr>
    </w:p>
    <w:p>
      <w:pPr>
        <w:ind w:left="60" w:right="140"/>
        <w:spacing w:after="0" w:line="287" w:lineRule="auto"/>
        <w:rPr>
          <w:sz w:val="20"/>
          <w:szCs w:val="20"/>
          <w:color w:val="auto"/>
        </w:rPr>
      </w:pPr>
      <w:r>
        <w:rPr>
          <w:rFonts w:ascii="Arial" w:cs="Arial" w:eastAsia="Arial" w:hAnsi="Arial"/>
          <w:sz w:val="18"/>
          <w:szCs w:val="18"/>
          <w:b w:val="1"/>
          <w:bCs w:val="1"/>
          <w:i w:val="1"/>
          <w:iCs w:val="1"/>
          <w:color w:val="auto"/>
        </w:rPr>
        <w:t>EICP Payment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Depending on the timing of the termination relative to the payment of an EICP award, the applicable executive could receive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 to two EICP payments in connection with termination resulting from a change in control, as follows:</w:t>
      </w:r>
    </w:p>
    <w:p>
      <w:pPr>
        <w:spacing w:after="0" w:line="67" w:lineRule="exact"/>
        <w:rPr>
          <w:sz w:val="20"/>
          <w:szCs w:val="20"/>
          <w:color w:val="auto"/>
        </w:rPr>
      </w:pPr>
    </w:p>
    <w:p>
      <w:pPr>
        <w:ind w:left="380" w:right="60" w:hanging="318"/>
        <w:spacing w:after="0" w:line="254" w:lineRule="auto"/>
        <w:tabs>
          <w:tab w:leader="none" w:pos="3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 an EICP award for the year prior to termination is paid to other EICP participants after the date of the executive’s termination, the executive would be entitled to receive the actual amount of the award determined under the EICP for such prior year (without the exercise of any downward discretion). The 2016 EICP awards were paid before December 31, 2017. As a result, no payment would have been due to the Named Executives in this respect.</w:t>
      </w:r>
    </w:p>
    <w:p>
      <w:pPr>
        <w:spacing w:after="0" w:line="96" w:lineRule="exact"/>
        <w:rPr>
          <w:rFonts w:ascii="Arial" w:cs="Arial" w:eastAsia="Arial" w:hAnsi="Arial"/>
          <w:sz w:val="18"/>
          <w:szCs w:val="18"/>
          <w:color w:val="auto"/>
        </w:rPr>
      </w:pPr>
    </w:p>
    <w:p>
      <w:pPr>
        <w:ind w:left="380" w:right="80" w:hanging="318"/>
        <w:spacing w:after="0" w:line="254" w:lineRule="auto"/>
        <w:tabs>
          <w:tab w:leader="none" w:pos="3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executive would be entitled to a prorated target EICP payment equal to the product of the Named Executive’s annual base salary and EICP target percentage, with the product prorated based on the number of days the Named Executive was employed during the year in which the termination occurs. Based on a December 31, 2017 termination, each Named Executive would have been entitled to an EICP payment equal to 100% of his 2017 target EICP, as in effect immediately prior to the date of termination.</w:t>
      </w:r>
    </w:p>
    <w:p>
      <w:pPr>
        <w:spacing w:after="0" w:line="4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i w:val="1"/>
          <w:iCs w:val="1"/>
          <w:color w:val="auto"/>
        </w:rPr>
        <w:t>Financial Planning</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terms of the agreement with the Company’s financial planning service provider, each Named Executive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entitled to financial planning benefits for one year following a change in control, so long as the agreement has not been earlier terminated. The amounts reported in this column represent the fee that would be required to be paid for each such Named Executive to receive such benefits. “Change of Control” is not defined under the agreement.</w:t>
      </w:r>
    </w:p>
    <w:p>
      <w:pPr>
        <w:spacing w:after="0" w:line="226" w:lineRule="exact"/>
        <w:rPr>
          <w:sz w:val="20"/>
          <w:szCs w:val="20"/>
          <w:color w:val="auto"/>
        </w:rPr>
      </w:pPr>
    </w:p>
    <w:p>
      <w:pPr>
        <w:jc w:val="right"/>
        <w:spacing w:after="0"/>
        <w:rPr>
          <w:sz w:val="20"/>
          <w:szCs w:val="20"/>
          <w:color w:val="auto"/>
        </w:rPr>
      </w:pPr>
      <w:r>
        <w:rPr>
          <w:sz w:val="1"/>
          <w:szCs w:val="1"/>
          <w:color w:val="auto"/>
        </w:rPr>
        <w:drawing>
          <wp:inline distT="0" distB="0" distL="0" distR="0">
            <wp:extent cx="488950" cy="20574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88950" cy="205740"/>
                    </a:xfrm>
                    <a:prstGeom prst="rect">
                      <a:avLst/>
                    </a:prstGeom>
                    <a:noFill/>
                    <a:ln>
                      <a:noFill/>
                    </a:ln>
                  </pic:spPr>
                </pic:pic>
              </a:graphicData>
            </a:graphic>
          </wp:inline>
        </w:drawing>
      </w:r>
      <w:r>
        <w:rPr>
          <w:rFonts w:ascii="Arial" w:cs="Arial" w:eastAsia="Arial" w:hAnsi="Arial"/>
          <w:sz w:val="18"/>
          <w:szCs w:val="18"/>
          <w:color w:val="auto"/>
        </w:rPr>
        <w:t xml:space="preserve"> 2018 PROXY STATEMENT </w:t>
      </w:r>
      <w:r>
        <w:rPr>
          <w:rFonts w:ascii="Arial" w:cs="Arial" w:eastAsia="Arial" w:hAnsi="Arial"/>
          <w:sz w:val="18"/>
          <w:szCs w:val="18"/>
          <w:b w:val="1"/>
          <w:bCs w:val="1"/>
          <w:color w:val="2C2C2C"/>
        </w:rPr>
        <w:t>57</w:t>
      </w:r>
    </w:p>
    <w:p>
      <w:pPr>
        <w:sectPr>
          <w:pgSz w:w="11900" w:h="16838" w:orient="portrait"/>
          <w:cols w:equalWidth="0" w:num="1">
            <w:col w:w="11420"/>
          </w:cols>
          <w:pgMar w:left="240" w:top="125" w:right="239" w:bottom="1440" w:gutter="0" w:footer="0" w:header="0"/>
        </w:sectPr>
      </w:pPr>
    </w:p>
    <w:bookmarkStart w:id="66" w:name="page67"/>
    <w:bookmarkEnd w:id="66"/>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7240"/>
        <w:spacing w:after="0"/>
        <w:rPr>
          <w:sz w:val="20"/>
          <w:szCs w:val="20"/>
          <w:color w:val="auto"/>
        </w:rPr>
      </w:pPr>
      <w:r>
        <w:rPr>
          <w:rFonts w:ascii="Arial" w:cs="Arial" w:eastAsia="Arial" w:hAnsi="Arial"/>
          <w:sz w:val="14"/>
          <w:szCs w:val="14"/>
          <w:color w:val="auto"/>
        </w:rPr>
        <w:t>COMPENSATION OF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8"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Restoration Plan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Company’s Restoration Plan, an executive’s Company matching account and Company service-based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become fully vested on, among other events, the date a change in control occurs. Messrs. Black, Fees, Canafax and Henry were each 100% vested in their respective Company matching accounts and Company service-based accounts as of December 31, 2017. “Change in Control” has a substantially similar meaning under the Company’s Restoration Plan as it does under the Company’s change in control agreements, except that a participant in the Company’s Restoration Plan is excluded from accelerated vesting if the participant is part of a purchasing group that consummates a transaction that qualifies as a change of control under the Restoration Plan.</w:t>
      </w:r>
    </w:p>
    <w:p>
      <w:pPr>
        <w:spacing w:after="0" w:line="48"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i w:val="1"/>
          <w:iCs w:val="1"/>
          <w:color w:val="auto"/>
        </w:rPr>
        <w:t>Benefit Payments</w:t>
      </w:r>
      <w:r>
        <w:rPr>
          <w:rFonts w:ascii="Arial" w:cs="Arial" w:eastAsia="Arial" w:hAnsi="Arial"/>
          <w:sz w:val="18"/>
          <w:szCs w:val="18"/>
          <w:color w:val="auto"/>
        </w:rPr>
        <w:t>. The amounts reported represent three times the full annual cost of coverage for medical, dental and vision benefits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provided to the Named Executive and their covered dependents for the year ended December 31, 2017.</w:t>
      </w:r>
    </w:p>
    <w:p>
      <w:pPr>
        <w:spacing w:after="0" w:line="18"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b w:val="1"/>
          <w:bCs w:val="1"/>
          <w:i w:val="1"/>
          <w:iCs w:val="1"/>
          <w:color w:val="auto"/>
        </w:rPr>
        <w:t>Tax Reimbursements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agreements do not provide any tax reimbursement on the benefits. Instead, the agreements contain a “modified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cutback” provision, which acts to reduce the benefits payable to a Named Executive to the extent necessary so that no excise tax would be imposed on the benefits paid, but only if doing so would result in the Named Executive retaining a larger after-tax amount.</w:t>
      </w:r>
    </w:p>
    <w:p>
      <w:pPr>
        <w:spacing w:after="0" w:line="33"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b w:val="1"/>
          <w:bCs w:val="1"/>
          <w:i w:val="1"/>
          <w:iCs w:val="1"/>
          <w:color w:val="auto"/>
        </w:rPr>
        <w:t>Equity Awards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terms of the awards outstanding, all unvested stock and option awards would become vested on a change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regardless of whether there is a subsequent termination of employment. Under the Company’s 2010 LTIP, a “change in control” occurs under the same circumstances described above with respect to the Company’s change-in-control agreements.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2C2C2C"/>
        </w:rPr>
        <w:t xml:space="preserve">58 </w:t>
      </w:r>
      <w:r>
        <w:rPr>
          <w:sz w:val="1"/>
          <w:szCs w:val="1"/>
          <w:color w:val="auto"/>
        </w:rPr>
        <w:drawing>
          <wp:inline distT="0" distB="0" distL="0" distR="0">
            <wp:extent cx="445770" cy="180340"/>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45770" cy="180340"/>
                    </a:xfrm>
                    <a:prstGeom prst="rect">
                      <a:avLst/>
                    </a:prstGeom>
                    <a:noFill/>
                    <a:ln>
                      <a:noFill/>
                    </a:ln>
                  </pic:spPr>
                </pic:pic>
              </a:graphicData>
            </a:graphic>
          </wp:inline>
        </w:drawing>
      </w:r>
      <w:r>
        <w:rPr>
          <w:rFonts w:ascii="Arial" w:cs="Arial" w:eastAsia="Arial" w:hAnsi="Arial"/>
          <w:sz w:val="18"/>
          <w:szCs w:val="18"/>
          <w:color w:val="auto"/>
        </w:rPr>
        <w:t xml:space="preserve"> 2018 PROXY STATEMENT</w:t>
      </w:r>
    </w:p>
    <w:p>
      <w:pPr>
        <w:sectPr>
          <w:pgSz w:w="11900" w:h="16838" w:orient="portrait"/>
          <w:cols w:equalWidth="0" w:num="1">
            <w:col w:w="11360"/>
          </w:cols>
          <w:pgMar w:left="240" w:top="125" w:right="299" w:bottom="1440" w:gutter="0" w:footer="0" w:header="0"/>
        </w:sectPr>
      </w:pPr>
    </w:p>
    <w:bookmarkStart w:id="67" w:name="page68"/>
    <w:bookmarkEnd w:id="67"/>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7240"/>
        <w:spacing w:after="0"/>
        <w:rPr>
          <w:sz w:val="20"/>
          <w:szCs w:val="20"/>
          <w:color w:val="auto"/>
        </w:rPr>
      </w:pPr>
      <w:r>
        <w:rPr>
          <w:rFonts w:ascii="Arial" w:cs="Arial" w:eastAsia="Arial" w:hAnsi="Arial"/>
          <w:sz w:val="14"/>
          <w:szCs w:val="14"/>
          <w:color w:val="auto"/>
        </w:rPr>
        <w:t>COMPENSATION OF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CEO PAY RATIO</w:t>
      </w:r>
    </w:p>
    <w:p>
      <w:pPr>
        <w:spacing w:after="0" w:line="13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are providing the following information about the relationship of the median of the annual total compensation of our employees and the annual total compensation of Mr. Rex D. Geveden, our President and Chief Executive Officer (our “CEO”), as required by Section 953(b) of the Dodd-Frank Wall Street Reform and Consumer Protection Act. For 2017, we determined that the median of the annual total compensation of our employees, other than our CEO, was $88,928 and the annual total compensation of our CEO, as reported in the Summary Compensation Table of this Proxy Statement, was $4,405,652. Based on this information, the ratio of the annual total compensation of our CEO to the median of the annual compensation of all employees in 2017 was 50 to 1.</w:t>
      </w:r>
    </w:p>
    <w:p>
      <w:pPr>
        <w:spacing w:after="0" w:line="10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pay ratio provided is a reasonable estimate as of December 31, 2017 calculated in a manner consistent with Item 402(u) of Regulation S-K. The data used to calculate the pay ratio are specific to our Company and our employee population. As a result, our pay ratio may not be comparable to the pay ratios of other companies. We had approximately 6,100 employees as of December 31, 2017 located in the U.S. and Canada. To identify the median employee from our employee population, we compared the amount of salary, wages, non-cash earnings, and employer thrift and 401(k) contributions of our employees as reflected in our payroll records for 2017. Upon identifying our median employee, we combined all of the elements of such employee’s compensation for 2017 in accordance with the requirements of Item 402(c)(2)(x) of Regulation S-K, resulting in annual compensation for the median employee of $ 88,928. We used the annual total compensation of our CEO as reported in the “Total” column of our Summary Compensation Table on page 40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255905</wp:posOffset>
            </wp:positionV>
            <wp:extent cx="72720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EQUITY COMPENSATION PLAN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our equity compensation plans as of December 31, 2017.</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3480" w:type="dxa"/>
            <w:vAlign w:val="bottom"/>
            <w:shd w:val="clear" w:color="auto" w:fill="424242"/>
          </w:tcPr>
          <w:p>
            <w:pPr>
              <w:spacing w:after="0"/>
              <w:rPr>
                <w:sz w:val="15"/>
                <w:szCs w:val="15"/>
                <w:color w:val="auto"/>
              </w:rPr>
            </w:pPr>
          </w:p>
        </w:tc>
        <w:tc>
          <w:tcPr>
            <w:tcW w:w="2680" w:type="dxa"/>
            <w:vAlign w:val="bottom"/>
            <w:shd w:val="clear" w:color="auto" w:fill="424242"/>
          </w:tcPr>
          <w:p>
            <w:pPr>
              <w:spacing w:after="0"/>
              <w:rPr>
                <w:sz w:val="15"/>
                <w:szCs w:val="15"/>
                <w:color w:val="auto"/>
              </w:rPr>
            </w:pPr>
          </w:p>
        </w:tc>
        <w:tc>
          <w:tcPr>
            <w:tcW w:w="2660" w:type="dxa"/>
            <w:vAlign w:val="bottom"/>
            <w:shd w:val="clear" w:color="auto" w:fill="424242"/>
          </w:tcPr>
          <w:p>
            <w:pPr>
              <w:spacing w:after="0"/>
              <w:rPr>
                <w:sz w:val="15"/>
                <w:szCs w:val="15"/>
                <w:color w:val="auto"/>
              </w:rPr>
            </w:pPr>
          </w:p>
        </w:tc>
        <w:tc>
          <w:tcPr>
            <w:tcW w:w="2540" w:type="dxa"/>
            <w:vAlign w:val="bottom"/>
            <w:shd w:val="clear" w:color="auto" w:fill="424242"/>
          </w:tcPr>
          <w:p>
            <w:pPr>
              <w:jc w:val="center"/>
              <w:spacing w:after="0"/>
              <w:rPr>
                <w:sz w:val="20"/>
                <w:szCs w:val="20"/>
                <w:color w:val="auto"/>
              </w:rPr>
            </w:pPr>
            <w:r>
              <w:rPr>
                <w:rFonts w:ascii="Arial" w:cs="Arial" w:eastAsia="Arial" w:hAnsi="Arial"/>
                <w:sz w:val="14"/>
                <w:szCs w:val="14"/>
                <w:b w:val="1"/>
                <w:bCs w:val="1"/>
                <w:color w:val="FFFFFF"/>
              </w:rPr>
              <w:t>Number of securities remaining</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480" w:type="dxa"/>
            <w:vAlign w:val="bottom"/>
            <w:shd w:val="clear" w:color="auto" w:fill="424242"/>
          </w:tcPr>
          <w:p>
            <w:pPr>
              <w:spacing w:after="0"/>
              <w:rPr>
                <w:sz w:val="14"/>
                <w:szCs w:val="14"/>
                <w:color w:val="auto"/>
              </w:rPr>
            </w:pPr>
          </w:p>
        </w:tc>
        <w:tc>
          <w:tcPr>
            <w:tcW w:w="2680" w:type="dxa"/>
            <w:vAlign w:val="bottom"/>
            <w:shd w:val="clear" w:color="auto" w:fill="424242"/>
          </w:tcPr>
          <w:p>
            <w:pPr>
              <w:spacing w:after="0"/>
              <w:rPr>
                <w:sz w:val="14"/>
                <w:szCs w:val="14"/>
                <w:color w:val="auto"/>
              </w:rPr>
            </w:pPr>
          </w:p>
        </w:tc>
        <w:tc>
          <w:tcPr>
            <w:tcW w:w="2660" w:type="dxa"/>
            <w:vAlign w:val="bottom"/>
            <w:shd w:val="clear" w:color="auto" w:fill="424242"/>
          </w:tcPr>
          <w:p>
            <w:pPr>
              <w:spacing w:after="0"/>
              <w:rPr>
                <w:sz w:val="14"/>
                <w:szCs w:val="14"/>
                <w:color w:val="auto"/>
              </w:rPr>
            </w:pPr>
          </w:p>
        </w:tc>
        <w:tc>
          <w:tcPr>
            <w:tcW w:w="2540" w:type="dxa"/>
            <w:vAlign w:val="bottom"/>
            <w:shd w:val="clear" w:color="auto" w:fill="424242"/>
          </w:tcPr>
          <w:p>
            <w:pPr>
              <w:jc w:val="center"/>
              <w:spacing w:after="0"/>
              <w:rPr>
                <w:sz w:val="20"/>
                <w:szCs w:val="20"/>
                <w:color w:val="auto"/>
              </w:rPr>
            </w:pPr>
            <w:r>
              <w:rPr>
                <w:rFonts w:ascii="Arial" w:cs="Arial" w:eastAsia="Arial" w:hAnsi="Arial"/>
                <w:sz w:val="14"/>
                <w:szCs w:val="14"/>
                <w:b w:val="1"/>
                <w:bCs w:val="1"/>
                <w:color w:val="FFFFFF"/>
              </w:rPr>
              <w:t>available for future issuances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80" w:type="dxa"/>
            <w:vAlign w:val="bottom"/>
            <w:shd w:val="clear" w:color="auto" w:fill="424242"/>
          </w:tcPr>
          <w:p>
            <w:pPr>
              <w:spacing w:after="0"/>
              <w:rPr>
                <w:sz w:val="14"/>
                <w:szCs w:val="14"/>
                <w:color w:val="auto"/>
              </w:rPr>
            </w:pPr>
          </w:p>
        </w:tc>
        <w:tc>
          <w:tcPr>
            <w:tcW w:w="2680" w:type="dxa"/>
            <w:vAlign w:val="bottom"/>
            <w:shd w:val="clear" w:color="auto" w:fill="424242"/>
          </w:tcPr>
          <w:p>
            <w:pPr>
              <w:jc w:val="center"/>
              <w:ind w:left="64"/>
              <w:spacing w:after="0"/>
              <w:rPr>
                <w:sz w:val="20"/>
                <w:szCs w:val="20"/>
                <w:color w:val="auto"/>
              </w:rPr>
            </w:pPr>
            <w:r>
              <w:rPr>
                <w:rFonts w:ascii="Arial" w:cs="Arial" w:eastAsia="Arial" w:hAnsi="Arial"/>
                <w:sz w:val="14"/>
                <w:szCs w:val="14"/>
                <w:b w:val="1"/>
                <w:bCs w:val="1"/>
                <w:color w:val="FFFFFF"/>
              </w:rPr>
              <w:t>Number of securities to be issued</w:t>
            </w:r>
          </w:p>
        </w:tc>
        <w:tc>
          <w:tcPr>
            <w:tcW w:w="2660" w:type="dxa"/>
            <w:vAlign w:val="bottom"/>
            <w:shd w:val="clear" w:color="auto" w:fill="424242"/>
          </w:tcPr>
          <w:p>
            <w:pPr>
              <w:jc w:val="center"/>
              <w:spacing w:after="0"/>
              <w:rPr>
                <w:sz w:val="20"/>
                <w:szCs w:val="20"/>
                <w:color w:val="auto"/>
              </w:rPr>
            </w:pPr>
            <w:r>
              <w:rPr>
                <w:rFonts w:ascii="Arial" w:cs="Arial" w:eastAsia="Arial" w:hAnsi="Arial"/>
                <w:sz w:val="14"/>
                <w:szCs w:val="14"/>
                <w:b w:val="1"/>
                <w:bCs w:val="1"/>
                <w:color w:val="FFFFFF"/>
              </w:rPr>
              <w:t>Weighted-average exercise price of</w:t>
            </w:r>
          </w:p>
        </w:tc>
        <w:tc>
          <w:tcPr>
            <w:tcW w:w="2540" w:type="dxa"/>
            <w:vAlign w:val="bottom"/>
            <w:shd w:val="clear" w:color="auto" w:fill="424242"/>
          </w:tcPr>
          <w:p>
            <w:pPr>
              <w:jc w:val="center"/>
              <w:spacing w:after="0"/>
              <w:rPr>
                <w:sz w:val="20"/>
                <w:szCs w:val="20"/>
                <w:color w:val="auto"/>
              </w:rPr>
            </w:pPr>
            <w:r>
              <w:rPr>
                <w:rFonts w:ascii="Arial" w:cs="Arial" w:eastAsia="Arial" w:hAnsi="Arial"/>
                <w:sz w:val="14"/>
                <w:szCs w:val="14"/>
                <w:b w:val="1"/>
                <w:bCs w:val="1"/>
                <w:color w:val="FFFFFF"/>
              </w:rPr>
              <w:t>under equity compensation plans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80" w:type="dxa"/>
            <w:vAlign w:val="bottom"/>
            <w:shd w:val="clear" w:color="auto" w:fill="424242"/>
          </w:tcPr>
          <w:p>
            <w:pPr>
              <w:spacing w:after="0"/>
              <w:rPr>
                <w:sz w:val="14"/>
                <w:szCs w:val="14"/>
                <w:color w:val="auto"/>
              </w:rPr>
            </w:pPr>
          </w:p>
        </w:tc>
        <w:tc>
          <w:tcPr>
            <w:tcW w:w="2680" w:type="dxa"/>
            <w:vAlign w:val="bottom"/>
            <w:shd w:val="clear" w:color="auto" w:fill="424242"/>
          </w:tcPr>
          <w:p>
            <w:pPr>
              <w:jc w:val="center"/>
              <w:ind w:left="64"/>
              <w:spacing w:after="0"/>
              <w:rPr>
                <w:sz w:val="20"/>
                <w:szCs w:val="20"/>
                <w:color w:val="auto"/>
              </w:rPr>
            </w:pPr>
            <w:r>
              <w:rPr>
                <w:rFonts w:ascii="Arial" w:cs="Arial" w:eastAsia="Arial" w:hAnsi="Arial"/>
                <w:sz w:val="14"/>
                <w:szCs w:val="14"/>
                <w:b w:val="1"/>
                <w:bCs w:val="1"/>
                <w:color w:val="FFFFFF"/>
              </w:rPr>
              <w:t>upon exercise of outstanding</w:t>
            </w:r>
          </w:p>
        </w:tc>
        <w:tc>
          <w:tcPr>
            <w:tcW w:w="2660" w:type="dxa"/>
            <w:vAlign w:val="bottom"/>
            <w:shd w:val="clear" w:color="auto" w:fill="424242"/>
          </w:tcPr>
          <w:p>
            <w:pPr>
              <w:jc w:val="center"/>
              <w:spacing w:after="0"/>
              <w:rPr>
                <w:sz w:val="20"/>
                <w:szCs w:val="20"/>
                <w:color w:val="auto"/>
              </w:rPr>
            </w:pPr>
            <w:r>
              <w:rPr>
                <w:rFonts w:ascii="Arial" w:cs="Arial" w:eastAsia="Arial" w:hAnsi="Arial"/>
                <w:sz w:val="14"/>
                <w:szCs w:val="14"/>
                <w:b w:val="1"/>
                <w:bCs w:val="1"/>
                <w:color w:val="FFFFFF"/>
              </w:rPr>
              <w:t>outstanding options, warrants and</w:t>
            </w:r>
          </w:p>
        </w:tc>
        <w:tc>
          <w:tcPr>
            <w:tcW w:w="2540" w:type="dxa"/>
            <w:vAlign w:val="bottom"/>
            <w:shd w:val="clear" w:color="auto" w:fill="424242"/>
          </w:tcPr>
          <w:p>
            <w:pPr>
              <w:jc w:val="center"/>
              <w:spacing w:after="0"/>
              <w:rPr>
                <w:sz w:val="20"/>
                <w:szCs w:val="20"/>
                <w:color w:val="auto"/>
              </w:rPr>
            </w:pPr>
            <w:r>
              <w:rPr>
                <w:rFonts w:ascii="Arial" w:cs="Arial" w:eastAsia="Arial" w:hAnsi="Arial"/>
                <w:sz w:val="14"/>
                <w:szCs w:val="14"/>
                <w:b w:val="1"/>
                <w:bCs w:val="1"/>
                <w:color w:val="FFFFFF"/>
              </w:rPr>
              <w:t>(excluding securities reflected in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480" w:type="dxa"/>
            <w:vAlign w:val="bottom"/>
            <w:shd w:val="clear" w:color="auto" w:fill="424242"/>
          </w:tcPr>
          <w:p>
            <w:pPr>
              <w:ind w:left="140"/>
              <w:spacing w:after="0"/>
              <w:rPr>
                <w:sz w:val="20"/>
                <w:szCs w:val="20"/>
                <w:color w:val="auto"/>
              </w:rPr>
            </w:pPr>
            <w:r>
              <w:rPr>
                <w:rFonts w:ascii="Arial" w:cs="Arial" w:eastAsia="Arial" w:hAnsi="Arial"/>
                <w:sz w:val="14"/>
                <w:szCs w:val="14"/>
                <w:b w:val="1"/>
                <w:bCs w:val="1"/>
                <w:color w:val="FFFFFF"/>
              </w:rPr>
              <w:t>Plan Category</w:t>
            </w:r>
          </w:p>
        </w:tc>
        <w:tc>
          <w:tcPr>
            <w:tcW w:w="2680" w:type="dxa"/>
            <w:vAlign w:val="bottom"/>
            <w:shd w:val="clear" w:color="auto" w:fill="424242"/>
          </w:tcPr>
          <w:p>
            <w:pPr>
              <w:jc w:val="center"/>
              <w:ind w:left="64"/>
              <w:spacing w:after="0"/>
              <w:rPr>
                <w:sz w:val="20"/>
                <w:szCs w:val="20"/>
                <w:color w:val="auto"/>
              </w:rPr>
            </w:pPr>
            <w:r>
              <w:rPr>
                <w:rFonts w:ascii="Arial" w:cs="Arial" w:eastAsia="Arial" w:hAnsi="Arial"/>
                <w:sz w:val="14"/>
                <w:szCs w:val="14"/>
                <w:b w:val="1"/>
                <w:bCs w:val="1"/>
                <w:color w:val="FFFFFF"/>
              </w:rPr>
              <w:t>options, warrants and rights</w:t>
            </w:r>
          </w:p>
        </w:tc>
        <w:tc>
          <w:tcPr>
            <w:tcW w:w="2660" w:type="dxa"/>
            <w:vAlign w:val="bottom"/>
            <w:shd w:val="clear" w:color="auto" w:fill="424242"/>
          </w:tcPr>
          <w:p>
            <w:pPr>
              <w:jc w:val="center"/>
              <w:spacing w:after="0"/>
              <w:rPr>
                <w:sz w:val="20"/>
                <w:szCs w:val="20"/>
                <w:color w:val="auto"/>
              </w:rPr>
            </w:pPr>
            <w:r>
              <w:rPr>
                <w:rFonts w:ascii="Arial" w:cs="Arial" w:eastAsia="Arial" w:hAnsi="Arial"/>
                <w:sz w:val="14"/>
                <w:szCs w:val="14"/>
                <w:b w:val="1"/>
                <w:bCs w:val="1"/>
                <w:color w:val="FFFFFF"/>
              </w:rPr>
              <w:t>rights</w:t>
            </w:r>
          </w:p>
        </w:tc>
        <w:tc>
          <w:tcPr>
            <w:tcW w:w="2540" w:type="dxa"/>
            <w:vAlign w:val="bottom"/>
            <w:shd w:val="clear" w:color="auto" w:fill="424242"/>
          </w:tcPr>
          <w:p>
            <w:pPr>
              <w:jc w:val="center"/>
              <w:spacing w:after="0"/>
              <w:rPr>
                <w:sz w:val="20"/>
                <w:szCs w:val="20"/>
                <w:color w:val="auto"/>
              </w:rPr>
            </w:pPr>
            <w:r>
              <w:rPr>
                <w:rFonts w:ascii="Arial" w:cs="Arial" w:eastAsia="Arial" w:hAnsi="Arial"/>
                <w:sz w:val="14"/>
                <w:szCs w:val="14"/>
                <w:b w:val="1"/>
                <w:bCs w:val="1"/>
                <w:color w:val="FFFFFF"/>
              </w:rPr>
              <w:t>the first column)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Equity compensation plans approved by</w:t>
            </w:r>
          </w:p>
        </w:tc>
        <w:tc>
          <w:tcPr>
            <w:tcW w:w="2680" w:type="dxa"/>
            <w:vAlign w:val="bottom"/>
            <w:vMerge w:val="restart"/>
          </w:tcPr>
          <w:p>
            <w:pPr>
              <w:jc w:val="right"/>
              <w:ind w:right="624"/>
              <w:spacing w:after="0"/>
              <w:rPr>
                <w:sz w:val="20"/>
                <w:szCs w:val="20"/>
                <w:color w:val="auto"/>
              </w:rPr>
            </w:pPr>
            <w:r>
              <w:rPr>
                <w:rFonts w:ascii="Arial" w:cs="Arial" w:eastAsia="Arial" w:hAnsi="Arial"/>
                <w:sz w:val="18"/>
                <w:szCs w:val="18"/>
                <w:color w:val="auto"/>
              </w:rPr>
              <w:t>781,756</w:t>
            </w:r>
          </w:p>
        </w:tc>
        <w:tc>
          <w:tcPr>
            <w:tcW w:w="2660" w:type="dxa"/>
            <w:vAlign w:val="bottom"/>
            <w:vMerge w:val="restart"/>
          </w:tcPr>
          <w:p>
            <w:pPr>
              <w:jc w:val="center"/>
              <w:spacing w:after="0"/>
              <w:rPr>
                <w:sz w:val="20"/>
                <w:szCs w:val="20"/>
                <w:color w:val="auto"/>
              </w:rPr>
            </w:pPr>
            <w:r>
              <w:rPr>
                <w:rFonts w:ascii="Arial" w:cs="Arial" w:eastAsia="Arial" w:hAnsi="Arial"/>
                <w:sz w:val="18"/>
                <w:szCs w:val="18"/>
                <w:color w:val="auto"/>
              </w:rPr>
              <w:t>$23.54</w:t>
            </w:r>
          </w:p>
        </w:tc>
        <w:tc>
          <w:tcPr>
            <w:tcW w:w="2540" w:type="dxa"/>
            <w:vAlign w:val="bottom"/>
            <w:vMerge w:val="restart"/>
          </w:tcPr>
          <w:p>
            <w:pPr>
              <w:jc w:val="center"/>
              <w:spacing w:after="0"/>
              <w:rPr>
                <w:sz w:val="20"/>
                <w:szCs w:val="20"/>
                <w:color w:val="auto"/>
              </w:rPr>
            </w:pPr>
            <w:r>
              <w:rPr>
                <w:rFonts w:ascii="Arial" w:cs="Arial" w:eastAsia="Arial" w:hAnsi="Arial"/>
                <w:sz w:val="18"/>
                <w:szCs w:val="18"/>
                <w:color w:val="auto"/>
                <w:w w:val="99"/>
              </w:rPr>
              <w:t>3,750,526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3480" w:type="dxa"/>
            <w:vAlign w:val="bottom"/>
            <w:vMerge w:val="restart"/>
          </w:tcPr>
          <w:p>
            <w:pPr>
              <w:ind w:left="20"/>
              <w:spacing w:after="0"/>
              <w:rPr>
                <w:sz w:val="20"/>
                <w:szCs w:val="20"/>
                <w:color w:val="auto"/>
              </w:rPr>
            </w:pPr>
            <w:r>
              <w:rPr>
                <w:rFonts w:ascii="Arial" w:cs="Arial" w:eastAsia="Arial" w:hAnsi="Arial"/>
                <w:sz w:val="18"/>
                <w:szCs w:val="18"/>
                <w:color w:val="auto"/>
              </w:rPr>
              <w:t>security holders</w:t>
            </w:r>
          </w:p>
        </w:tc>
        <w:tc>
          <w:tcPr>
            <w:tcW w:w="2680" w:type="dxa"/>
            <w:vAlign w:val="bottom"/>
            <w:vMerge w:val="continue"/>
          </w:tcPr>
          <w:p>
            <w:pPr>
              <w:spacing w:after="0"/>
              <w:rPr>
                <w:sz w:val="9"/>
                <w:szCs w:val="9"/>
                <w:color w:val="auto"/>
              </w:rPr>
            </w:pPr>
          </w:p>
        </w:tc>
        <w:tc>
          <w:tcPr>
            <w:tcW w:w="2660" w:type="dxa"/>
            <w:vAlign w:val="bottom"/>
            <w:vMerge w:val="continue"/>
          </w:tcPr>
          <w:p>
            <w:pPr>
              <w:spacing w:after="0"/>
              <w:rPr>
                <w:sz w:val="9"/>
                <w:szCs w:val="9"/>
                <w:color w:val="auto"/>
              </w:rPr>
            </w:pPr>
          </w:p>
        </w:tc>
        <w:tc>
          <w:tcPr>
            <w:tcW w:w="25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480" w:type="dxa"/>
            <w:vAlign w:val="bottom"/>
            <w:vMerge w:val="continue"/>
          </w:tcPr>
          <w:p>
            <w:pPr>
              <w:spacing w:after="0"/>
              <w:rPr>
                <w:sz w:val="9"/>
                <w:szCs w:val="9"/>
                <w:color w:val="auto"/>
              </w:rPr>
            </w:pPr>
          </w:p>
        </w:tc>
        <w:tc>
          <w:tcPr>
            <w:tcW w:w="2680" w:type="dxa"/>
            <w:vAlign w:val="bottom"/>
          </w:tcPr>
          <w:p>
            <w:pPr>
              <w:spacing w:after="0"/>
              <w:rPr>
                <w:sz w:val="9"/>
                <w:szCs w:val="9"/>
                <w:color w:val="auto"/>
              </w:rPr>
            </w:pPr>
          </w:p>
        </w:tc>
        <w:tc>
          <w:tcPr>
            <w:tcW w:w="2660" w:type="dxa"/>
            <w:vAlign w:val="bottom"/>
          </w:tcPr>
          <w:p>
            <w:pPr>
              <w:spacing w:after="0"/>
              <w:rPr>
                <w:sz w:val="9"/>
                <w:szCs w:val="9"/>
                <w:color w:val="auto"/>
              </w:rPr>
            </w:pPr>
          </w:p>
        </w:tc>
        <w:tc>
          <w:tcPr>
            <w:tcW w:w="2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5"/>
        </w:trPr>
        <w:tc>
          <w:tcPr>
            <w:tcW w:w="34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w w:val="97"/>
              </w:rPr>
              <w:t xml:space="preserve">2018 PROXY STATEMENT </w:t>
            </w:r>
            <w:r>
              <w:rPr>
                <w:rFonts w:ascii="Arial" w:cs="Arial" w:eastAsia="Arial" w:hAnsi="Arial"/>
                <w:sz w:val="18"/>
                <w:szCs w:val="18"/>
                <w:b w:val="1"/>
                <w:bCs w:val="1"/>
                <w:color w:val="2C2C2C"/>
                <w:w w:val="97"/>
              </w:rPr>
              <w:t>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5176520</wp:posOffset>
            </wp:positionH>
            <wp:positionV relativeFrom="paragraph">
              <wp:posOffset>-239395</wp:posOffset>
            </wp:positionV>
            <wp:extent cx="488950" cy="2057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88950" cy="20574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8" w:name="page69"/>
    <w:bookmarkEnd w:id="68"/>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SECURITY OWNERSHIP OF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SECURITY OWNERSHIP OF DIRECTORS AND EXECUTIVE OFFICERS</w:t>
      </w:r>
    </w:p>
    <w:p>
      <w:pPr>
        <w:spacing w:after="0" w:line="14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following table sets forth the number of shares of our common stock beneficially owned as of March 12, 2018 (unless noted otherwise) by each director or nominee as a director, each Named Executive and all our directors and executive officers as a group, including shares that those persons have the right to acquire within 60 days on the vesting of restricted stock units or the exercise of stock options.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60" w:type="dxa"/>
            <w:vAlign w:val="bottom"/>
            <w:shd w:val="clear" w:color="auto" w:fill="424242"/>
          </w:tcPr>
          <w:p>
            <w:pPr>
              <w:spacing w:after="0"/>
              <w:rPr>
                <w:sz w:val="15"/>
                <w:szCs w:val="15"/>
                <w:color w:val="auto"/>
              </w:rPr>
            </w:pPr>
          </w:p>
        </w:tc>
        <w:tc>
          <w:tcPr>
            <w:tcW w:w="1960" w:type="dxa"/>
            <w:vAlign w:val="bottom"/>
            <w:gridSpan w:val="2"/>
            <w:shd w:val="clear" w:color="auto" w:fill="424242"/>
          </w:tcPr>
          <w:p>
            <w:pPr>
              <w:jc w:val="center"/>
              <w:ind w:right="120"/>
              <w:spacing w:after="0"/>
              <w:rPr>
                <w:sz w:val="20"/>
                <w:szCs w:val="20"/>
                <w:color w:val="auto"/>
              </w:rPr>
            </w:pPr>
            <w:r>
              <w:rPr>
                <w:rFonts w:ascii="Arial" w:cs="Arial" w:eastAsia="Arial" w:hAnsi="Arial"/>
                <w:sz w:val="14"/>
                <w:szCs w:val="14"/>
                <w:b w:val="1"/>
                <w:bCs w:val="1"/>
                <w:color w:val="FFFFFF"/>
              </w:rPr>
              <w:t>Shares</w:t>
            </w:r>
          </w:p>
        </w:tc>
        <w:tc>
          <w:tcPr>
            <w:tcW w:w="1800" w:type="dxa"/>
            <w:vAlign w:val="bottom"/>
            <w:shd w:val="clear" w:color="auto" w:fill="424242"/>
          </w:tcPr>
          <w:p>
            <w:pPr>
              <w:spacing w:after="0"/>
              <w:rPr>
                <w:sz w:val="15"/>
                <w:szCs w:val="15"/>
                <w:color w:val="auto"/>
              </w:rPr>
            </w:pPr>
          </w:p>
        </w:tc>
      </w:tr>
      <w:tr>
        <w:trPr>
          <w:trHeight w:val="160"/>
        </w:trPr>
        <w:tc>
          <w:tcPr>
            <w:tcW w:w="7660" w:type="dxa"/>
            <w:vAlign w:val="bottom"/>
            <w:shd w:val="clear" w:color="auto" w:fill="424242"/>
          </w:tcPr>
          <w:p>
            <w:pPr>
              <w:spacing w:after="0"/>
              <w:rPr>
                <w:sz w:val="13"/>
                <w:szCs w:val="13"/>
                <w:color w:val="auto"/>
              </w:rPr>
            </w:pPr>
          </w:p>
        </w:tc>
        <w:tc>
          <w:tcPr>
            <w:tcW w:w="1960" w:type="dxa"/>
            <w:vAlign w:val="bottom"/>
            <w:gridSpan w:val="2"/>
            <w:shd w:val="clear" w:color="auto" w:fill="424242"/>
          </w:tcPr>
          <w:p>
            <w:pPr>
              <w:jc w:val="center"/>
              <w:ind w:right="120"/>
              <w:spacing w:after="0"/>
              <w:rPr>
                <w:sz w:val="20"/>
                <w:szCs w:val="20"/>
                <w:color w:val="auto"/>
              </w:rPr>
            </w:pPr>
            <w:r>
              <w:rPr>
                <w:rFonts w:ascii="Arial" w:cs="Arial" w:eastAsia="Arial" w:hAnsi="Arial"/>
                <w:sz w:val="14"/>
                <w:szCs w:val="14"/>
                <w:b w:val="1"/>
                <w:bCs w:val="1"/>
                <w:color w:val="FFFFFF"/>
              </w:rPr>
              <w:t>Beneficially</w:t>
            </w:r>
          </w:p>
        </w:tc>
        <w:tc>
          <w:tcPr>
            <w:tcW w:w="1800" w:type="dxa"/>
            <w:vAlign w:val="bottom"/>
            <w:shd w:val="clear" w:color="auto" w:fill="424242"/>
          </w:tcPr>
          <w:p>
            <w:pPr>
              <w:jc w:val="right"/>
              <w:ind w:right="572"/>
              <w:spacing w:after="0"/>
              <w:rPr>
                <w:sz w:val="20"/>
                <w:szCs w:val="20"/>
                <w:color w:val="auto"/>
              </w:rPr>
            </w:pPr>
            <w:r>
              <w:rPr>
                <w:rFonts w:ascii="Arial" w:cs="Arial" w:eastAsia="Arial" w:hAnsi="Arial"/>
                <w:sz w:val="14"/>
                <w:szCs w:val="14"/>
                <w:b w:val="1"/>
                <w:bCs w:val="1"/>
                <w:color w:val="FFFFFF"/>
              </w:rPr>
              <w:t>Shares</w:t>
            </w:r>
          </w:p>
        </w:tc>
      </w:tr>
      <w:tr>
        <w:trPr>
          <w:trHeight w:val="204"/>
        </w:trPr>
        <w:tc>
          <w:tcPr>
            <w:tcW w:w="7660" w:type="dxa"/>
            <w:vAlign w:val="bottom"/>
            <w:shd w:val="clear" w:color="auto" w:fill="424242"/>
          </w:tcPr>
          <w:p>
            <w:pPr>
              <w:ind w:left="180"/>
              <w:spacing w:after="0"/>
              <w:rPr>
                <w:sz w:val="20"/>
                <w:szCs w:val="20"/>
                <w:color w:val="auto"/>
              </w:rPr>
            </w:pPr>
            <w:r>
              <w:rPr>
                <w:rFonts w:ascii="Arial" w:cs="Arial" w:eastAsia="Arial" w:hAnsi="Arial"/>
                <w:sz w:val="14"/>
                <w:szCs w:val="14"/>
                <w:b w:val="1"/>
                <w:bCs w:val="1"/>
                <w:color w:val="FFFFFF"/>
              </w:rPr>
              <w:t>Name</w:t>
            </w:r>
          </w:p>
        </w:tc>
        <w:tc>
          <w:tcPr>
            <w:tcW w:w="1960" w:type="dxa"/>
            <w:vAlign w:val="bottom"/>
            <w:gridSpan w:val="2"/>
            <w:shd w:val="clear" w:color="auto" w:fill="424242"/>
          </w:tcPr>
          <w:p>
            <w:pPr>
              <w:jc w:val="center"/>
              <w:ind w:right="120"/>
              <w:spacing w:after="0"/>
              <w:rPr>
                <w:sz w:val="20"/>
                <w:szCs w:val="20"/>
                <w:color w:val="auto"/>
              </w:rPr>
            </w:pPr>
            <w:r>
              <w:rPr>
                <w:rFonts w:ascii="Arial" w:cs="Arial" w:eastAsia="Arial" w:hAnsi="Arial"/>
                <w:sz w:val="14"/>
                <w:szCs w:val="14"/>
                <w:b w:val="1"/>
                <w:bCs w:val="1"/>
                <w:color w:val="FFFFFF"/>
              </w:rPr>
              <w:t>Owned</w:t>
            </w:r>
          </w:p>
        </w:tc>
        <w:tc>
          <w:tcPr>
            <w:tcW w:w="1800" w:type="dxa"/>
            <w:vAlign w:val="bottom"/>
            <w:shd w:val="clear" w:color="auto" w:fill="424242"/>
          </w:tcPr>
          <w:p>
            <w:pPr>
              <w:jc w:val="right"/>
              <w:ind w:right="392"/>
              <w:spacing w:after="0" w:line="205" w:lineRule="exact"/>
              <w:rPr>
                <w:sz w:val="20"/>
                <w:szCs w:val="20"/>
                <w:color w:val="auto"/>
              </w:rPr>
            </w:pPr>
            <w:r>
              <w:rPr>
                <w:rFonts w:ascii="Arial" w:cs="Arial" w:eastAsia="Arial" w:hAnsi="Arial"/>
                <w:sz w:val="14"/>
                <w:szCs w:val="14"/>
                <w:b w:val="1"/>
                <w:bCs w:val="1"/>
                <w:color w:val="FFFFFF"/>
              </w:rPr>
              <w:t>Deferred</w:t>
            </w:r>
            <w:r>
              <w:rPr>
                <w:rFonts w:ascii="Arial" w:cs="Arial" w:eastAsia="Arial" w:hAnsi="Arial"/>
                <w:sz w:val="21"/>
                <w:szCs w:val="21"/>
                <w:b w:val="1"/>
                <w:bCs w:val="1"/>
                <w:color w:val="FFFFFF"/>
                <w:vertAlign w:val="superscript"/>
              </w:rPr>
              <w:t>(1)</w:t>
            </w:r>
          </w:p>
        </w:tc>
      </w:tr>
      <w:tr>
        <w:trPr>
          <w:trHeight w:val="270"/>
        </w:trPr>
        <w:tc>
          <w:tcPr>
            <w:tcW w:w="7660" w:type="dxa"/>
            <w:vAlign w:val="bottom"/>
            <w:shd w:val="clear" w:color="auto" w:fill="D8D8D8"/>
          </w:tcPr>
          <w:p>
            <w:pPr>
              <w:ind w:left="180"/>
              <w:spacing w:after="0"/>
              <w:rPr>
                <w:sz w:val="20"/>
                <w:szCs w:val="20"/>
                <w:color w:val="auto"/>
              </w:rPr>
            </w:pPr>
            <w:r>
              <w:rPr>
                <w:rFonts w:ascii="Arial" w:cs="Arial" w:eastAsia="Arial" w:hAnsi="Arial"/>
                <w:sz w:val="18"/>
                <w:szCs w:val="18"/>
                <w:color w:val="auto"/>
              </w:rPr>
              <w:t>Jan A. Bertsch</w:t>
            </w:r>
          </w:p>
        </w:tc>
        <w:tc>
          <w:tcPr>
            <w:tcW w:w="184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7,379</w:t>
            </w:r>
          </w:p>
        </w:tc>
        <w:tc>
          <w:tcPr>
            <w:tcW w:w="120" w:type="dxa"/>
            <w:vAlign w:val="bottom"/>
            <w:shd w:val="clear" w:color="auto" w:fill="D8D8D8"/>
          </w:tcPr>
          <w:p>
            <w:pPr>
              <w:spacing w:after="0"/>
              <w:rPr>
                <w:sz w:val="23"/>
                <w:szCs w:val="23"/>
                <w:color w:val="auto"/>
              </w:rPr>
            </w:pPr>
          </w:p>
        </w:tc>
        <w:tc>
          <w:tcPr>
            <w:tcW w:w="18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13,657</w:t>
            </w:r>
          </w:p>
        </w:tc>
      </w:tr>
      <w:tr>
        <w:trPr>
          <w:trHeight w:val="270"/>
        </w:trPr>
        <w:tc>
          <w:tcPr>
            <w:tcW w:w="7660" w:type="dxa"/>
            <w:vAlign w:val="bottom"/>
          </w:tcPr>
          <w:p>
            <w:pPr>
              <w:ind w:left="180"/>
              <w:spacing w:after="0"/>
              <w:rPr>
                <w:sz w:val="20"/>
                <w:szCs w:val="20"/>
                <w:color w:val="auto"/>
              </w:rPr>
            </w:pPr>
            <w:r>
              <w:rPr>
                <w:rFonts w:ascii="Arial" w:cs="Arial" w:eastAsia="Arial" w:hAnsi="Arial"/>
                <w:sz w:val="18"/>
                <w:szCs w:val="18"/>
                <w:color w:val="auto"/>
              </w:rPr>
              <w:t>David S. Black</w:t>
            </w:r>
            <w:r>
              <w:rPr>
                <w:rFonts w:ascii="Arial" w:cs="Arial" w:eastAsia="Arial" w:hAnsi="Arial"/>
                <w:sz w:val="21"/>
                <w:szCs w:val="21"/>
                <w:color w:val="auto"/>
                <w:vertAlign w:val="superscript"/>
              </w:rPr>
              <w:t>(2)</w:t>
            </w:r>
          </w:p>
        </w:tc>
        <w:tc>
          <w:tcPr>
            <w:tcW w:w="1840" w:type="dxa"/>
            <w:vAlign w:val="bottom"/>
          </w:tcPr>
          <w:p>
            <w:pPr>
              <w:jc w:val="right"/>
              <w:ind w:right="33"/>
              <w:spacing w:after="0"/>
              <w:rPr>
                <w:sz w:val="20"/>
                <w:szCs w:val="20"/>
                <w:color w:val="auto"/>
              </w:rPr>
            </w:pPr>
            <w:r>
              <w:rPr>
                <w:rFonts w:ascii="Arial" w:cs="Arial" w:eastAsia="Arial" w:hAnsi="Arial"/>
                <w:sz w:val="18"/>
                <w:szCs w:val="18"/>
                <w:color w:val="auto"/>
              </w:rPr>
              <w:t>90,417</w:t>
            </w:r>
          </w:p>
        </w:tc>
        <w:tc>
          <w:tcPr>
            <w:tcW w:w="120" w:type="dxa"/>
            <w:vAlign w:val="bottom"/>
          </w:tcPr>
          <w:p>
            <w:pPr>
              <w:spacing w:after="0"/>
              <w:rPr>
                <w:sz w:val="23"/>
                <w:szCs w:val="23"/>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7660" w:type="dxa"/>
            <w:vAlign w:val="bottom"/>
            <w:shd w:val="clear" w:color="auto" w:fill="D8D8D8"/>
          </w:tcPr>
          <w:p>
            <w:pPr>
              <w:ind w:left="180"/>
              <w:spacing w:after="0"/>
              <w:rPr>
                <w:sz w:val="20"/>
                <w:szCs w:val="20"/>
                <w:color w:val="auto"/>
              </w:rPr>
            </w:pPr>
            <w:r>
              <w:rPr>
                <w:rFonts w:ascii="Arial" w:cs="Arial" w:eastAsia="Arial" w:hAnsi="Arial"/>
                <w:sz w:val="18"/>
                <w:szCs w:val="18"/>
                <w:color w:val="auto"/>
              </w:rPr>
              <w:t>James D. Canafax</w:t>
            </w:r>
            <w:r>
              <w:rPr>
                <w:rFonts w:ascii="Arial" w:cs="Arial" w:eastAsia="Arial" w:hAnsi="Arial"/>
                <w:sz w:val="21"/>
                <w:szCs w:val="21"/>
                <w:color w:val="auto"/>
                <w:vertAlign w:val="superscript"/>
              </w:rPr>
              <w:t>(3)</w:t>
            </w:r>
          </w:p>
        </w:tc>
        <w:tc>
          <w:tcPr>
            <w:tcW w:w="184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163,135</w:t>
            </w:r>
          </w:p>
        </w:tc>
        <w:tc>
          <w:tcPr>
            <w:tcW w:w="120" w:type="dxa"/>
            <w:vAlign w:val="bottom"/>
            <w:shd w:val="clear" w:color="auto" w:fill="D8D8D8"/>
          </w:tcPr>
          <w:p>
            <w:pPr>
              <w:spacing w:after="0"/>
              <w:rPr>
                <w:sz w:val="23"/>
                <w:szCs w:val="23"/>
                <w:color w:val="auto"/>
              </w:rPr>
            </w:pPr>
          </w:p>
        </w:tc>
        <w:tc>
          <w:tcPr>
            <w:tcW w:w="1800" w:type="dxa"/>
            <w:vAlign w:val="bottom"/>
            <w:shd w:val="clear" w:color="auto" w:fill="D1D1D1"/>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7660" w:type="dxa"/>
            <w:vAlign w:val="bottom"/>
          </w:tcPr>
          <w:p>
            <w:pPr>
              <w:ind w:left="180"/>
              <w:spacing w:after="0"/>
              <w:rPr>
                <w:sz w:val="20"/>
                <w:szCs w:val="20"/>
                <w:color w:val="auto"/>
              </w:rPr>
            </w:pPr>
            <w:r>
              <w:rPr>
                <w:rFonts w:ascii="Arial" w:cs="Arial" w:eastAsia="Arial" w:hAnsi="Arial"/>
                <w:sz w:val="18"/>
                <w:szCs w:val="18"/>
                <w:color w:val="auto"/>
              </w:rPr>
              <w:t>John A. Fees</w:t>
            </w:r>
            <w:r>
              <w:rPr>
                <w:rFonts w:ascii="Arial" w:cs="Arial" w:eastAsia="Arial" w:hAnsi="Arial"/>
                <w:sz w:val="21"/>
                <w:szCs w:val="21"/>
                <w:color w:val="auto"/>
                <w:vertAlign w:val="superscript"/>
              </w:rPr>
              <w:t>(4)</w:t>
            </w:r>
          </w:p>
        </w:tc>
        <w:tc>
          <w:tcPr>
            <w:tcW w:w="1840" w:type="dxa"/>
            <w:vAlign w:val="bottom"/>
          </w:tcPr>
          <w:p>
            <w:pPr>
              <w:jc w:val="right"/>
              <w:ind w:right="33"/>
              <w:spacing w:after="0"/>
              <w:rPr>
                <w:sz w:val="20"/>
                <w:szCs w:val="20"/>
                <w:color w:val="auto"/>
              </w:rPr>
            </w:pPr>
            <w:r>
              <w:rPr>
                <w:rFonts w:ascii="Arial" w:cs="Arial" w:eastAsia="Arial" w:hAnsi="Arial"/>
                <w:sz w:val="18"/>
                <w:szCs w:val="18"/>
                <w:color w:val="auto"/>
              </w:rPr>
              <w:t>74,946</w:t>
            </w:r>
          </w:p>
        </w:tc>
        <w:tc>
          <w:tcPr>
            <w:tcW w:w="120" w:type="dxa"/>
            <w:vAlign w:val="bottom"/>
          </w:tcPr>
          <w:p>
            <w:pPr>
              <w:spacing w:after="0"/>
              <w:rPr>
                <w:sz w:val="23"/>
                <w:szCs w:val="23"/>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78,333</w:t>
            </w:r>
          </w:p>
        </w:tc>
      </w:tr>
      <w:tr>
        <w:trPr>
          <w:trHeight w:val="270"/>
        </w:trPr>
        <w:tc>
          <w:tcPr>
            <w:tcW w:w="7660" w:type="dxa"/>
            <w:vAlign w:val="bottom"/>
            <w:shd w:val="clear" w:color="auto" w:fill="D8D8D8"/>
          </w:tcPr>
          <w:p>
            <w:pPr>
              <w:ind w:left="180"/>
              <w:spacing w:after="0"/>
              <w:rPr>
                <w:sz w:val="20"/>
                <w:szCs w:val="20"/>
                <w:color w:val="auto"/>
              </w:rPr>
            </w:pPr>
            <w:r>
              <w:rPr>
                <w:rFonts w:ascii="Arial" w:cs="Arial" w:eastAsia="Arial" w:hAnsi="Arial"/>
                <w:sz w:val="18"/>
                <w:szCs w:val="18"/>
                <w:color w:val="auto"/>
              </w:rPr>
              <w:t>Rex D. Geveden</w:t>
            </w:r>
          </w:p>
        </w:tc>
        <w:tc>
          <w:tcPr>
            <w:tcW w:w="184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22,407</w:t>
            </w:r>
          </w:p>
        </w:tc>
        <w:tc>
          <w:tcPr>
            <w:tcW w:w="120" w:type="dxa"/>
            <w:vAlign w:val="bottom"/>
            <w:shd w:val="clear" w:color="auto" w:fill="D8D8D8"/>
          </w:tcPr>
          <w:p>
            <w:pPr>
              <w:spacing w:after="0"/>
              <w:rPr>
                <w:sz w:val="23"/>
                <w:szCs w:val="23"/>
                <w:color w:val="auto"/>
              </w:rPr>
            </w:pPr>
          </w:p>
        </w:tc>
        <w:tc>
          <w:tcPr>
            <w:tcW w:w="1800" w:type="dxa"/>
            <w:vAlign w:val="bottom"/>
            <w:shd w:val="clear" w:color="auto" w:fill="D1D1D1"/>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Robert W. Goldman</w:t>
            </w:r>
          </w:p>
        </w:tc>
        <w:tc>
          <w:tcPr>
            <w:tcW w:w="1840" w:type="dxa"/>
            <w:vAlign w:val="bottom"/>
          </w:tcPr>
          <w:p>
            <w:pPr>
              <w:jc w:val="right"/>
              <w:ind w:right="33"/>
              <w:spacing w:after="0"/>
              <w:rPr>
                <w:sz w:val="20"/>
                <w:szCs w:val="20"/>
                <w:color w:val="auto"/>
              </w:rPr>
            </w:pPr>
            <w:r>
              <w:rPr>
                <w:rFonts w:ascii="Arial" w:cs="Arial" w:eastAsia="Arial" w:hAnsi="Arial"/>
                <w:sz w:val="18"/>
                <w:szCs w:val="18"/>
                <w:color w:val="auto"/>
              </w:rPr>
              <w:t>36,624</w:t>
            </w:r>
          </w:p>
        </w:tc>
        <w:tc>
          <w:tcPr>
            <w:tcW w:w="12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660" w:type="dxa"/>
            <w:vAlign w:val="bottom"/>
            <w:shd w:val="clear" w:color="auto" w:fill="D8D8D8"/>
          </w:tcPr>
          <w:p>
            <w:pPr>
              <w:ind w:left="180"/>
              <w:spacing w:after="0"/>
              <w:rPr>
                <w:sz w:val="20"/>
                <w:szCs w:val="20"/>
                <w:color w:val="auto"/>
              </w:rPr>
            </w:pPr>
            <w:r>
              <w:rPr>
                <w:rFonts w:ascii="Arial" w:cs="Arial" w:eastAsia="Arial" w:hAnsi="Arial"/>
                <w:sz w:val="18"/>
                <w:szCs w:val="18"/>
                <w:color w:val="auto"/>
              </w:rPr>
              <w:t>Joseph G. Henry</w:t>
            </w:r>
            <w:r>
              <w:rPr>
                <w:rFonts w:ascii="Arial" w:cs="Arial" w:eastAsia="Arial" w:hAnsi="Arial"/>
                <w:sz w:val="21"/>
                <w:szCs w:val="21"/>
                <w:color w:val="auto"/>
                <w:vertAlign w:val="superscript"/>
              </w:rPr>
              <w:t>(5)</w:t>
            </w:r>
          </w:p>
        </w:tc>
        <w:tc>
          <w:tcPr>
            <w:tcW w:w="184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46,641</w:t>
            </w:r>
          </w:p>
        </w:tc>
        <w:tc>
          <w:tcPr>
            <w:tcW w:w="120" w:type="dxa"/>
            <w:vAlign w:val="bottom"/>
            <w:shd w:val="clear" w:color="auto" w:fill="D8D8D8"/>
          </w:tcPr>
          <w:p>
            <w:pPr>
              <w:spacing w:after="0"/>
              <w:rPr>
                <w:sz w:val="23"/>
                <w:szCs w:val="23"/>
                <w:color w:val="auto"/>
              </w:rPr>
            </w:pPr>
          </w:p>
        </w:tc>
        <w:tc>
          <w:tcPr>
            <w:tcW w:w="1800" w:type="dxa"/>
            <w:vAlign w:val="bottom"/>
            <w:shd w:val="clear" w:color="auto" w:fill="D1D1D1"/>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7660" w:type="dxa"/>
            <w:vAlign w:val="bottom"/>
          </w:tcPr>
          <w:p>
            <w:pPr>
              <w:ind w:left="180"/>
              <w:spacing w:after="0"/>
              <w:rPr>
                <w:sz w:val="20"/>
                <w:szCs w:val="20"/>
                <w:color w:val="auto"/>
              </w:rPr>
            </w:pPr>
            <w:r>
              <w:rPr>
                <w:rFonts w:ascii="Arial" w:cs="Arial" w:eastAsia="Arial" w:hAnsi="Arial"/>
                <w:sz w:val="18"/>
                <w:szCs w:val="18"/>
                <w:color w:val="auto"/>
              </w:rPr>
              <w:t>James M. Jaska</w:t>
            </w:r>
            <w:r>
              <w:rPr>
                <w:rFonts w:ascii="Arial" w:cs="Arial" w:eastAsia="Arial" w:hAnsi="Arial"/>
                <w:sz w:val="21"/>
                <w:szCs w:val="21"/>
                <w:color w:val="auto"/>
                <w:vertAlign w:val="superscript"/>
              </w:rPr>
              <w:t>(6)</w:t>
            </w:r>
          </w:p>
        </w:tc>
        <w:tc>
          <w:tcPr>
            <w:tcW w:w="1840" w:type="dxa"/>
            <w:vAlign w:val="bottom"/>
          </w:tcPr>
          <w:p>
            <w:pPr>
              <w:jc w:val="right"/>
              <w:ind w:right="33"/>
              <w:spacing w:after="0"/>
              <w:rPr>
                <w:sz w:val="20"/>
                <w:szCs w:val="20"/>
                <w:color w:val="auto"/>
              </w:rPr>
            </w:pPr>
            <w:r>
              <w:rPr>
                <w:rFonts w:ascii="Arial" w:cs="Arial" w:eastAsia="Arial" w:hAnsi="Arial"/>
                <w:sz w:val="18"/>
                <w:szCs w:val="18"/>
                <w:color w:val="auto"/>
              </w:rPr>
              <w:t>4,797</w:t>
            </w:r>
          </w:p>
        </w:tc>
        <w:tc>
          <w:tcPr>
            <w:tcW w:w="120" w:type="dxa"/>
            <w:vAlign w:val="bottom"/>
          </w:tcPr>
          <w:p>
            <w:pPr>
              <w:spacing w:after="0"/>
              <w:rPr>
                <w:sz w:val="23"/>
                <w:szCs w:val="23"/>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7660" w:type="dxa"/>
            <w:vAlign w:val="bottom"/>
            <w:shd w:val="clear" w:color="auto" w:fill="D8D8D8"/>
          </w:tcPr>
          <w:p>
            <w:pPr>
              <w:ind w:left="180"/>
              <w:spacing w:after="0"/>
              <w:rPr>
                <w:sz w:val="20"/>
                <w:szCs w:val="20"/>
                <w:color w:val="auto"/>
              </w:rPr>
            </w:pPr>
            <w:r>
              <w:rPr>
                <w:rFonts w:ascii="Arial" w:cs="Arial" w:eastAsia="Arial" w:hAnsi="Arial"/>
                <w:sz w:val="18"/>
                <w:szCs w:val="18"/>
                <w:color w:val="auto"/>
              </w:rPr>
              <w:t>Jason S. Kerr</w:t>
            </w:r>
            <w:r>
              <w:rPr>
                <w:rFonts w:ascii="Arial" w:cs="Arial" w:eastAsia="Arial" w:hAnsi="Arial"/>
                <w:sz w:val="21"/>
                <w:szCs w:val="21"/>
                <w:color w:val="auto"/>
                <w:vertAlign w:val="superscript"/>
              </w:rPr>
              <w:t>(7)</w:t>
            </w:r>
          </w:p>
        </w:tc>
        <w:tc>
          <w:tcPr>
            <w:tcW w:w="184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11,418</w:t>
            </w:r>
          </w:p>
        </w:tc>
        <w:tc>
          <w:tcPr>
            <w:tcW w:w="120" w:type="dxa"/>
            <w:vAlign w:val="bottom"/>
            <w:shd w:val="clear" w:color="auto" w:fill="D8D8D8"/>
          </w:tcPr>
          <w:p>
            <w:pPr>
              <w:spacing w:after="0"/>
              <w:rPr>
                <w:sz w:val="23"/>
                <w:szCs w:val="23"/>
                <w:color w:val="auto"/>
              </w:rPr>
            </w:pPr>
          </w:p>
        </w:tc>
        <w:tc>
          <w:tcPr>
            <w:tcW w:w="1800" w:type="dxa"/>
            <w:vAlign w:val="bottom"/>
            <w:shd w:val="clear" w:color="auto" w:fill="D1D1D1"/>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7660" w:type="dxa"/>
            <w:vAlign w:val="bottom"/>
          </w:tcPr>
          <w:p>
            <w:pPr>
              <w:ind w:left="180"/>
              <w:spacing w:after="0"/>
              <w:rPr>
                <w:sz w:val="20"/>
                <w:szCs w:val="20"/>
                <w:color w:val="auto"/>
              </w:rPr>
            </w:pPr>
            <w:r>
              <w:rPr>
                <w:rFonts w:ascii="Arial" w:cs="Arial" w:eastAsia="Arial" w:hAnsi="Arial"/>
                <w:sz w:val="18"/>
                <w:szCs w:val="18"/>
                <w:color w:val="auto"/>
              </w:rPr>
              <w:t>Kenneth J. Krieg</w:t>
            </w:r>
            <w:r>
              <w:rPr>
                <w:rFonts w:ascii="Arial" w:cs="Arial" w:eastAsia="Arial" w:hAnsi="Arial"/>
                <w:sz w:val="21"/>
                <w:szCs w:val="21"/>
                <w:color w:val="auto"/>
                <w:vertAlign w:val="superscript"/>
              </w:rPr>
              <w:t>(6)</w:t>
            </w:r>
          </w:p>
        </w:tc>
        <w:tc>
          <w:tcPr>
            <w:tcW w:w="1840" w:type="dxa"/>
            <w:vAlign w:val="bottom"/>
          </w:tcPr>
          <w:p>
            <w:pPr>
              <w:jc w:val="right"/>
              <w:ind w:right="33"/>
              <w:spacing w:after="0"/>
              <w:rPr>
                <w:sz w:val="20"/>
                <w:szCs w:val="20"/>
                <w:color w:val="auto"/>
              </w:rPr>
            </w:pPr>
            <w:r>
              <w:rPr>
                <w:rFonts w:ascii="Arial" w:cs="Arial" w:eastAsia="Arial" w:hAnsi="Arial"/>
                <w:sz w:val="18"/>
                <w:szCs w:val="18"/>
                <w:color w:val="auto"/>
              </w:rPr>
              <w:t>4,797</w:t>
            </w:r>
          </w:p>
        </w:tc>
        <w:tc>
          <w:tcPr>
            <w:tcW w:w="120" w:type="dxa"/>
            <w:vAlign w:val="bottom"/>
          </w:tcPr>
          <w:p>
            <w:pPr>
              <w:spacing w:after="0"/>
              <w:rPr>
                <w:sz w:val="23"/>
                <w:szCs w:val="23"/>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7660" w:type="dxa"/>
            <w:vAlign w:val="bottom"/>
            <w:shd w:val="clear" w:color="auto" w:fill="D8D8D8"/>
          </w:tcPr>
          <w:p>
            <w:pPr>
              <w:ind w:left="180"/>
              <w:spacing w:after="0"/>
              <w:rPr>
                <w:sz w:val="20"/>
                <w:szCs w:val="20"/>
                <w:color w:val="auto"/>
              </w:rPr>
            </w:pPr>
            <w:r>
              <w:rPr>
                <w:rFonts w:ascii="Arial" w:cs="Arial" w:eastAsia="Arial" w:hAnsi="Arial"/>
                <w:sz w:val="18"/>
                <w:szCs w:val="18"/>
                <w:color w:val="auto"/>
              </w:rPr>
              <w:t>Robb A. LeMasters</w:t>
            </w:r>
            <w:r>
              <w:rPr>
                <w:rFonts w:ascii="Arial" w:cs="Arial" w:eastAsia="Arial" w:hAnsi="Arial"/>
                <w:sz w:val="21"/>
                <w:szCs w:val="21"/>
                <w:color w:val="auto"/>
                <w:vertAlign w:val="superscript"/>
              </w:rPr>
              <w:t>(6)</w:t>
            </w:r>
          </w:p>
        </w:tc>
        <w:tc>
          <w:tcPr>
            <w:tcW w:w="1840" w:type="dxa"/>
            <w:vAlign w:val="bottom"/>
            <w:shd w:val="clear" w:color="auto" w:fill="D1D1D1"/>
          </w:tcPr>
          <w:p>
            <w:pPr>
              <w:jc w:val="right"/>
              <w:ind w:right="33"/>
              <w:spacing w:after="0"/>
              <w:rPr>
                <w:sz w:val="20"/>
                <w:szCs w:val="20"/>
                <w:color w:val="auto"/>
              </w:rPr>
            </w:pPr>
            <w:r>
              <w:rPr>
                <w:rFonts w:ascii="Arial" w:cs="Arial" w:eastAsia="Arial" w:hAnsi="Arial"/>
                <w:sz w:val="18"/>
                <w:szCs w:val="18"/>
                <w:color w:val="auto"/>
              </w:rPr>
              <w:t>11,142</w:t>
            </w:r>
          </w:p>
        </w:tc>
        <w:tc>
          <w:tcPr>
            <w:tcW w:w="120" w:type="dxa"/>
            <w:vAlign w:val="bottom"/>
            <w:shd w:val="clear" w:color="auto" w:fill="D8D8D8"/>
          </w:tcPr>
          <w:p>
            <w:pPr>
              <w:spacing w:after="0"/>
              <w:rPr>
                <w:sz w:val="23"/>
                <w:szCs w:val="23"/>
                <w:color w:val="auto"/>
              </w:rPr>
            </w:pPr>
          </w:p>
        </w:tc>
        <w:tc>
          <w:tcPr>
            <w:tcW w:w="1800" w:type="dxa"/>
            <w:vAlign w:val="bottom"/>
            <w:shd w:val="clear" w:color="auto" w:fill="D1D1D1"/>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7660" w:type="dxa"/>
            <w:vAlign w:val="bottom"/>
          </w:tcPr>
          <w:p>
            <w:pPr>
              <w:ind w:left="180"/>
              <w:spacing w:after="0"/>
              <w:rPr>
                <w:sz w:val="20"/>
                <w:szCs w:val="20"/>
                <w:color w:val="auto"/>
              </w:rPr>
            </w:pPr>
            <w:r>
              <w:rPr>
                <w:rFonts w:ascii="Arial" w:cs="Arial" w:eastAsia="Arial" w:hAnsi="Arial"/>
                <w:sz w:val="18"/>
                <w:szCs w:val="18"/>
                <w:color w:val="auto"/>
              </w:rPr>
              <w:t>Richard W. Loving</w:t>
            </w:r>
            <w:r>
              <w:rPr>
                <w:rFonts w:ascii="Arial" w:cs="Arial" w:eastAsia="Arial" w:hAnsi="Arial"/>
                <w:sz w:val="21"/>
                <w:szCs w:val="21"/>
                <w:color w:val="auto"/>
                <w:vertAlign w:val="superscript"/>
              </w:rPr>
              <w:t>(8)</w:t>
            </w:r>
          </w:p>
        </w:tc>
        <w:tc>
          <w:tcPr>
            <w:tcW w:w="1840" w:type="dxa"/>
            <w:vAlign w:val="bottom"/>
          </w:tcPr>
          <w:p>
            <w:pPr>
              <w:jc w:val="right"/>
              <w:ind w:right="33"/>
              <w:spacing w:after="0"/>
              <w:rPr>
                <w:sz w:val="20"/>
                <w:szCs w:val="20"/>
                <w:color w:val="auto"/>
              </w:rPr>
            </w:pPr>
            <w:r>
              <w:rPr>
                <w:rFonts w:ascii="Arial" w:cs="Arial" w:eastAsia="Arial" w:hAnsi="Arial"/>
                <w:sz w:val="18"/>
                <w:szCs w:val="18"/>
                <w:color w:val="auto"/>
              </w:rPr>
              <w:t>7,438</w:t>
            </w:r>
          </w:p>
        </w:tc>
        <w:tc>
          <w:tcPr>
            <w:tcW w:w="120" w:type="dxa"/>
            <w:vAlign w:val="bottom"/>
          </w:tcPr>
          <w:p>
            <w:pPr>
              <w:spacing w:after="0"/>
              <w:rPr>
                <w:sz w:val="23"/>
                <w:szCs w:val="23"/>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7660" w:type="dxa"/>
            <w:vAlign w:val="bottom"/>
            <w:shd w:val="clear" w:color="auto" w:fill="D8D8D8"/>
          </w:tcPr>
          <w:p>
            <w:pPr>
              <w:ind w:left="180"/>
              <w:spacing w:after="0"/>
              <w:rPr>
                <w:sz w:val="20"/>
                <w:szCs w:val="20"/>
                <w:color w:val="auto"/>
              </w:rPr>
            </w:pPr>
            <w:r>
              <w:rPr>
                <w:rFonts w:ascii="Arial" w:cs="Arial" w:eastAsia="Arial" w:hAnsi="Arial"/>
                <w:sz w:val="18"/>
                <w:szCs w:val="18"/>
                <w:color w:val="auto"/>
              </w:rPr>
              <w:t>Adm. Richard W. Mies</w:t>
            </w:r>
            <w:r>
              <w:rPr>
                <w:rFonts w:ascii="Arial" w:cs="Arial" w:eastAsia="Arial" w:hAnsi="Arial"/>
                <w:sz w:val="21"/>
                <w:szCs w:val="21"/>
                <w:color w:val="auto"/>
                <w:vertAlign w:val="superscript"/>
              </w:rPr>
              <w:t>(9)</w:t>
            </w:r>
          </w:p>
        </w:tc>
        <w:tc>
          <w:tcPr>
            <w:tcW w:w="184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9,013</w:t>
            </w:r>
          </w:p>
        </w:tc>
        <w:tc>
          <w:tcPr>
            <w:tcW w:w="120" w:type="dxa"/>
            <w:vAlign w:val="bottom"/>
            <w:shd w:val="clear" w:color="auto" w:fill="D8D8D8"/>
          </w:tcPr>
          <w:p>
            <w:pPr>
              <w:spacing w:after="0"/>
              <w:rPr>
                <w:sz w:val="23"/>
                <w:szCs w:val="23"/>
                <w:color w:val="auto"/>
              </w:rPr>
            </w:pPr>
          </w:p>
        </w:tc>
        <w:tc>
          <w:tcPr>
            <w:tcW w:w="18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25,373</w:t>
            </w:r>
          </w:p>
        </w:tc>
      </w:tr>
      <w:tr>
        <w:trPr>
          <w:trHeight w:val="270"/>
        </w:trPr>
        <w:tc>
          <w:tcPr>
            <w:tcW w:w="7660" w:type="dxa"/>
            <w:vAlign w:val="bottom"/>
          </w:tcPr>
          <w:p>
            <w:pPr>
              <w:ind w:left="180"/>
              <w:spacing w:after="0"/>
              <w:rPr>
                <w:sz w:val="20"/>
                <w:szCs w:val="20"/>
                <w:color w:val="auto"/>
              </w:rPr>
            </w:pPr>
            <w:r>
              <w:rPr>
                <w:rFonts w:ascii="Arial" w:cs="Arial" w:eastAsia="Arial" w:hAnsi="Arial"/>
                <w:sz w:val="18"/>
                <w:szCs w:val="18"/>
                <w:color w:val="auto"/>
              </w:rPr>
              <w:t>Robert L. Nardelli</w:t>
            </w:r>
            <w:r>
              <w:rPr>
                <w:rFonts w:ascii="Arial" w:cs="Arial" w:eastAsia="Arial" w:hAnsi="Arial"/>
                <w:sz w:val="21"/>
                <w:szCs w:val="21"/>
                <w:color w:val="auto"/>
                <w:vertAlign w:val="superscript"/>
              </w:rPr>
              <w:t>(6)</w:t>
            </w:r>
          </w:p>
        </w:tc>
        <w:tc>
          <w:tcPr>
            <w:tcW w:w="1840" w:type="dxa"/>
            <w:vAlign w:val="bottom"/>
          </w:tcPr>
          <w:p>
            <w:pPr>
              <w:jc w:val="right"/>
              <w:ind w:right="33"/>
              <w:spacing w:after="0"/>
              <w:rPr>
                <w:sz w:val="20"/>
                <w:szCs w:val="20"/>
                <w:color w:val="auto"/>
              </w:rPr>
            </w:pPr>
            <w:r>
              <w:rPr>
                <w:rFonts w:ascii="Arial" w:cs="Arial" w:eastAsia="Arial" w:hAnsi="Arial"/>
                <w:sz w:val="18"/>
                <w:szCs w:val="18"/>
                <w:color w:val="auto"/>
              </w:rPr>
              <w:t>13,657</w:t>
            </w:r>
          </w:p>
        </w:tc>
        <w:tc>
          <w:tcPr>
            <w:tcW w:w="120" w:type="dxa"/>
            <w:vAlign w:val="bottom"/>
          </w:tcPr>
          <w:p>
            <w:pPr>
              <w:spacing w:after="0"/>
              <w:rPr>
                <w:sz w:val="23"/>
                <w:szCs w:val="23"/>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7660" w:type="dxa"/>
            <w:vAlign w:val="bottom"/>
            <w:shd w:val="clear" w:color="auto" w:fill="D8D8D8"/>
          </w:tcPr>
          <w:p>
            <w:pPr>
              <w:ind w:left="180"/>
              <w:spacing w:after="0"/>
              <w:rPr>
                <w:sz w:val="20"/>
                <w:szCs w:val="20"/>
                <w:color w:val="auto"/>
              </w:rPr>
            </w:pPr>
            <w:r>
              <w:rPr>
                <w:rFonts w:ascii="Arial" w:cs="Arial" w:eastAsia="Arial" w:hAnsi="Arial"/>
                <w:sz w:val="18"/>
                <w:szCs w:val="18"/>
                <w:color w:val="auto"/>
              </w:rPr>
              <w:t>Barbara A. Niland</w:t>
            </w:r>
            <w:r>
              <w:rPr>
                <w:rFonts w:ascii="Arial" w:cs="Arial" w:eastAsia="Arial" w:hAnsi="Arial"/>
                <w:sz w:val="21"/>
                <w:szCs w:val="21"/>
                <w:color w:val="auto"/>
                <w:vertAlign w:val="superscript"/>
              </w:rPr>
              <w:t>(6)</w:t>
            </w:r>
          </w:p>
        </w:tc>
        <w:tc>
          <w:tcPr>
            <w:tcW w:w="184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4,758</w:t>
            </w:r>
          </w:p>
        </w:tc>
        <w:tc>
          <w:tcPr>
            <w:tcW w:w="120" w:type="dxa"/>
            <w:vAlign w:val="bottom"/>
            <w:shd w:val="clear" w:color="auto" w:fill="D8D8D8"/>
          </w:tcPr>
          <w:p>
            <w:pPr>
              <w:spacing w:after="0"/>
              <w:rPr>
                <w:sz w:val="23"/>
                <w:szCs w:val="23"/>
                <w:color w:val="auto"/>
              </w:rPr>
            </w:pPr>
          </w:p>
        </w:tc>
        <w:tc>
          <w:tcPr>
            <w:tcW w:w="1800" w:type="dxa"/>
            <w:vAlign w:val="bottom"/>
            <w:shd w:val="clear" w:color="auto" w:fill="D1D1D1"/>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7660" w:type="dxa"/>
            <w:vAlign w:val="bottom"/>
          </w:tcPr>
          <w:p>
            <w:pPr>
              <w:ind w:left="140"/>
              <w:spacing w:after="0"/>
              <w:rPr>
                <w:sz w:val="20"/>
                <w:szCs w:val="20"/>
                <w:color w:val="auto"/>
              </w:rPr>
            </w:pPr>
            <w:r>
              <w:rPr>
                <w:rFonts w:ascii="Arial" w:cs="Arial" w:eastAsia="Arial" w:hAnsi="Arial"/>
                <w:sz w:val="18"/>
                <w:szCs w:val="18"/>
                <w:color w:val="auto"/>
              </w:rPr>
              <w:t>Charles W. Pryor, Jr.</w:t>
            </w:r>
            <w:r>
              <w:rPr>
                <w:rFonts w:ascii="Arial" w:cs="Arial" w:eastAsia="Arial" w:hAnsi="Arial"/>
                <w:sz w:val="21"/>
                <w:szCs w:val="21"/>
                <w:color w:val="auto"/>
                <w:vertAlign w:val="superscript"/>
              </w:rPr>
              <w:t>(10)</w:t>
            </w:r>
          </w:p>
        </w:tc>
        <w:tc>
          <w:tcPr>
            <w:tcW w:w="1840" w:type="dxa"/>
            <w:vAlign w:val="bottom"/>
          </w:tcPr>
          <w:p>
            <w:pPr>
              <w:jc w:val="right"/>
              <w:ind w:right="33"/>
              <w:spacing w:after="0"/>
              <w:rPr>
                <w:sz w:val="20"/>
                <w:szCs w:val="20"/>
                <w:color w:val="auto"/>
              </w:rPr>
            </w:pPr>
            <w:r>
              <w:rPr>
                <w:rFonts w:ascii="Arial" w:cs="Arial" w:eastAsia="Arial" w:hAnsi="Arial"/>
                <w:sz w:val="18"/>
                <w:szCs w:val="18"/>
                <w:color w:val="auto"/>
              </w:rPr>
              <w:t>11,034</w:t>
            </w:r>
          </w:p>
        </w:tc>
        <w:tc>
          <w:tcPr>
            <w:tcW w:w="120" w:type="dxa"/>
            <w:vAlign w:val="bottom"/>
          </w:tcPr>
          <w:p>
            <w:pPr>
              <w:spacing w:after="0"/>
              <w:rPr>
                <w:sz w:val="23"/>
                <w:szCs w:val="23"/>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r>
      <w:tr>
        <w:trPr>
          <w:trHeight w:val="270"/>
        </w:trPr>
        <w:tc>
          <w:tcPr>
            <w:tcW w:w="7660" w:type="dxa"/>
            <w:vAlign w:val="bottom"/>
            <w:tcBorders>
              <w:bottom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All directors and executive officers as a group (16 persons)</w:t>
            </w:r>
            <w:r>
              <w:rPr>
                <w:rFonts w:ascii="Arial" w:cs="Arial" w:eastAsia="Arial" w:hAnsi="Arial"/>
                <w:sz w:val="21"/>
                <w:szCs w:val="21"/>
                <w:color w:val="auto"/>
                <w:vertAlign w:val="superscript"/>
              </w:rPr>
              <w:t>(11)</w:t>
            </w:r>
          </w:p>
        </w:tc>
        <w:tc>
          <w:tcPr>
            <w:tcW w:w="1840" w:type="dxa"/>
            <w:vAlign w:val="bottom"/>
            <w:tcBorders>
              <w:bottom w:val="single" w:sz="8" w:color="auto"/>
            </w:tcBorders>
            <w:shd w:val="clear" w:color="auto" w:fill="D8D8D8"/>
          </w:tcPr>
          <w:p>
            <w:pPr>
              <w:jc w:val="right"/>
              <w:ind w:right="33"/>
              <w:spacing w:after="0"/>
              <w:rPr>
                <w:sz w:val="20"/>
                <w:szCs w:val="20"/>
                <w:color w:val="auto"/>
              </w:rPr>
            </w:pPr>
            <w:r>
              <w:rPr>
                <w:rFonts w:ascii="Arial" w:cs="Arial" w:eastAsia="Arial" w:hAnsi="Arial"/>
                <w:sz w:val="18"/>
                <w:szCs w:val="18"/>
                <w:color w:val="auto"/>
              </w:rPr>
              <w:t>519,603</w:t>
            </w:r>
          </w:p>
        </w:tc>
        <w:tc>
          <w:tcPr>
            <w:tcW w:w="120" w:type="dxa"/>
            <w:vAlign w:val="bottom"/>
            <w:tcBorders>
              <w:bottom w:val="single" w:sz="8" w:color="auto"/>
            </w:tcBorders>
            <w:shd w:val="clear" w:color="auto" w:fill="D8D8D8"/>
          </w:tcPr>
          <w:p>
            <w:pPr>
              <w:spacing w:after="0"/>
              <w:rPr>
                <w:sz w:val="23"/>
                <w:szCs w:val="23"/>
                <w:color w:val="auto"/>
              </w:rPr>
            </w:pPr>
          </w:p>
        </w:tc>
        <w:tc>
          <w:tcPr>
            <w:tcW w:w="180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117,363</w:t>
            </w:r>
          </w:p>
        </w:tc>
      </w:tr>
    </w:tbl>
    <w:p>
      <w:pPr>
        <w:spacing w:after="0" w:line="112" w:lineRule="exact"/>
        <w:rPr>
          <w:sz w:val="20"/>
          <w:szCs w:val="20"/>
          <w:color w:val="auto"/>
        </w:rPr>
      </w:pPr>
    </w:p>
    <w:p>
      <w:pPr>
        <w:jc w:val="both"/>
        <w:ind w:left="340" w:right="200" w:hanging="332"/>
        <w:spacing w:after="0" w:line="246" w:lineRule="auto"/>
        <w:tabs>
          <w:tab w:leader="none" w:pos="340" w:val="left"/>
        </w:tabs>
        <w:numPr>
          <w:ilvl w:val="0"/>
          <w:numId w:val="112"/>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reported in the “Shares Deferred” column represent shares of common stock underlying vested restricted stock units that our directors or Named Executives have elected to defer under our LTIP, but which are not considered beneficially owned under applicable Securities and Exchange Commission rules, as well as accrued dividend equivalents paid in shares on deferred restricted stock units. See “Director Compensation – Stock Awards” and “Deferred Stock Under 2010 LTIP” under the “Non-Qualified Deferred Compensation” table for additional information on the deferral of stock awards.</w:t>
      </w:r>
    </w:p>
    <w:p>
      <w:pPr>
        <w:spacing w:after="0" w:line="2" w:lineRule="exact"/>
        <w:rPr>
          <w:rFonts w:ascii="Arial" w:cs="Arial" w:eastAsia="Arial" w:hAnsi="Arial"/>
          <w:sz w:val="14"/>
          <w:szCs w:val="14"/>
          <w:i w:val="1"/>
          <w:iCs w:val="1"/>
          <w:color w:val="auto"/>
        </w:rPr>
      </w:pPr>
    </w:p>
    <w:p>
      <w:pPr>
        <w:ind w:left="340" w:hanging="332"/>
        <w:spacing w:after="0"/>
        <w:tabs>
          <w:tab w:leader="none" w:pos="340" w:val="left"/>
        </w:tabs>
        <w:numPr>
          <w:ilvl w:val="0"/>
          <w:numId w:val="112"/>
        </w:numPr>
        <w:rPr>
          <w:rFonts w:ascii="Arial" w:cs="Arial" w:eastAsia="Arial" w:hAnsi="Arial"/>
          <w:sz w:val="14"/>
          <w:szCs w:val="14"/>
          <w:i w:val="1"/>
          <w:iCs w:val="1"/>
          <w:color w:val="auto"/>
        </w:rPr>
      </w:pPr>
      <w:r>
        <w:rPr>
          <w:rFonts w:ascii="Arial" w:cs="Arial" w:eastAsia="Arial" w:hAnsi="Arial"/>
          <w:sz w:val="14"/>
          <w:szCs w:val="14"/>
          <w:i w:val="1"/>
          <w:iCs w:val="1"/>
          <w:color w:val="auto"/>
        </w:rPr>
        <w:t>Shares owned by Mr. Black include 2,795 shares of common stock held in our Thrift Plan as of March 1, 2018.</w:t>
      </w:r>
    </w:p>
    <w:p>
      <w:pPr>
        <w:spacing w:after="0" w:line="1" w:lineRule="exact"/>
        <w:rPr>
          <w:rFonts w:ascii="Arial" w:cs="Arial" w:eastAsia="Arial" w:hAnsi="Arial"/>
          <w:sz w:val="14"/>
          <w:szCs w:val="14"/>
          <w:i w:val="1"/>
          <w:iCs w:val="1"/>
          <w:color w:val="auto"/>
        </w:rPr>
      </w:pPr>
    </w:p>
    <w:p>
      <w:pPr>
        <w:ind w:left="340" w:right="220" w:hanging="332"/>
        <w:spacing w:after="0" w:line="241" w:lineRule="auto"/>
        <w:tabs>
          <w:tab w:leader="none" w:pos="340" w:val="left"/>
        </w:tabs>
        <w:numPr>
          <w:ilvl w:val="0"/>
          <w:numId w:val="112"/>
        </w:numPr>
        <w:rPr>
          <w:rFonts w:ascii="Arial" w:cs="Arial" w:eastAsia="Arial" w:hAnsi="Arial"/>
          <w:sz w:val="14"/>
          <w:szCs w:val="14"/>
          <w:i w:val="1"/>
          <w:iCs w:val="1"/>
          <w:color w:val="auto"/>
        </w:rPr>
      </w:pPr>
      <w:r>
        <w:rPr>
          <w:rFonts w:ascii="Arial" w:cs="Arial" w:eastAsia="Arial" w:hAnsi="Arial"/>
          <w:sz w:val="14"/>
          <w:szCs w:val="14"/>
          <w:i w:val="1"/>
          <w:iCs w:val="1"/>
          <w:color w:val="auto"/>
        </w:rPr>
        <w:t>Shares owned by Mr. Canafax include 20,726 shares of common stock that he may acquire on the exercise of stock options and 2,976 shares of common stock held in our Thrift Plan as of March 1, 2018.</w:t>
      </w:r>
    </w:p>
    <w:p>
      <w:pPr>
        <w:ind w:left="340" w:hanging="332"/>
        <w:spacing w:after="0"/>
        <w:tabs>
          <w:tab w:leader="none" w:pos="340" w:val="left"/>
        </w:tabs>
        <w:numPr>
          <w:ilvl w:val="0"/>
          <w:numId w:val="112"/>
        </w:numPr>
        <w:rPr>
          <w:rFonts w:ascii="Arial" w:cs="Arial" w:eastAsia="Arial" w:hAnsi="Arial"/>
          <w:sz w:val="14"/>
          <w:szCs w:val="14"/>
          <w:i w:val="1"/>
          <w:iCs w:val="1"/>
          <w:color w:val="auto"/>
        </w:rPr>
      </w:pPr>
      <w:r>
        <w:rPr>
          <w:rFonts w:ascii="Arial" w:cs="Arial" w:eastAsia="Arial" w:hAnsi="Arial"/>
          <w:sz w:val="14"/>
          <w:szCs w:val="14"/>
          <w:i w:val="1"/>
          <w:iCs w:val="1"/>
          <w:color w:val="auto"/>
        </w:rPr>
        <w:t>Shares owned by Mr. Fees include 9,331 shares of common stock held in our Thrift Plan as of March 1, 2018.</w:t>
      </w:r>
    </w:p>
    <w:p>
      <w:pPr>
        <w:spacing w:after="0" w:line="1" w:lineRule="exact"/>
        <w:rPr>
          <w:rFonts w:ascii="Arial" w:cs="Arial" w:eastAsia="Arial" w:hAnsi="Arial"/>
          <w:sz w:val="14"/>
          <w:szCs w:val="14"/>
          <w:i w:val="1"/>
          <w:iCs w:val="1"/>
          <w:color w:val="auto"/>
        </w:rPr>
      </w:pPr>
    </w:p>
    <w:p>
      <w:pPr>
        <w:ind w:left="340" w:right="280" w:hanging="332"/>
        <w:spacing w:after="0" w:line="241" w:lineRule="auto"/>
        <w:tabs>
          <w:tab w:leader="none" w:pos="340" w:val="left"/>
        </w:tabs>
        <w:numPr>
          <w:ilvl w:val="0"/>
          <w:numId w:val="112"/>
        </w:numPr>
        <w:rPr>
          <w:rFonts w:ascii="Arial" w:cs="Arial" w:eastAsia="Arial" w:hAnsi="Arial"/>
          <w:sz w:val="14"/>
          <w:szCs w:val="14"/>
          <w:i w:val="1"/>
          <w:iCs w:val="1"/>
          <w:color w:val="auto"/>
        </w:rPr>
      </w:pPr>
      <w:r>
        <w:rPr>
          <w:rFonts w:ascii="Arial" w:cs="Arial" w:eastAsia="Arial" w:hAnsi="Arial"/>
          <w:sz w:val="14"/>
          <w:szCs w:val="14"/>
          <w:i w:val="1"/>
          <w:iCs w:val="1"/>
          <w:color w:val="auto"/>
        </w:rPr>
        <w:t>Shares held by Mr. Henry include 10,362 shares of common stock that he may acquire on the exercise of stock options and 988 shares of common stock held in our Thrift Plan as of March 1, 2018.</w:t>
      </w:r>
    </w:p>
    <w:p>
      <w:pPr>
        <w:ind w:left="340" w:right="100" w:hanging="332"/>
        <w:spacing w:after="0" w:line="241" w:lineRule="auto"/>
        <w:tabs>
          <w:tab w:leader="none" w:pos="340" w:val="left"/>
        </w:tabs>
        <w:numPr>
          <w:ilvl w:val="0"/>
          <w:numId w:val="112"/>
        </w:numPr>
        <w:rPr>
          <w:rFonts w:ascii="Arial" w:cs="Arial" w:eastAsia="Arial" w:hAnsi="Arial"/>
          <w:sz w:val="14"/>
          <w:szCs w:val="14"/>
          <w:i w:val="1"/>
          <w:iCs w:val="1"/>
          <w:color w:val="auto"/>
        </w:rPr>
      </w:pPr>
      <w:r>
        <w:rPr>
          <w:rFonts w:ascii="Arial" w:cs="Arial" w:eastAsia="Arial" w:hAnsi="Arial"/>
          <w:sz w:val="14"/>
          <w:szCs w:val="14"/>
          <w:i w:val="1"/>
          <w:iCs w:val="1"/>
          <w:color w:val="auto"/>
        </w:rPr>
        <w:t>Shares owned by Ms. Niland and Messrs. Jaska, Krieg, LeMasters and Nardelli represent shares of common stock underlying vested restricted stock units and accrued dividend equivalents paid in shares that each of them has elected to defer under our 2010 LTIP and which are considered beneficially owned under applicable Securities and Exchange Commission rules because each of them will acquire their respective shares immediately upon termination of service on the Board of Directors.</w:t>
      </w:r>
    </w:p>
    <w:p>
      <w:pPr>
        <w:spacing w:after="0" w:line="1" w:lineRule="exact"/>
        <w:rPr>
          <w:rFonts w:ascii="Arial" w:cs="Arial" w:eastAsia="Arial" w:hAnsi="Arial"/>
          <w:sz w:val="14"/>
          <w:szCs w:val="14"/>
          <w:i w:val="1"/>
          <w:iCs w:val="1"/>
          <w:color w:val="auto"/>
        </w:rPr>
      </w:pPr>
    </w:p>
    <w:p>
      <w:pPr>
        <w:ind w:left="340" w:hanging="332"/>
        <w:spacing w:after="0"/>
        <w:tabs>
          <w:tab w:leader="none" w:pos="340" w:val="left"/>
        </w:tabs>
        <w:numPr>
          <w:ilvl w:val="0"/>
          <w:numId w:val="112"/>
        </w:numPr>
        <w:rPr>
          <w:rFonts w:ascii="Arial" w:cs="Arial" w:eastAsia="Arial" w:hAnsi="Arial"/>
          <w:sz w:val="14"/>
          <w:szCs w:val="14"/>
          <w:i w:val="1"/>
          <w:iCs w:val="1"/>
          <w:color w:val="auto"/>
        </w:rPr>
      </w:pPr>
      <w:r>
        <w:rPr>
          <w:rFonts w:ascii="Arial" w:cs="Arial" w:eastAsia="Arial" w:hAnsi="Arial"/>
          <w:sz w:val="14"/>
          <w:szCs w:val="14"/>
          <w:i w:val="1"/>
          <w:iCs w:val="1"/>
          <w:color w:val="auto"/>
        </w:rPr>
        <w:t>Shares owned by Mr. Kerr include 288 shares of common stock held in our Thrift Plan as of March 1, 2018.</w:t>
      </w:r>
    </w:p>
    <w:p>
      <w:pPr>
        <w:spacing w:after="0" w:line="1" w:lineRule="exact"/>
        <w:rPr>
          <w:rFonts w:ascii="Arial" w:cs="Arial" w:eastAsia="Arial" w:hAnsi="Arial"/>
          <w:sz w:val="14"/>
          <w:szCs w:val="14"/>
          <w:i w:val="1"/>
          <w:iCs w:val="1"/>
          <w:color w:val="auto"/>
        </w:rPr>
      </w:pPr>
    </w:p>
    <w:p>
      <w:pPr>
        <w:ind w:left="340" w:hanging="332"/>
        <w:spacing w:after="0"/>
        <w:tabs>
          <w:tab w:leader="none" w:pos="340" w:val="left"/>
        </w:tabs>
        <w:numPr>
          <w:ilvl w:val="0"/>
          <w:numId w:val="112"/>
        </w:numPr>
        <w:rPr>
          <w:rFonts w:ascii="Arial" w:cs="Arial" w:eastAsia="Arial" w:hAnsi="Arial"/>
          <w:sz w:val="14"/>
          <w:szCs w:val="14"/>
          <w:color w:val="auto"/>
        </w:rPr>
      </w:pPr>
      <w:r>
        <w:rPr>
          <w:rFonts w:ascii="Arial" w:cs="Arial" w:eastAsia="Arial" w:hAnsi="Arial"/>
          <w:sz w:val="14"/>
          <w:szCs w:val="14"/>
          <w:i w:val="1"/>
          <w:iCs w:val="1"/>
          <w:color w:val="auto"/>
        </w:rPr>
        <w:t>Shares held by Mr. Loving includerepresent 4,988 shares of common stock held in our Thrift Plan as of March 1, 2018.</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40" w:val="left"/>
        </w:tabs>
        <w:numPr>
          <w:ilvl w:val="0"/>
          <w:numId w:val="112"/>
        </w:numPr>
        <w:rPr>
          <w:rFonts w:ascii="Arial" w:cs="Arial" w:eastAsia="Arial" w:hAnsi="Arial"/>
          <w:sz w:val="14"/>
          <w:szCs w:val="14"/>
          <w:i w:val="1"/>
          <w:iCs w:val="1"/>
          <w:color w:val="auto"/>
        </w:rPr>
      </w:pPr>
      <w:r>
        <w:rPr>
          <w:rFonts w:ascii="Arial" w:cs="Arial" w:eastAsia="Arial" w:hAnsi="Arial"/>
          <w:sz w:val="14"/>
          <w:szCs w:val="14"/>
          <w:i w:val="1"/>
          <w:iCs w:val="1"/>
          <w:color w:val="auto"/>
        </w:rPr>
        <w:t>Shares owned by Admiral Mies include 7,988 shares of common stock underlying vested restricted stock units that he has elected to defer under our 2010 LTIP and which are considered beneficially owned under applicable Securities and Exchange Commission rules because Admiral Mies will acquire such shares immediately upon termination of service on the Board of Directors.</w:t>
      </w:r>
    </w:p>
    <w:p>
      <w:pPr>
        <w:spacing w:after="0" w:line="1" w:lineRule="exact"/>
        <w:rPr>
          <w:rFonts w:ascii="Arial" w:cs="Arial" w:eastAsia="Arial" w:hAnsi="Arial"/>
          <w:sz w:val="14"/>
          <w:szCs w:val="14"/>
          <w:i w:val="1"/>
          <w:iCs w:val="1"/>
          <w:color w:val="auto"/>
        </w:rPr>
      </w:pPr>
    </w:p>
    <w:p>
      <w:pPr>
        <w:ind w:left="340" w:right="340" w:hanging="332"/>
        <w:spacing w:after="0" w:line="241" w:lineRule="auto"/>
        <w:tabs>
          <w:tab w:leader="none" w:pos="340" w:val="left"/>
        </w:tabs>
        <w:numPr>
          <w:ilvl w:val="0"/>
          <w:numId w:val="112"/>
        </w:numPr>
        <w:rPr>
          <w:rFonts w:ascii="Arial" w:cs="Arial" w:eastAsia="Arial" w:hAnsi="Arial"/>
          <w:sz w:val="14"/>
          <w:szCs w:val="14"/>
          <w:i w:val="1"/>
          <w:iCs w:val="1"/>
          <w:color w:val="auto"/>
        </w:rPr>
      </w:pPr>
      <w:r>
        <w:rPr>
          <w:rFonts w:ascii="Arial" w:cs="Arial" w:eastAsia="Arial" w:hAnsi="Arial"/>
          <w:sz w:val="14"/>
          <w:szCs w:val="14"/>
          <w:i w:val="1"/>
          <w:iCs w:val="1"/>
          <w:color w:val="auto"/>
        </w:rPr>
        <w:t>Shares owned by Mr. Pryor include 7,988 shares of common stock underlying vested restricted stock units and accrued dividend equivalents paid in shares that he has elected to defer under our LTIP and which are considered beneficially owned under applicable Securities and Exchange Commission rules because Mr. Pryor will acquire such shares immediately upon termination of service on the Board of Directors</w:t>
      </w:r>
    </w:p>
    <w:p>
      <w:pPr>
        <w:spacing w:after="0" w:line="1" w:lineRule="exact"/>
        <w:rPr>
          <w:rFonts w:ascii="Arial" w:cs="Arial" w:eastAsia="Arial" w:hAnsi="Arial"/>
          <w:sz w:val="14"/>
          <w:szCs w:val="14"/>
          <w:i w:val="1"/>
          <w:iCs w:val="1"/>
          <w:color w:val="auto"/>
        </w:rPr>
      </w:pPr>
    </w:p>
    <w:p>
      <w:pPr>
        <w:ind w:left="340" w:right="140" w:hanging="332"/>
        <w:spacing w:after="0" w:line="258" w:lineRule="auto"/>
        <w:tabs>
          <w:tab w:leader="none" w:pos="340" w:val="left"/>
        </w:tabs>
        <w:numPr>
          <w:ilvl w:val="0"/>
          <w:numId w:val="112"/>
        </w:numPr>
        <w:rPr>
          <w:rFonts w:ascii="Arial" w:cs="Arial" w:eastAsia="Arial" w:hAnsi="Arial"/>
          <w:sz w:val="14"/>
          <w:szCs w:val="14"/>
          <w:i w:val="1"/>
          <w:iCs w:val="1"/>
          <w:color w:val="auto"/>
        </w:rPr>
      </w:pPr>
      <w:r>
        <w:rPr>
          <w:rFonts w:ascii="Arial" w:cs="Arial" w:eastAsia="Arial" w:hAnsi="Arial"/>
          <w:sz w:val="14"/>
          <w:szCs w:val="14"/>
          <w:i w:val="1"/>
          <w:iCs w:val="1"/>
          <w:color w:val="auto"/>
        </w:rPr>
        <w:t>Shares owned by all directors and executive officers as a group include 31,088 shares of common stock that may be acquired on the exercise of stock options, as described above, and 21,366 shares of common stock held in our Thrift Plan.</w:t>
      </w:r>
    </w:p>
    <w:p>
      <w:pPr>
        <w:spacing w:after="0" w:line="53"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Shares beneficially owned by each of our directors and officers individually in each case constituted less than one percent of the outstanding shares of common stock on March 12, 2018, as determined in accordance with Rule 13d-3(d)(1) under the Securities Exchange Act of 1934. The aggregate shares beneficially owned by all of our directors and officers as a group constituted less than one percent of the outstanding shares of common stock measured as of the same date and on the same basis.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2C2C2C"/>
        </w:rPr>
        <w:t xml:space="preserve">60 </w:t>
      </w:r>
      <w:r>
        <w:rPr>
          <w:sz w:val="1"/>
          <w:szCs w:val="1"/>
          <w:color w:val="auto"/>
        </w:rPr>
        <w:drawing>
          <wp:inline distT="0" distB="0" distL="0" distR="0">
            <wp:extent cx="445770" cy="18034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45770" cy="180340"/>
                    </a:xfrm>
                    <a:prstGeom prst="rect">
                      <a:avLst/>
                    </a:prstGeom>
                    <a:noFill/>
                    <a:ln>
                      <a:noFill/>
                    </a:ln>
                  </pic:spPr>
                </pic:pic>
              </a:graphicData>
            </a:graphic>
          </wp:inline>
        </w:drawing>
      </w:r>
      <w:r>
        <w:rPr>
          <w:rFonts w:ascii="Arial" w:cs="Arial" w:eastAsia="Arial" w:hAnsi="Arial"/>
          <w:sz w:val="18"/>
          <w:szCs w:val="18"/>
          <w:color w:val="auto"/>
        </w:rPr>
        <w:t xml:space="preserve"> 2018 PROXY STATEMENT</w:t>
      </w:r>
    </w:p>
    <w:p>
      <w:pPr>
        <w:sectPr>
          <w:pgSz w:w="11900" w:h="16838" w:orient="portrait"/>
          <w:cols w:equalWidth="0" w:num="1">
            <w:col w:w="11420"/>
          </w:cols>
          <w:pgMar w:left="240" w:top="125" w:right="239" w:bottom="1440" w:gutter="0" w:footer="0" w:header="0"/>
        </w:sectPr>
      </w:pPr>
    </w:p>
    <w:bookmarkStart w:id="69" w:name="page70"/>
    <w:bookmarkEnd w:id="69"/>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960"/>
        <w:spacing w:after="0"/>
        <w:rPr>
          <w:sz w:val="20"/>
          <w:szCs w:val="20"/>
          <w:color w:val="auto"/>
        </w:rPr>
      </w:pPr>
      <w:r>
        <w:rPr>
          <w:rFonts w:ascii="Arial" w:cs="Arial" w:eastAsia="Arial" w:hAnsi="Arial"/>
          <w:sz w:val="14"/>
          <w:szCs w:val="14"/>
          <w:color w:val="auto"/>
        </w:rPr>
        <w:t>SECURITY OWNERSHIP OF CERTAIN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SECURITY OWNERSHIP OF CERTAIN BENEFICIAL OWNERS</w:t>
      </w:r>
    </w:p>
    <w:p>
      <w:pPr>
        <w:spacing w:after="0" w:line="201"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The following table furnishes information concerning all persons known by us to beneficially own 5% or more of our outstanding shares of common stock, which is our only class of voting stock outstanding.</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220" w:type="dxa"/>
            <w:vAlign w:val="bottom"/>
            <w:shd w:val="clear" w:color="auto" w:fill="424242"/>
          </w:tcPr>
          <w:p>
            <w:pPr>
              <w:spacing w:after="0"/>
              <w:rPr>
                <w:sz w:val="15"/>
                <w:szCs w:val="15"/>
                <w:color w:val="auto"/>
              </w:rPr>
            </w:pPr>
          </w:p>
        </w:tc>
        <w:tc>
          <w:tcPr>
            <w:tcW w:w="3880" w:type="dxa"/>
            <w:vAlign w:val="bottom"/>
            <w:shd w:val="clear" w:color="auto" w:fill="424242"/>
          </w:tcPr>
          <w:p>
            <w:pPr>
              <w:jc w:val="center"/>
              <w:ind w:left="1608"/>
              <w:spacing w:after="0"/>
              <w:rPr>
                <w:sz w:val="20"/>
                <w:szCs w:val="20"/>
                <w:color w:val="auto"/>
              </w:rPr>
            </w:pPr>
            <w:r>
              <w:rPr>
                <w:rFonts w:ascii="Arial" w:cs="Arial" w:eastAsia="Arial" w:hAnsi="Arial"/>
                <w:sz w:val="14"/>
                <w:szCs w:val="14"/>
                <w:b w:val="1"/>
                <w:bCs w:val="1"/>
                <w:color w:val="FFFFFF"/>
              </w:rPr>
              <w:t>Amount and</w:t>
            </w:r>
          </w:p>
        </w:tc>
        <w:tc>
          <w:tcPr>
            <w:tcW w:w="1920" w:type="dxa"/>
            <w:vAlign w:val="bottom"/>
            <w:shd w:val="clear" w:color="auto" w:fill="424242"/>
          </w:tcPr>
          <w:p>
            <w:pPr>
              <w:spacing w:after="0"/>
              <w:rPr>
                <w:sz w:val="15"/>
                <w:szCs w:val="15"/>
                <w:color w:val="auto"/>
              </w:rPr>
            </w:pPr>
          </w:p>
        </w:tc>
      </w:tr>
      <w:tr>
        <w:trPr>
          <w:trHeight w:val="162"/>
        </w:trPr>
        <w:tc>
          <w:tcPr>
            <w:tcW w:w="5220" w:type="dxa"/>
            <w:vAlign w:val="bottom"/>
            <w:shd w:val="clear" w:color="auto" w:fill="424242"/>
          </w:tcPr>
          <w:p>
            <w:pPr>
              <w:spacing w:after="0"/>
              <w:rPr>
                <w:sz w:val="14"/>
                <w:szCs w:val="14"/>
                <w:color w:val="auto"/>
              </w:rPr>
            </w:pPr>
          </w:p>
        </w:tc>
        <w:tc>
          <w:tcPr>
            <w:tcW w:w="3880" w:type="dxa"/>
            <w:vAlign w:val="bottom"/>
            <w:shd w:val="clear" w:color="auto" w:fill="424242"/>
          </w:tcPr>
          <w:p>
            <w:pPr>
              <w:jc w:val="center"/>
              <w:ind w:left="1608"/>
              <w:spacing w:after="0"/>
              <w:rPr>
                <w:sz w:val="20"/>
                <w:szCs w:val="20"/>
                <w:color w:val="auto"/>
              </w:rPr>
            </w:pPr>
            <w:r>
              <w:rPr>
                <w:rFonts w:ascii="Arial" w:cs="Arial" w:eastAsia="Arial" w:hAnsi="Arial"/>
                <w:sz w:val="14"/>
                <w:szCs w:val="14"/>
                <w:b w:val="1"/>
                <w:bCs w:val="1"/>
                <w:color w:val="FFFFFF"/>
              </w:rPr>
              <w:t>Nature of</w:t>
            </w:r>
          </w:p>
        </w:tc>
        <w:tc>
          <w:tcPr>
            <w:tcW w:w="1920" w:type="dxa"/>
            <w:vAlign w:val="bottom"/>
            <w:shd w:val="clear" w:color="auto" w:fill="424242"/>
          </w:tcPr>
          <w:p>
            <w:pPr>
              <w:spacing w:after="0"/>
              <w:rPr>
                <w:sz w:val="14"/>
                <w:szCs w:val="14"/>
                <w:color w:val="auto"/>
              </w:rPr>
            </w:pPr>
          </w:p>
        </w:tc>
      </w:tr>
      <w:tr>
        <w:trPr>
          <w:trHeight w:val="160"/>
        </w:trPr>
        <w:tc>
          <w:tcPr>
            <w:tcW w:w="5220" w:type="dxa"/>
            <w:vAlign w:val="bottom"/>
            <w:shd w:val="clear" w:color="auto" w:fill="424242"/>
          </w:tcPr>
          <w:p>
            <w:pPr>
              <w:spacing w:after="0"/>
              <w:rPr>
                <w:sz w:val="13"/>
                <w:szCs w:val="13"/>
                <w:color w:val="auto"/>
              </w:rPr>
            </w:pPr>
          </w:p>
        </w:tc>
        <w:tc>
          <w:tcPr>
            <w:tcW w:w="3880" w:type="dxa"/>
            <w:vAlign w:val="bottom"/>
            <w:shd w:val="clear" w:color="auto" w:fill="424242"/>
          </w:tcPr>
          <w:p>
            <w:pPr>
              <w:jc w:val="center"/>
              <w:ind w:left="1608"/>
              <w:spacing w:after="0"/>
              <w:rPr>
                <w:sz w:val="20"/>
                <w:szCs w:val="20"/>
                <w:color w:val="auto"/>
              </w:rPr>
            </w:pPr>
            <w:r>
              <w:rPr>
                <w:rFonts w:ascii="Arial" w:cs="Arial" w:eastAsia="Arial" w:hAnsi="Arial"/>
                <w:sz w:val="14"/>
                <w:szCs w:val="14"/>
                <w:b w:val="1"/>
                <w:bCs w:val="1"/>
                <w:color w:val="FFFFFF"/>
              </w:rPr>
              <w:t>Beneficial</w:t>
            </w:r>
          </w:p>
        </w:tc>
        <w:tc>
          <w:tcPr>
            <w:tcW w:w="1920" w:type="dxa"/>
            <w:vAlign w:val="bottom"/>
            <w:shd w:val="clear" w:color="auto" w:fill="424242"/>
          </w:tcPr>
          <w:p>
            <w:pPr>
              <w:ind w:left="680"/>
              <w:spacing w:after="0"/>
              <w:rPr>
                <w:sz w:val="20"/>
                <w:szCs w:val="20"/>
                <w:color w:val="auto"/>
              </w:rPr>
            </w:pPr>
            <w:r>
              <w:rPr>
                <w:rFonts w:ascii="Arial" w:cs="Arial" w:eastAsia="Arial" w:hAnsi="Arial"/>
                <w:sz w:val="14"/>
                <w:szCs w:val="14"/>
                <w:b w:val="1"/>
                <w:bCs w:val="1"/>
                <w:color w:val="FFFFFF"/>
              </w:rPr>
              <w:t>Percent</w:t>
            </w:r>
          </w:p>
        </w:tc>
      </w:tr>
      <w:tr>
        <w:trPr>
          <w:trHeight w:val="204"/>
        </w:trPr>
        <w:tc>
          <w:tcPr>
            <w:tcW w:w="5220" w:type="dxa"/>
            <w:vAlign w:val="bottom"/>
            <w:shd w:val="clear" w:color="auto" w:fill="424242"/>
          </w:tcPr>
          <w:p>
            <w:pPr>
              <w:ind w:left="180"/>
              <w:spacing w:after="0"/>
              <w:rPr>
                <w:sz w:val="20"/>
                <w:szCs w:val="20"/>
                <w:color w:val="auto"/>
              </w:rPr>
            </w:pPr>
            <w:r>
              <w:rPr>
                <w:rFonts w:ascii="Arial" w:cs="Arial" w:eastAsia="Arial" w:hAnsi="Arial"/>
                <w:sz w:val="14"/>
                <w:szCs w:val="14"/>
                <w:b w:val="1"/>
                <w:bCs w:val="1"/>
                <w:color w:val="FFFFFF"/>
              </w:rPr>
              <w:t>Name and Address of Beneficial Owner</w:t>
            </w:r>
          </w:p>
        </w:tc>
        <w:tc>
          <w:tcPr>
            <w:tcW w:w="3880" w:type="dxa"/>
            <w:vAlign w:val="bottom"/>
            <w:shd w:val="clear" w:color="auto" w:fill="424242"/>
          </w:tcPr>
          <w:p>
            <w:pPr>
              <w:jc w:val="center"/>
              <w:ind w:left="1628"/>
              <w:spacing w:after="0"/>
              <w:rPr>
                <w:sz w:val="20"/>
                <w:szCs w:val="20"/>
                <w:color w:val="auto"/>
              </w:rPr>
            </w:pPr>
            <w:r>
              <w:rPr>
                <w:rFonts w:ascii="Arial" w:cs="Arial" w:eastAsia="Arial" w:hAnsi="Arial"/>
                <w:sz w:val="14"/>
                <w:szCs w:val="14"/>
                <w:b w:val="1"/>
                <w:bCs w:val="1"/>
                <w:color w:val="FFFFFF"/>
              </w:rPr>
              <w:t>Ownership</w:t>
            </w:r>
          </w:p>
        </w:tc>
        <w:tc>
          <w:tcPr>
            <w:tcW w:w="1920" w:type="dxa"/>
            <w:vAlign w:val="bottom"/>
            <w:shd w:val="clear" w:color="auto" w:fill="424242"/>
          </w:tcPr>
          <w:p>
            <w:pPr>
              <w:ind w:left="700"/>
              <w:spacing w:after="0" w:line="205" w:lineRule="exact"/>
              <w:rPr>
                <w:sz w:val="20"/>
                <w:szCs w:val="20"/>
                <w:color w:val="auto"/>
              </w:rPr>
            </w:pPr>
            <w:r>
              <w:rPr>
                <w:rFonts w:ascii="Arial" w:cs="Arial" w:eastAsia="Arial" w:hAnsi="Arial"/>
                <w:sz w:val="14"/>
                <w:szCs w:val="14"/>
                <w:b w:val="1"/>
                <w:bCs w:val="1"/>
                <w:color w:val="FFFFFF"/>
              </w:rPr>
              <w:t>of Class</w:t>
            </w:r>
            <w:r>
              <w:rPr>
                <w:rFonts w:ascii="Arial" w:cs="Arial" w:eastAsia="Arial" w:hAnsi="Arial"/>
                <w:sz w:val="21"/>
                <w:szCs w:val="21"/>
                <w:b w:val="1"/>
                <w:bCs w:val="1"/>
                <w:color w:val="FFFFFF"/>
                <w:vertAlign w:val="superscript"/>
              </w:rPr>
              <w:t>(1)</w:t>
            </w:r>
          </w:p>
        </w:tc>
      </w:tr>
    </w:tbl>
    <w:p>
      <w:pPr>
        <w:spacing w:after="0" w:line="22" w:lineRule="exact"/>
        <w:rPr>
          <w:sz w:val="20"/>
          <w:szCs w:val="20"/>
          <w:color w:val="auto"/>
        </w:rPr>
      </w:pPr>
    </w:p>
    <w:p>
      <w:pPr>
        <w:sectPr>
          <w:pgSz w:w="11900" w:h="16838" w:orient="portrait"/>
          <w:cols w:equalWidth="0" w:num="1">
            <w:col w:w="11420"/>
          </w:cols>
          <w:pgMar w:left="240" w:top="125" w:right="239" w:bottom="1440" w:gutter="0" w:footer="0" w:header="0"/>
        </w:sectPr>
      </w:pPr>
    </w:p>
    <w:p>
      <w:pPr>
        <w:ind w:left="100"/>
        <w:spacing w:after="0"/>
        <w:rPr>
          <w:sz w:val="20"/>
          <w:szCs w:val="20"/>
          <w:color w:val="auto"/>
        </w:rPr>
      </w:pPr>
      <w:r>
        <w:rPr>
          <w:rFonts w:ascii="Arial" w:cs="Arial" w:eastAsia="Arial" w:hAnsi="Arial"/>
          <w:sz w:val="18"/>
          <w:szCs w:val="18"/>
          <w:color w:val="auto"/>
        </w:rPr>
        <w:t>T. Rowe Price Associates, Inc.</w:t>
      </w:r>
    </w:p>
    <w:p>
      <w:pPr>
        <w:ind w:left="100"/>
        <w:spacing w:after="0"/>
        <w:tabs>
          <w:tab w:leader="none" w:pos="7740" w:val="left"/>
        </w:tabs>
        <w:rPr>
          <w:sz w:val="20"/>
          <w:szCs w:val="20"/>
          <w:color w:val="auto"/>
        </w:rPr>
      </w:pPr>
      <w:r>
        <w:rPr>
          <w:rFonts w:ascii="Arial" w:cs="Arial" w:eastAsia="Arial" w:hAnsi="Arial"/>
          <w:sz w:val="18"/>
          <w:szCs w:val="18"/>
          <w:color w:val="auto"/>
        </w:rPr>
        <w:t>100 E. Pratt Street</w:t>
      </w:r>
      <w:r>
        <w:rPr>
          <w:sz w:val="20"/>
          <w:szCs w:val="20"/>
          <w:color w:val="auto"/>
        </w:rPr>
        <w:tab/>
      </w:r>
      <w:r>
        <w:rPr>
          <w:rFonts w:ascii="Arial" w:cs="Arial" w:eastAsia="Arial" w:hAnsi="Arial"/>
          <w:sz w:val="17"/>
          <w:szCs w:val="17"/>
          <w:color w:val="auto"/>
        </w:rPr>
        <w:t>12,206,236</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Baltimore, MD 21202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997700" cy="42037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7700" cy="420370"/>
                    </a:xfrm>
                    <a:prstGeom prst="rect">
                      <a:avLst/>
                    </a:prstGeom>
                    <a:noFill/>
                  </pic:spPr>
                </pic:pic>
              </a:graphicData>
            </a:graphic>
          </wp:anchor>
        </w:drawing>
      </w:r>
    </w:p>
    <w:p>
      <w:pPr>
        <w:spacing w:after="0" w:line="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w:t>
      </w:r>
    </w:p>
    <w:p>
      <w:pPr>
        <w:ind w:left="100"/>
        <w:spacing w:after="0"/>
        <w:tabs>
          <w:tab w:leader="none" w:pos="7840" w:val="left"/>
        </w:tabs>
        <w:rPr>
          <w:sz w:val="20"/>
          <w:szCs w:val="20"/>
          <w:color w:val="auto"/>
        </w:rPr>
      </w:pPr>
      <w:r>
        <w:rPr>
          <w:rFonts w:ascii="Arial" w:cs="Arial" w:eastAsia="Arial" w:hAnsi="Arial"/>
          <w:sz w:val="18"/>
          <w:szCs w:val="18"/>
          <w:color w:val="auto"/>
        </w:rPr>
        <w:t>100 Vanguard Blvd.</w:t>
      </w:r>
      <w:r>
        <w:rPr>
          <w:sz w:val="20"/>
          <w:szCs w:val="20"/>
          <w:color w:val="auto"/>
        </w:rPr>
        <w:tab/>
      </w:r>
      <w:r>
        <w:rPr>
          <w:rFonts w:ascii="Arial" w:cs="Arial" w:eastAsia="Arial" w:hAnsi="Arial"/>
          <w:sz w:val="17"/>
          <w:szCs w:val="17"/>
          <w:color w:val="auto"/>
        </w:rPr>
        <w:t>8,496,847</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19335</w:t>
      </w:r>
    </w:p>
    <w:p>
      <w:pPr>
        <w:spacing w:after="0" w:line="4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Capital Research Global Investors</w:t>
      </w:r>
    </w:p>
    <w:p>
      <w:pPr>
        <w:ind w:left="100"/>
        <w:spacing w:after="0"/>
        <w:tabs>
          <w:tab w:leader="none" w:pos="7840" w:val="left"/>
        </w:tabs>
        <w:rPr>
          <w:sz w:val="20"/>
          <w:szCs w:val="20"/>
          <w:color w:val="auto"/>
        </w:rPr>
      </w:pPr>
      <w:r>
        <w:rPr>
          <w:rFonts w:ascii="Arial" w:cs="Arial" w:eastAsia="Arial" w:hAnsi="Arial"/>
          <w:sz w:val="18"/>
          <w:szCs w:val="18"/>
          <w:color w:val="auto"/>
        </w:rPr>
        <w:t>333 South Hope Street</w:t>
      </w:r>
      <w:r>
        <w:rPr>
          <w:sz w:val="20"/>
          <w:szCs w:val="20"/>
          <w:color w:val="auto"/>
        </w:rPr>
        <w:tab/>
      </w:r>
      <w:r>
        <w:rPr>
          <w:rFonts w:ascii="Arial" w:cs="Arial" w:eastAsia="Arial" w:hAnsi="Arial"/>
          <w:sz w:val="17"/>
          <w:szCs w:val="17"/>
          <w:color w:val="auto"/>
        </w:rPr>
        <w:t>5,923,172</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Los Angeles, CA 90071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997700" cy="42037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7700" cy="420370"/>
                    </a:xfrm>
                    <a:prstGeom prst="rect">
                      <a:avLst/>
                    </a:prstGeom>
                    <a:noFill/>
                  </pic:spPr>
                </pic:pic>
              </a:graphicData>
            </a:graphic>
          </wp:anchor>
        </w:drawing>
      </w:r>
    </w:p>
    <w:p>
      <w:pPr>
        <w:spacing w:after="0" w:line="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William Blair Investment Management, LLC</w:t>
      </w:r>
    </w:p>
    <w:p>
      <w:pPr>
        <w:ind w:left="100"/>
        <w:spacing w:after="0"/>
        <w:tabs>
          <w:tab w:leader="none" w:pos="7840" w:val="left"/>
        </w:tabs>
        <w:rPr>
          <w:sz w:val="20"/>
          <w:szCs w:val="20"/>
          <w:color w:val="auto"/>
        </w:rPr>
      </w:pPr>
      <w:r>
        <w:rPr>
          <w:rFonts w:ascii="Arial" w:cs="Arial" w:eastAsia="Arial" w:hAnsi="Arial"/>
          <w:sz w:val="18"/>
          <w:szCs w:val="18"/>
          <w:color w:val="auto"/>
        </w:rPr>
        <w:t>150 North Riverside Plaza</w:t>
      </w:r>
      <w:r>
        <w:rPr>
          <w:sz w:val="20"/>
          <w:szCs w:val="20"/>
          <w:color w:val="auto"/>
        </w:rPr>
        <w:tab/>
      </w:r>
      <w:r>
        <w:rPr>
          <w:rFonts w:ascii="Arial" w:cs="Arial" w:eastAsia="Arial" w:hAnsi="Arial"/>
          <w:sz w:val="17"/>
          <w:szCs w:val="17"/>
          <w:color w:val="auto"/>
        </w:rPr>
        <w:t>5,721,324</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Chicago, IL 60606</w:t>
      </w:r>
    </w:p>
    <w:p>
      <w:pPr>
        <w:spacing w:after="0" w:line="4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BlackRock Inc.</w:t>
      </w:r>
    </w:p>
    <w:p>
      <w:pPr>
        <w:ind w:left="100"/>
        <w:spacing w:after="0"/>
        <w:tabs>
          <w:tab w:leader="none" w:pos="7840" w:val="left"/>
        </w:tabs>
        <w:rPr>
          <w:sz w:val="20"/>
          <w:szCs w:val="20"/>
          <w:color w:val="auto"/>
        </w:rPr>
      </w:pPr>
      <w:r>
        <w:rPr>
          <w:rFonts w:ascii="Arial" w:cs="Arial" w:eastAsia="Arial" w:hAnsi="Arial"/>
          <w:sz w:val="18"/>
          <w:szCs w:val="18"/>
          <w:color w:val="auto"/>
        </w:rPr>
        <w:t>55 East 52nd Street</w:t>
      </w:r>
      <w:r>
        <w:rPr>
          <w:sz w:val="20"/>
          <w:szCs w:val="20"/>
          <w:color w:val="auto"/>
        </w:rPr>
        <w:tab/>
      </w:r>
      <w:r>
        <w:rPr>
          <w:rFonts w:ascii="Arial" w:cs="Arial" w:eastAsia="Arial" w:hAnsi="Arial"/>
          <w:sz w:val="17"/>
          <w:szCs w:val="17"/>
          <w:color w:val="auto"/>
        </w:rPr>
        <w:t>5,685,315</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New York, NY 10055</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12.25%</w:t>
      </w:r>
    </w:p>
    <w:p>
      <w:pPr>
        <w:spacing w:after="0" w:line="200" w:lineRule="exact"/>
        <w:rPr>
          <w:sz w:val="20"/>
          <w:szCs w:val="20"/>
          <w:color w:val="auto"/>
        </w:rPr>
      </w:pPr>
    </w:p>
    <w:p>
      <w:pPr>
        <w:spacing w:after="0" w:line="255" w:lineRule="exact"/>
        <w:rPr>
          <w:sz w:val="20"/>
          <w:szCs w:val="20"/>
          <w:color w:val="auto"/>
        </w:rPr>
      </w:pPr>
    </w:p>
    <w:p>
      <w:pPr>
        <w:jc w:val="right"/>
        <w:ind w:right="420"/>
        <w:spacing w:after="0"/>
        <w:rPr>
          <w:sz w:val="20"/>
          <w:szCs w:val="20"/>
          <w:color w:val="auto"/>
        </w:rPr>
      </w:pPr>
      <w:r>
        <w:rPr>
          <w:rFonts w:ascii="Arial" w:cs="Arial" w:eastAsia="Arial" w:hAnsi="Arial"/>
          <w:sz w:val="18"/>
          <w:szCs w:val="18"/>
          <w:color w:val="auto"/>
        </w:rPr>
        <w:t>8.53%</w:t>
      </w:r>
    </w:p>
    <w:p>
      <w:pPr>
        <w:spacing w:after="0" w:line="200" w:lineRule="exact"/>
        <w:rPr>
          <w:sz w:val="20"/>
          <w:szCs w:val="20"/>
          <w:color w:val="auto"/>
        </w:rPr>
      </w:pPr>
    </w:p>
    <w:p>
      <w:pPr>
        <w:spacing w:after="0" w:line="255" w:lineRule="exact"/>
        <w:rPr>
          <w:sz w:val="20"/>
          <w:szCs w:val="20"/>
          <w:color w:val="auto"/>
        </w:rPr>
      </w:pPr>
    </w:p>
    <w:p>
      <w:pPr>
        <w:jc w:val="right"/>
        <w:ind w:right="420"/>
        <w:spacing w:after="0"/>
        <w:rPr>
          <w:sz w:val="20"/>
          <w:szCs w:val="20"/>
          <w:color w:val="auto"/>
        </w:rPr>
      </w:pPr>
      <w:r>
        <w:rPr>
          <w:rFonts w:ascii="Arial" w:cs="Arial" w:eastAsia="Arial" w:hAnsi="Arial"/>
          <w:sz w:val="18"/>
          <w:szCs w:val="18"/>
          <w:color w:val="auto"/>
        </w:rPr>
        <w:t>5.94%</w:t>
      </w:r>
    </w:p>
    <w:p>
      <w:pPr>
        <w:spacing w:after="0" w:line="200" w:lineRule="exact"/>
        <w:rPr>
          <w:sz w:val="20"/>
          <w:szCs w:val="20"/>
          <w:color w:val="auto"/>
        </w:rPr>
      </w:pPr>
    </w:p>
    <w:p>
      <w:pPr>
        <w:spacing w:after="0" w:line="255" w:lineRule="exact"/>
        <w:rPr>
          <w:sz w:val="20"/>
          <w:szCs w:val="20"/>
          <w:color w:val="auto"/>
        </w:rPr>
      </w:pPr>
    </w:p>
    <w:p>
      <w:pPr>
        <w:jc w:val="right"/>
        <w:ind w:right="420"/>
        <w:spacing w:after="0"/>
        <w:rPr>
          <w:sz w:val="20"/>
          <w:szCs w:val="20"/>
          <w:color w:val="auto"/>
        </w:rPr>
      </w:pPr>
      <w:r>
        <w:rPr>
          <w:rFonts w:ascii="Arial" w:cs="Arial" w:eastAsia="Arial" w:hAnsi="Arial"/>
          <w:sz w:val="18"/>
          <w:szCs w:val="18"/>
          <w:color w:val="auto"/>
        </w:rPr>
        <w:t>5.74%</w:t>
      </w:r>
    </w:p>
    <w:p>
      <w:pPr>
        <w:spacing w:after="0" w:line="200" w:lineRule="exact"/>
        <w:rPr>
          <w:sz w:val="20"/>
          <w:szCs w:val="20"/>
          <w:color w:val="auto"/>
        </w:rPr>
      </w:pPr>
    </w:p>
    <w:p>
      <w:pPr>
        <w:spacing w:after="0" w:line="255" w:lineRule="exact"/>
        <w:rPr>
          <w:sz w:val="20"/>
          <w:szCs w:val="20"/>
          <w:color w:val="auto"/>
        </w:rPr>
      </w:pPr>
    </w:p>
    <w:p>
      <w:pPr>
        <w:jc w:val="right"/>
        <w:ind w:right="420"/>
        <w:spacing w:after="0"/>
        <w:rPr>
          <w:sz w:val="20"/>
          <w:szCs w:val="20"/>
          <w:color w:val="auto"/>
        </w:rPr>
      </w:pPr>
      <w:r>
        <w:rPr>
          <w:rFonts w:ascii="Arial" w:cs="Arial" w:eastAsia="Arial" w:hAnsi="Arial"/>
          <w:sz w:val="18"/>
          <w:szCs w:val="18"/>
          <w:color w:val="auto"/>
        </w:rPr>
        <w:t>5.71%</w:t>
      </w:r>
    </w:p>
    <w:p>
      <w:pPr>
        <w:spacing w:after="0" w:line="402" w:lineRule="exact"/>
        <w:rPr>
          <w:sz w:val="20"/>
          <w:szCs w:val="20"/>
          <w:color w:val="auto"/>
        </w:rPr>
      </w:pPr>
    </w:p>
    <w:p>
      <w:pPr>
        <w:sectPr>
          <w:pgSz w:w="11900" w:h="16838" w:orient="portrait"/>
          <w:cols w:equalWidth="0" w:num="3">
            <w:col w:w="8660" w:space="120"/>
            <w:col w:w="880" w:space="720"/>
            <w:col w:w="1040"/>
          </w:cols>
          <w:pgMar w:left="240" w:top="125" w:right="239" w:bottom="1440" w:gutter="0" w:footer="0" w:header="0"/>
          <w:type w:val="continuous"/>
        </w:sectPr>
      </w:pPr>
    </w:p>
    <w:p>
      <w:pPr>
        <w:spacing w:after="0" w:line="30" w:lineRule="exact"/>
        <w:rPr>
          <w:sz w:val="20"/>
          <w:szCs w:val="20"/>
          <w:color w:val="auto"/>
        </w:rPr>
      </w:pPr>
    </w:p>
    <w:p>
      <w:pPr>
        <w:ind w:left="340" w:hanging="332"/>
        <w:spacing w:after="0"/>
        <w:tabs>
          <w:tab w:leader="none" w:pos="340" w:val="left"/>
        </w:tabs>
        <w:numPr>
          <w:ilvl w:val="0"/>
          <w:numId w:val="113"/>
        </w:numPr>
        <w:rPr>
          <w:rFonts w:ascii="Arial" w:cs="Arial" w:eastAsia="Arial" w:hAnsi="Arial"/>
          <w:sz w:val="14"/>
          <w:szCs w:val="14"/>
          <w:i w:val="1"/>
          <w:iCs w:val="1"/>
          <w:color w:val="auto"/>
        </w:rPr>
      </w:pPr>
      <w:r>
        <w:rPr>
          <w:rFonts w:ascii="Arial" w:cs="Arial" w:eastAsia="Arial" w:hAnsi="Arial"/>
          <w:sz w:val="14"/>
          <w:szCs w:val="14"/>
          <w:i w:val="1"/>
          <w:iCs w:val="1"/>
          <w:color w:val="auto"/>
        </w:rPr>
        <w:t>Percent is based on outstanding shares of our common stock on March 12, 2018.</w:t>
      </w:r>
    </w:p>
    <w:p>
      <w:pPr>
        <w:spacing w:after="0" w:line="15" w:lineRule="exact"/>
        <w:rPr>
          <w:rFonts w:ascii="Arial" w:cs="Arial" w:eastAsia="Arial" w:hAnsi="Arial"/>
          <w:sz w:val="14"/>
          <w:szCs w:val="14"/>
          <w:i w:val="1"/>
          <w:iCs w:val="1"/>
          <w:color w:val="auto"/>
        </w:rPr>
      </w:pPr>
    </w:p>
    <w:p>
      <w:pPr>
        <w:ind w:left="340" w:right="20" w:hanging="332"/>
        <w:spacing w:after="0" w:line="241" w:lineRule="auto"/>
        <w:tabs>
          <w:tab w:leader="none" w:pos="340" w:val="left"/>
        </w:tabs>
        <w:numPr>
          <w:ilvl w:val="0"/>
          <w:numId w:val="113"/>
        </w:numPr>
        <w:rPr>
          <w:rFonts w:ascii="Arial" w:cs="Arial" w:eastAsia="Arial" w:hAnsi="Arial"/>
          <w:sz w:val="14"/>
          <w:szCs w:val="14"/>
          <w:i w:val="1"/>
          <w:iCs w:val="1"/>
          <w:color w:val="auto"/>
        </w:rPr>
      </w:pPr>
      <w:r>
        <w:rPr>
          <w:rFonts w:ascii="Arial" w:cs="Arial" w:eastAsia="Arial" w:hAnsi="Arial"/>
          <w:sz w:val="14"/>
          <w:szCs w:val="14"/>
          <w:i w:val="1"/>
          <w:iCs w:val="1"/>
          <w:color w:val="auto"/>
        </w:rPr>
        <w:t>As reported on Schedule 13G/A filed with the SEC on February 14, 2018, T. Rowe Price Associates, Inc. has beneficial ownership of 12,206,236 shares of our common stock. According to the Schedule 13G/A, T. Rowe Price Associates has sole voting power with respect to 2,748,616 shares of our common stock and sole dispositive power with respect to 12,206,236 shares of our common stock.</w:t>
      </w:r>
    </w:p>
    <w:p>
      <w:pPr>
        <w:spacing w:after="0" w:line="1" w:lineRule="exact"/>
        <w:rPr>
          <w:rFonts w:ascii="Arial" w:cs="Arial" w:eastAsia="Arial" w:hAnsi="Arial"/>
          <w:sz w:val="14"/>
          <w:szCs w:val="14"/>
          <w:i w:val="1"/>
          <w:iCs w:val="1"/>
          <w:color w:val="auto"/>
        </w:rPr>
      </w:pPr>
    </w:p>
    <w:p>
      <w:pPr>
        <w:ind w:left="340" w:right="380" w:hanging="332"/>
        <w:spacing w:after="0" w:line="241" w:lineRule="auto"/>
        <w:tabs>
          <w:tab w:leader="none" w:pos="340" w:val="left"/>
        </w:tabs>
        <w:numPr>
          <w:ilvl w:val="0"/>
          <w:numId w:val="113"/>
        </w:numPr>
        <w:rPr>
          <w:rFonts w:ascii="Arial" w:cs="Arial" w:eastAsia="Arial" w:hAnsi="Arial"/>
          <w:sz w:val="14"/>
          <w:szCs w:val="14"/>
          <w:i w:val="1"/>
          <w:iCs w:val="1"/>
          <w:color w:val="auto"/>
        </w:rPr>
      </w:pPr>
      <w:r>
        <w:rPr>
          <w:rFonts w:ascii="Arial" w:cs="Arial" w:eastAsia="Arial" w:hAnsi="Arial"/>
          <w:sz w:val="14"/>
          <w:szCs w:val="14"/>
          <w:i w:val="1"/>
          <w:iCs w:val="1"/>
          <w:color w:val="auto"/>
        </w:rPr>
        <w:t>As reported on Schedule 13G/A filed with the SEC on February 12, 2018, The Vanguard Group, Inc. has beneficial ownership of 8,496,847 shares of our common stock. According to the Schedule 13G/A, The Vanguard Group has sole voting power with respect to 57,536 shares of our common stock, shared voting power with respect to 11,263 shares of our common stock, sole dispositive power with respect to 8,439,215 shares of our common stock and shared dispositive power with respect to 57,632 shares of our common stock. The Schedule 13G/A also reports Vanguard Fiduciary Trust Company as the beneficial owner of 46,369 shares of our common stock and Vanguard Investments Australia, Ltd. as the beneficial owner of 22,430 shares of our common stock. The Schedule 13G/A reports that both beneficial owners are wholly owned subsidiaries of the Vanguard Group, Inc.</w:t>
      </w:r>
    </w:p>
    <w:p>
      <w:pPr>
        <w:spacing w:after="0" w:line="2" w:lineRule="exact"/>
        <w:rPr>
          <w:rFonts w:ascii="Arial" w:cs="Arial" w:eastAsia="Arial" w:hAnsi="Arial"/>
          <w:sz w:val="14"/>
          <w:szCs w:val="14"/>
          <w:i w:val="1"/>
          <w:iCs w:val="1"/>
          <w:color w:val="auto"/>
        </w:rPr>
      </w:pPr>
    </w:p>
    <w:p>
      <w:pPr>
        <w:jc w:val="both"/>
        <w:ind w:left="340" w:right="400" w:hanging="332"/>
        <w:spacing w:after="0" w:line="241" w:lineRule="auto"/>
        <w:tabs>
          <w:tab w:leader="none" w:pos="340" w:val="left"/>
        </w:tabs>
        <w:numPr>
          <w:ilvl w:val="0"/>
          <w:numId w:val="113"/>
        </w:numPr>
        <w:rPr>
          <w:rFonts w:ascii="Arial" w:cs="Arial" w:eastAsia="Arial" w:hAnsi="Arial"/>
          <w:sz w:val="14"/>
          <w:szCs w:val="14"/>
          <w:i w:val="1"/>
          <w:iCs w:val="1"/>
          <w:color w:val="auto"/>
        </w:rPr>
      </w:pPr>
      <w:r>
        <w:rPr>
          <w:rFonts w:ascii="Arial" w:cs="Arial" w:eastAsia="Arial" w:hAnsi="Arial"/>
          <w:sz w:val="14"/>
          <w:szCs w:val="14"/>
          <w:i w:val="1"/>
          <w:iCs w:val="1"/>
          <w:color w:val="auto"/>
        </w:rPr>
        <w:t>As reported on Schedule 13G filed with the SEC on February 14, 2018, Capital Research Global Investors ("CRGI") has beneficial ownership of 5,923,172 shares of our common stock. According to the Schedule 13G, CRGI has sole voting power with respect to and sole dispositive power with respect to 5,923,172 shares of our common stock.</w:t>
      </w:r>
    </w:p>
    <w:p>
      <w:pPr>
        <w:spacing w:after="0" w:line="1" w:lineRule="exact"/>
        <w:rPr>
          <w:rFonts w:ascii="Arial" w:cs="Arial" w:eastAsia="Arial" w:hAnsi="Arial"/>
          <w:sz w:val="14"/>
          <w:szCs w:val="14"/>
          <w:i w:val="1"/>
          <w:iCs w:val="1"/>
          <w:color w:val="auto"/>
        </w:rPr>
      </w:pPr>
    </w:p>
    <w:p>
      <w:pPr>
        <w:ind w:left="340" w:right="80" w:hanging="332"/>
        <w:spacing w:after="0" w:line="241" w:lineRule="auto"/>
        <w:tabs>
          <w:tab w:leader="none" w:pos="340" w:val="left"/>
        </w:tabs>
        <w:numPr>
          <w:ilvl w:val="0"/>
          <w:numId w:val="113"/>
        </w:numPr>
        <w:rPr>
          <w:rFonts w:ascii="Arial" w:cs="Arial" w:eastAsia="Arial" w:hAnsi="Arial"/>
          <w:sz w:val="14"/>
          <w:szCs w:val="14"/>
          <w:i w:val="1"/>
          <w:iCs w:val="1"/>
          <w:color w:val="auto"/>
        </w:rPr>
      </w:pPr>
      <w:r>
        <w:rPr>
          <w:rFonts w:ascii="Arial" w:cs="Arial" w:eastAsia="Arial" w:hAnsi="Arial"/>
          <w:sz w:val="14"/>
          <w:szCs w:val="14"/>
          <w:i w:val="1"/>
          <w:iCs w:val="1"/>
          <w:color w:val="auto"/>
        </w:rPr>
        <w:t>As reported on Schedule 13G filed with the SEC on February 13, 2018, William Blair Investment Management, LLC has beneficial ownership of 5,721,324 shares of our common stock. According to the Schedule 13G, William Blair Investment Management has sole voting power with respect to 4,216,810 shares of our common stock and sole dispositive power with respect to 5,721,324 shares of our common stock.</w:t>
      </w:r>
    </w:p>
    <w:p>
      <w:pPr>
        <w:spacing w:after="0" w:line="1" w:lineRule="exact"/>
        <w:rPr>
          <w:rFonts w:ascii="Arial" w:cs="Arial" w:eastAsia="Arial" w:hAnsi="Arial"/>
          <w:sz w:val="14"/>
          <w:szCs w:val="14"/>
          <w:i w:val="1"/>
          <w:iCs w:val="1"/>
          <w:color w:val="auto"/>
        </w:rPr>
      </w:pPr>
    </w:p>
    <w:p>
      <w:pPr>
        <w:jc w:val="both"/>
        <w:ind w:left="340" w:right="180" w:hanging="332"/>
        <w:spacing w:after="0" w:line="250" w:lineRule="auto"/>
        <w:tabs>
          <w:tab w:leader="none" w:pos="340" w:val="left"/>
        </w:tabs>
        <w:numPr>
          <w:ilvl w:val="0"/>
          <w:numId w:val="113"/>
        </w:numPr>
        <w:rPr>
          <w:rFonts w:ascii="Arial" w:cs="Arial" w:eastAsia="Arial" w:hAnsi="Arial"/>
          <w:sz w:val="14"/>
          <w:szCs w:val="14"/>
          <w:i w:val="1"/>
          <w:iCs w:val="1"/>
          <w:color w:val="auto"/>
        </w:rPr>
      </w:pPr>
      <w:r>
        <w:rPr>
          <w:rFonts w:ascii="Arial" w:cs="Arial" w:eastAsia="Arial" w:hAnsi="Arial"/>
          <w:sz w:val="14"/>
          <w:szCs w:val="14"/>
          <w:i w:val="1"/>
          <w:iCs w:val="1"/>
          <w:color w:val="auto"/>
        </w:rPr>
        <w:t>As reported on Schedule 13G filed with the SEC on February 1, 2018, BlackRock, Inc. has beneficial ownership of 5,685,315 shares of our common stock. According to the Schedule 13G, BlackRock has sole voting power with respect to 5,360,720 shares of our common stock and sole dispositive power with respect to 5,685,315 shares of our common stock.</w:t>
      </w:r>
    </w:p>
    <w:p>
      <w:pPr>
        <w:spacing w:after="0" w:line="221" w:lineRule="exact"/>
        <w:rPr>
          <w:sz w:val="20"/>
          <w:szCs w:val="20"/>
          <w:color w:val="auto"/>
        </w:rPr>
      </w:pPr>
    </w:p>
    <w:p>
      <w:pPr>
        <w:jc w:val="right"/>
        <w:spacing w:after="0"/>
        <w:rPr>
          <w:sz w:val="20"/>
          <w:szCs w:val="20"/>
          <w:color w:val="auto"/>
        </w:rPr>
      </w:pPr>
      <w:r>
        <w:rPr>
          <w:sz w:val="1"/>
          <w:szCs w:val="1"/>
          <w:color w:val="auto"/>
        </w:rPr>
        <w:drawing>
          <wp:inline distT="0" distB="0" distL="0" distR="0">
            <wp:extent cx="488950" cy="20574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88950" cy="205740"/>
                    </a:xfrm>
                    <a:prstGeom prst="rect">
                      <a:avLst/>
                    </a:prstGeom>
                    <a:noFill/>
                    <a:ln>
                      <a:noFill/>
                    </a:ln>
                  </pic:spPr>
                </pic:pic>
              </a:graphicData>
            </a:graphic>
          </wp:inline>
        </w:drawing>
      </w:r>
      <w:r>
        <w:rPr>
          <w:rFonts w:ascii="Arial" w:cs="Arial" w:eastAsia="Arial" w:hAnsi="Arial"/>
          <w:sz w:val="18"/>
          <w:szCs w:val="18"/>
          <w:color w:val="auto"/>
        </w:rPr>
        <w:t xml:space="preserve"> 2018 PROXY STATEMENT </w:t>
      </w:r>
      <w:r>
        <w:rPr>
          <w:rFonts w:ascii="Arial" w:cs="Arial" w:eastAsia="Arial" w:hAnsi="Arial"/>
          <w:sz w:val="18"/>
          <w:szCs w:val="18"/>
          <w:b w:val="1"/>
          <w:bCs w:val="1"/>
          <w:color w:val="2C2C2C"/>
        </w:rPr>
        <w:t>61</w:t>
      </w:r>
    </w:p>
    <w:p>
      <w:pPr>
        <w:sectPr>
          <w:pgSz w:w="11900" w:h="16838" w:orient="portrait"/>
          <w:cols w:equalWidth="0" w:num="1">
            <w:col w:w="11420"/>
          </w:cols>
          <w:pgMar w:left="240" w:top="125" w:right="239" w:bottom="1440" w:gutter="0" w:footer="0" w:header="0"/>
          <w:type w:val="continuous"/>
        </w:sectPr>
      </w:pPr>
    </w:p>
    <w:bookmarkStart w:id="70" w:name="page71"/>
    <w:bookmarkEnd w:id="70"/>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7380"/>
        <w:spacing w:after="0"/>
        <w:rPr>
          <w:sz w:val="20"/>
          <w:szCs w:val="20"/>
          <w:color w:val="auto"/>
        </w:rPr>
      </w:pPr>
      <w:r>
        <w:rPr>
          <w:rFonts w:ascii="Arial" w:cs="Arial" w:eastAsia="Arial" w:hAnsi="Arial"/>
          <w:sz w:val="14"/>
          <w:szCs w:val="14"/>
          <w:color w:val="auto"/>
        </w:rPr>
        <w:t>AUDIT AND FINANCE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AUDIT AND FINANCE COMMITTEE REPORT</w:t>
      </w:r>
    </w:p>
    <w:p>
      <w:pPr>
        <w:spacing w:after="0" w:line="183"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The following report of the Audit and Finance Committee shall not be deemed to be “soliciting material” or to otherwise be considered “filed” with the SEC or be subject to Regulation 14A or 14C (other than as provided in Item 407 of Regulation S-K) or to the liabilities of Section 18 of the Securities Exchange Act of 1934, as amended (the “Exchange Act”), nor shall such information be incorporated by reference into any future filing under the Securities Act of 1933, as amended, or the Exchange Act, except to the extent that BWXT specifically incorporates it by reference into such filing.</w:t>
      </w:r>
    </w:p>
    <w:p>
      <w:pPr>
        <w:spacing w:after="0" w:line="6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described more fully in its charter, the purpose of the Audit and Finance Committee is to assist the Board in its oversight of BWXT’s financial reporting process, internal control system and audit functions. The Audit and Finance Committee also provides oversight of (i) BWXT’s compliance with legal and regulatory financial requirements; (ii) BWXT’s guidelines, policies and processes to assess and manage the Company’s exposure to risks in general, including financial risks; (iii) BWXT’s financial strategies and capital structure; and (iv) BWXT’s ethics and compliance program. Our principal responsibility is one of oversight. BWXT’s management is responsible for the preparation, presentation and integrity of its financial statements and Deloitte &amp; Touche LLP (“Deloitte”), BWXT’s independent registered public accounting firm, is responsible for auditing and reviewing those financial statements. Deloitte reports directly to the Audit and Finance Committee, which is responsible for the appointment, compensation, retention and oversight of the independent registered public accounting firm.</w:t>
      </w:r>
    </w:p>
    <w:p>
      <w:pPr>
        <w:spacing w:after="0" w:line="7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In this context, we have reviewed and discussed BWXT’s audited consolidated financial statements for the year ended December 31, 2017 with BWXT’s management and Deloitte. This review included discussions with Deloitte regarding those matters required to be discussed by Auditing Standard No. 1301,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issued by the Public Company Accounting Oversight Board. In addition, we received from Deloitte the written disclosures and the letter required by the applicable requirements of the Public Company Accounting Oversight Board regarding Deloitte’s communications with the Audit and Finance Committee concerning independence and discussed with Deloitte their independence from BWXT and its management. We also considered whether the provision of non-audit services to BWXT is compatible with Deloitte’s independence.</w:t>
      </w:r>
    </w:p>
    <w:p>
      <w:pPr>
        <w:spacing w:after="0" w:line="72"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We reviewed and discussed with management its assessment and report on the effectiveness of BWXT’s internal control over financial reporting as of December 31, 2017, which it made using the criteria set forth by the Committee of Sponsoring Organizations of the Treadway Commission in “Internal Control — Integrated Framework.” We have also reviewed and discussed with Deloitte its review and report on BWXT’s internal control over financial reporting.</w:t>
      </w:r>
    </w:p>
    <w:p>
      <w:pPr>
        <w:spacing w:after="0" w:line="69" w:lineRule="exact"/>
        <w:rPr>
          <w:sz w:val="20"/>
          <w:szCs w:val="20"/>
          <w:color w:val="auto"/>
        </w:rPr>
      </w:pPr>
    </w:p>
    <w:p>
      <w:pPr>
        <w:jc w:val="both"/>
        <w:ind w:right="400"/>
        <w:spacing w:after="0" w:line="256" w:lineRule="auto"/>
        <w:rPr>
          <w:sz w:val="20"/>
          <w:szCs w:val="20"/>
          <w:color w:val="auto"/>
        </w:rPr>
      </w:pPr>
      <w:r>
        <w:rPr>
          <w:rFonts w:ascii="Arial" w:cs="Arial" w:eastAsia="Arial" w:hAnsi="Arial"/>
          <w:sz w:val="18"/>
          <w:szCs w:val="18"/>
          <w:color w:val="auto"/>
        </w:rPr>
        <w:t>Based on these reviews and discussions and the reports of Deloitte, the Audit and Finance Committee recommended to the Board that the audited financial statements be included in BWXT’s Annual Report on Form 10-K for the year ended December 31, 2017, for filing with the SEC.</w:t>
      </w:r>
    </w:p>
    <w:p>
      <w:pPr>
        <w:spacing w:after="0" w:line="288" w:lineRule="exact"/>
        <w:rPr>
          <w:sz w:val="20"/>
          <w:szCs w:val="20"/>
          <w:color w:val="auto"/>
        </w:rPr>
      </w:pPr>
    </w:p>
    <w:p>
      <w:pPr>
        <w:ind w:left="6260"/>
        <w:spacing w:after="0"/>
        <w:rPr>
          <w:sz w:val="20"/>
          <w:szCs w:val="20"/>
          <w:color w:val="auto"/>
        </w:rPr>
      </w:pPr>
      <w:r>
        <w:rPr>
          <w:rFonts w:ascii="Arial" w:cs="Arial" w:eastAsia="Arial" w:hAnsi="Arial"/>
          <w:sz w:val="18"/>
          <w:szCs w:val="18"/>
          <w:b w:val="1"/>
          <w:bCs w:val="1"/>
          <w:color w:val="auto"/>
        </w:rPr>
        <w:t>THE AUDIT AND FINANCE COMMITTEE</w:t>
      </w:r>
    </w:p>
    <w:p>
      <w:pPr>
        <w:spacing w:after="0" w:line="166"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Jan A. Bertsch, Chair</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Robb A. LeMasters</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Robert L. Nardelli</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Barbara A. Niland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2C2C2C"/>
        </w:rPr>
        <w:t xml:space="preserve">62 </w:t>
      </w:r>
      <w:r>
        <w:rPr>
          <w:sz w:val="1"/>
          <w:szCs w:val="1"/>
          <w:color w:val="auto"/>
        </w:rPr>
        <w:drawing>
          <wp:inline distT="0" distB="0" distL="0" distR="0">
            <wp:extent cx="445770" cy="18034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45770" cy="180340"/>
                    </a:xfrm>
                    <a:prstGeom prst="rect">
                      <a:avLst/>
                    </a:prstGeom>
                    <a:noFill/>
                    <a:ln>
                      <a:noFill/>
                    </a:ln>
                  </pic:spPr>
                </pic:pic>
              </a:graphicData>
            </a:graphic>
          </wp:inline>
        </w:drawing>
      </w:r>
      <w:r>
        <w:rPr>
          <w:rFonts w:ascii="Arial" w:cs="Arial" w:eastAsia="Arial" w:hAnsi="Arial"/>
          <w:sz w:val="18"/>
          <w:szCs w:val="18"/>
          <w:color w:val="auto"/>
        </w:rPr>
        <w:t xml:space="preserve"> 2018 PROXY STATEMENT</w:t>
      </w:r>
    </w:p>
    <w:p>
      <w:pPr>
        <w:sectPr>
          <w:pgSz w:w="11900" w:h="16838" w:orient="portrait"/>
          <w:cols w:equalWidth="0" w:num="1">
            <w:col w:w="11420"/>
          </w:cols>
          <w:pgMar w:left="240" w:top="125" w:right="239" w:bottom="1440" w:gutter="0" w:footer="0" w:header="0"/>
        </w:sectPr>
      </w:pPr>
    </w:p>
    <w:bookmarkStart w:id="71" w:name="page72"/>
    <w:bookmarkEnd w:id="71"/>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left="960"/>
        <w:spacing w:after="0"/>
        <w:rPr>
          <w:sz w:val="20"/>
          <w:szCs w:val="20"/>
          <w:color w:val="auto"/>
        </w:rPr>
      </w:pPr>
      <w:r>
        <w:rPr>
          <w:rFonts w:ascii="Arial" w:cs="Arial" w:eastAsia="Arial" w:hAnsi="Arial"/>
          <w:sz w:val="14"/>
          <w:szCs w:val="14"/>
          <w:color w:val="auto"/>
        </w:rPr>
        <w:t>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right="560"/>
        <w:spacing w:after="0" w:line="288" w:lineRule="auto"/>
        <w:rPr>
          <w:sz w:val="20"/>
          <w:szCs w:val="20"/>
          <w:color w:val="auto"/>
        </w:rPr>
      </w:pPr>
      <w:r>
        <w:rPr>
          <w:rFonts w:ascii="Arial" w:cs="Arial" w:eastAsia="Arial" w:hAnsi="Arial"/>
          <w:sz w:val="25"/>
          <w:szCs w:val="25"/>
          <w:b w:val="1"/>
          <w:bCs w:val="1"/>
          <w:color w:val="auto"/>
        </w:rPr>
        <w:t>PROPOSAL 3: RATIFICATION OF APPOINTMENT OF INDEPENDENT REGISTERED PUBLIC ACCOUNTING FIRM FOR YEAR ENDING DECEMBER 31, 2018</w:t>
      </w:r>
    </w:p>
    <w:p>
      <w:pPr>
        <w:spacing w:after="0" w:line="4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Our Board of Directors has ratified the decision of the Audit and Finance Committee to appoint Deloitte &amp; Touche LLP (“Deloitte”) to serve as the independent registered public accounting firm to audit our financial statements for the year ending December 31, 2018. Although we are not required to seek stockholder approval of this appointment, we intend to seek stockholder approval of our registered public accounting firm annually. No determination has been made as to what action the Audit and Finance Committee and the Board of Directors would take if our stockholders fail to ratify the appointment. Even if the appointment is ratified, the Audit and Finance Committee retains discretion to appoint a new independent registered public accounting firm at any</w:t>
      </w:r>
    </w:p>
    <w:p>
      <w:pPr>
        <w:spacing w:after="0" w:line="3"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time if the Audit and Finance Committee concludes such a change would be in our best interests. We expect that representatives of Deloitte will be present at the Annual Meeting and will have an opportunity to make a statement if they desire to do so and to respond to appropriate questions.</w:t>
      </w:r>
    </w:p>
    <w:p>
      <w:pPr>
        <w:spacing w:after="0" w:line="148" w:lineRule="exact"/>
        <w:rPr>
          <w:sz w:val="20"/>
          <w:szCs w:val="20"/>
          <w:color w:val="auto"/>
        </w:rPr>
      </w:pPr>
    </w:p>
    <w:p>
      <w:pPr>
        <w:jc w:val="both"/>
        <w:ind w:right="520"/>
        <w:spacing w:after="0" w:line="256" w:lineRule="auto"/>
        <w:rPr>
          <w:sz w:val="20"/>
          <w:szCs w:val="20"/>
          <w:color w:val="auto"/>
        </w:rPr>
      </w:pPr>
      <w:r>
        <w:rPr>
          <w:rFonts w:ascii="Arial" w:cs="Arial" w:eastAsia="Arial" w:hAnsi="Arial"/>
          <w:sz w:val="18"/>
          <w:szCs w:val="18"/>
          <w:color w:val="auto"/>
        </w:rPr>
        <w:t>For the year ended December 31, 2017, we paid Deloitte fees, including expenses and taxes, totaling $ 2,679,095, which are categorized below. For the year ended December 31, 2016, we paid Deloitte fees, including expenses and taxes, in the amounts reported in the 2016 column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20" w:type="dxa"/>
            <w:vAlign w:val="bottom"/>
            <w:shd w:val="clear" w:color="auto" w:fill="424242"/>
          </w:tcPr>
          <w:p>
            <w:pPr>
              <w:spacing w:after="0"/>
              <w:rPr>
                <w:sz w:val="23"/>
                <w:szCs w:val="23"/>
                <w:color w:val="auto"/>
              </w:rPr>
            </w:pPr>
          </w:p>
        </w:tc>
        <w:tc>
          <w:tcPr>
            <w:tcW w:w="360" w:type="dxa"/>
            <w:vAlign w:val="bottom"/>
            <w:shd w:val="clear" w:color="auto" w:fill="424242"/>
          </w:tcPr>
          <w:p>
            <w:pPr>
              <w:spacing w:after="0"/>
              <w:rPr>
                <w:sz w:val="23"/>
                <w:szCs w:val="23"/>
                <w:color w:val="auto"/>
              </w:rPr>
            </w:pPr>
          </w:p>
        </w:tc>
        <w:tc>
          <w:tcPr>
            <w:tcW w:w="1100" w:type="dxa"/>
            <w:vAlign w:val="bottom"/>
            <w:shd w:val="clear" w:color="auto" w:fill="424242"/>
          </w:tcPr>
          <w:p>
            <w:pPr>
              <w:jc w:val="right"/>
              <w:ind w:right="453"/>
              <w:spacing w:after="0"/>
              <w:rPr>
                <w:sz w:val="20"/>
                <w:szCs w:val="20"/>
                <w:color w:val="auto"/>
              </w:rPr>
            </w:pPr>
            <w:r>
              <w:rPr>
                <w:rFonts w:ascii="Arial" w:cs="Arial" w:eastAsia="Arial" w:hAnsi="Arial"/>
                <w:sz w:val="14"/>
                <w:szCs w:val="14"/>
                <w:b w:val="1"/>
                <w:bCs w:val="1"/>
                <w:color w:val="FFFFFF"/>
              </w:rPr>
              <w:t>2017</w:t>
            </w:r>
          </w:p>
        </w:tc>
        <w:tc>
          <w:tcPr>
            <w:tcW w:w="420" w:type="dxa"/>
            <w:vAlign w:val="bottom"/>
            <w:shd w:val="clear" w:color="auto" w:fill="424242"/>
          </w:tcPr>
          <w:p>
            <w:pPr>
              <w:spacing w:after="0"/>
              <w:rPr>
                <w:sz w:val="23"/>
                <w:szCs w:val="23"/>
                <w:color w:val="auto"/>
              </w:rPr>
            </w:pPr>
          </w:p>
        </w:tc>
        <w:tc>
          <w:tcPr>
            <w:tcW w:w="1220" w:type="dxa"/>
            <w:vAlign w:val="bottom"/>
            <w:shd w:val="clear" w:color="auto" w:fill="424242"/>
          </w:tcPr>
          <w:p>
            <w:pPr>
              <w:jc w:val="right"/>
              <w:ind w:right="553"/>
              <w:spacing w:after="0"/>
              <w:rPr>
                <w:sz w:val="20"/>
                <w:szCs w:val="20"/>
                <w:color w:val="auto"/>
              </w:rPr>
            </w:pPr>
            <w:r>
              <w:rPr>
                <w:rFonts w:ascii="Arial" w:cs="Arial" w:eastAsia="Arial" w:hAnsi="Arial"/>
                <w:sz w:val="14"/>
                <w:szCs w:val="14"/>
                <w:b w:val="1"/>
                <w:bCs w:val="1"/>
                <w:color w:val="FFFFFF"/>
              </w:rPr>
              <w:t>2016</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Audit</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2,636,000</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2,386,185</w:t>
            </w:r>
          </w:p>
        </w:tc>
      </w:tr>
      <w:tr>
        <w:trPr>
          <w:trHeight w:val="242"/>
        </w:trPr>
        <w:tc>
          <w:tcPr>
            <w:tcW w:w="8320" w:type="dxa"/>
            <w:vAlign w:val="bottom"/>
          </w:tcPr>
          <w:p>
            <w:pPr>
              <w:ind w:left="40"/>
              <w:spacing w:after="0"/>
              <w:rPr>
                <w:sz w:val="20"/>
                <w:szCs w:val="20"/>
                <w:color w:val="auto"/>
              </w:rPr>
            </w:pPr>
            <w:r>
              <w:rPr>
                <w:rFonts w:ascii="Arial" w:cs="Arial" w:eastAsia="Arial" w:hAnsi="Arial"/>
                <w:sz w:val="18"/>
                <w:szCs w:val="18"/>
                <w:color w:val="auto"/>
              </w:rPr>
              <w:t>The Audit fees for the years ended December 31, 2017 and December 31, 2016 were for professional</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03"/>
        </w:trPr>
        <w:tc>
          <w:tcPr>
            <w:tcW w:w="8320" w:type="dxa"/>
            <w:vAlign w:val="bottom"/>
          </w:tcPr>
          <w:p>
            <w:pPr>
              <w:ind w:left="40"/>
              <w:spacing w:after="0" w:line="202" w:lineRule="exact"/>
              <w:rPr>
                <w:sz w:val="20"/>
                <w:szCs w:val="20"/>
                <w:color w:val="auto"/>
              </w:rPr>
            </w:pPr>
            <w:r>
              <w:rPr>
                <w:rFonts w:ascii="Arial" w:cs="Arial" w:eastAsia="Arial" w:hAnsi="Arial"/>
                <w:sz w:val="18"/>
                <w:szCs w:val="18"/>
                <w:color w:val="auto"/>
              </w:rPr>
              <w:t>services rendered for the audits of the combined and consolidated financial statements of BWXT, the</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8320" w:type="dxa"/>
            <w:vAlign w:val="bottom"/>
          </w:tcPr>
          <w:p>
            <w:pPr>
              <w:ind w:left="40"/>
              <w:spacing w:after="0" w:line="202" w:lineRule="exact"/>
              <w:rPr>
                <w:sz w:val="20"/>
                <w:szCs w:val="20"/>
                <w:color w:val="auto"/>
              </w:rPr>
            </w:pPr>
            <w:r>
              <w:rPr>
                <w:rFonts w:ascii="Arial" w:cs="Arial" w:eastAsia="Arial" w:hAnsi="Arial"/>
                <w:sz w:val="18"/>
                <w:szCs w:val="18"/>
                <w:color w:val="auto"/>
              </w:rPr>
              <w:t>audit of BWXT’s internal control over financial reporting, statutory and subsidiary audits, reviews of the</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8320" w:type="dxa"/>
            <w:vAlign w:val="bottom"/>
          </w:tcPr>
          <w:p>
            <w:pPr>
              <w:ind w:left="40"/>
              <w:spacing w:after="0" w:line="202" w:lineRule="exact"/>
              <w:rPr>
                <w:sz w:val="20"/>
                <w:szCs w:val="20"/>
                <w:color w:val="auto"/>
              </w:rPr>
            </w:pPr>
            <w:r>
              <w:rPr>
                <w:rFonts w:ascii="Arial" w:cs="Arial" w:eastAsia="Arial" w:hAnsi="Arial"/>
                <w:sz w:val="18"/>
                <w:szCs w:val="18"/>
                <w:color w:val="auto"/>
              </w:rPr>
              <w:t>quarterly combined and consolidated financial statements of BWXT and assistance with review of</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4"/>
        </w:trPr>
        <w:tc>
          <w:tcPr>
            <w:tcW w:w="8320" w:type="dxa"/>
            <w:vAlign w:val="bottom"/>
          </w:tcPr>
          <w:p>
            <w:pPr>
              <w:ind w:left="40"/>
              <w:spacing w:after="0"/>
              <w:rPr>
                <w:sz w:val="20"/>
                <w:szCs w:val="20"/>
                <w:color w:val="auto"/>
              </w:rPr>
            </w:pPr>
            <w:r>
              <w:rPr>
                <w:rFonts w:ascii="Arial" w:cs="Arial" w:eastAsia="Arial" w:hAnsi="Arial"/>
                <w:sz w:val="18"/>
                <w:szCs w:val="18"/>
                <w:color w:val="auto"/>
              </w:rPr>
              <w:t>documents filed with the SEC.</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0"/>
        </w:trPr>
        <w:tc>
          <w:tcPr>
            <w:tcW w:w="8320" w:type="dxa"/>
            <w:vAlign w:val="bottom"/>
            <w:shd w:val="clear" w:color="auto" w:fill="E5E5E5"/>
          </w:tcPr>
          <w:p>
            <w:pPr>
              <w:ind w:left="40"/>
              <w:spacing w:after="0"/>
              <w:rPr>
                <w:sz w:val="20"/>
                <w:szCs w:val="20"/>
                <w:color w:val="auto"/>
              </w:rPr>
            </w:pPr>
            <w:r>
              <w:rPr>
                <w:rFonts w:ascii="Arial" w:cs="Arial" w:eastAsia="Arial" w:hAnsi="Arial"/>
                <w:sz w:val="18"/>
                <w:szCs w:val="18"/>
                <w:b w:val="1"/>
                <w:bCs w:val="1"/>
                <w:color w:val="auto"/>
              </w:rPr>
              <w:t>Audit-Related</w:t>
            </w:r>
          </w:p>
        </w:tc>
        <w:tc>
          <w:tcPr>
            <w:tcW w:w="360" w:type="dxa"/>
            <w:vAlign w:val="bottom"/>
            <w:shd w:val="clear" w:color="auto" w:fill="E5E5E5"/>
          </w:tcPr>
          <w:p>
            <w:pPr>
              <w:spacing w:after="0"/>
              <w:rPr>
                <w:sz w:val="21"/>
                <w:szCs w:val="21"/>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21"/>
                <w:szCs w:val="21"/>
                <w:color w:val="auto"/>
              </w:rPr>
            </w:pPr>
          </w:p>
        </w:tc>
        <w:tc>
          <w:tcPr>
            <w:tcW w:w="12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42"/>
        </w:trPr>
        <w:tc>
          <w:tcPr>
            <w:tcW w:w="8320" w:type="dxa"/>
            <w:vAlign w:val="bottom"/>
            <w:shd w:val="clear" w:color="auto" w:fill="E5E5E5"/>
          </w:tcPr>
          <w:p>
            <w:pPr>
              <w:ind w:left="40"/>
              <w:spacing w:after="0"/>
              <w:rPr>
                <w:sz w:val="20"/>
                <w:szCs w:val="20"/>
                <w:color w:val="auto"/>
              </w:rPr>
            </w:pPr>
            <w:r>
              <w:rPr>
                <w:rFonts w:ascii="Arial" w:cs="Arial" w:eastAsia="Arial" w:hAnsi="Arial"/>
                <w:sz w:val="18"/>
                <w:szCs w:val="18"/>
                <w:color w:val="auto"/>
              </w:rPr>
              <w:t>The Audit-Related fees for the year ended December 31, 2017 were for services related to compliance</w:t>
            </w:r>
          </w:p>
        </w:tc>
        <w:tc>
          <w:tcPr>
            <w:tcW w:w="360" w:type="dxa"/>
            <w:vAlign w:val="bottom"/>
            <w:shd w:val="clear" w:color="auto" w:fill="E5E5E5"/>
          </w:tcPr>
          <w:p>
            <w:pPr>
              <w:spacing w:after="0"/>
              <w:rPr>
                <w:sz w:val="21"/>
                <w:szCs w:val="21"/>
                <w:color w:val="auto"/>
              </w:rPr>
            </w:pPr>
          </w:p>
        </w:tc>
        <w:tc>
          <w:tcPr>
            <w:tcW w:w="1100" w:type="dxa"/>
            <w:vAlign w:val="bottom"/>
            <w:shd w:val="clear" w:color="auto" w:fill="E5E5E5"/>
          </w:tcPr>
          <w:p>
            <w:pPr>
              <w:spacing w:after="0"/>
              <w:rPr>
                <w:sz w:val="21"/>
                <w:szCs w:val="21"/>
                <w:color w:val="auto"/>
              </w:rPr>
            </w:pPr>
          </w:p>
        </w:tc>
        <w:tc>
          <w:tcPr>
            <w:tcW w:w="420" w:type="dxa"/>
            <w:vAlign w:val="bottom"/>
            <w:shd w:val="clear" w:color="auto" w:fill="E5E5E5"/>
          </w:tcPr>
          <w:p>
            <w:pPr>
              <w:spacing w:after="0"/>
              <w:rPr>
                <w:sz w:val="21"/>
                <w:szCs w:val="21"/>
                <w:color w:val="auto"/>
              </w:rPr>
            </w:pPr>
          </w:p>
        </w:tc>
        <w:tc>
          <w:tcPr>
            <w:tcW w:w="1220" w:type="dxa"/>
            <w:vAlign w:val="bottom"/>
            <w:shd w:val="clear" w:color="auto" w:fill="E5E5E5"/>
          </w:tcPr>
          <w:p>
            <w:pPr>
              <w:spacing w:after="0"/>
              <w:rPr>
                <w:sz w:val="21"/>
                <w:szCs w:val="21"/>
                <w:color w:val="auto"/>
              </w:rPr>
            </w:pPr>
          </w:p>
        </w:tc>
      </w:tr>
      <w:tr>
        <w:trPr>
          <w:trHeight w:val="230"/>
        </w:trPr>
        <w:tc>
          <w:tcPr>
            <w:tcW w:w="8320" w:type="dxa"/>
            <w:vAlign w:val="bottom"/>
            <w:shd w:val="clear" w:color="auto" w:fill="E5E5E5"/>
          </w:tcPr>
          <w:p>
            <w:pPr>
              <w:ind w:left="40"/>
              <w:spacing w:after="0"/>
              <w:rPr>
                <w:sz w:val="20"/>
                <w:szCs w:val="20"/>
                <w:color w:val="auto"/>
              </w:rPr>
            </w:pPr>
            <w:r>
              <w:rPr>
                <w:rFonts w:ascii="Arial" w:cs="Arial" w:eastAsia="Arial" w:hAnsi="Arial"/>
                <w:sz w:val="18"/>
                <w:szCs w:val="18"/>
                <w:color w:val="auto"/>
              </w:rPr>
              <w:t>audits and financial statement reviews for the Company and certain subsidiaries.</w:t>
            </w:r>
          </w:p>
        </w:tc>
        <w:tc>
          <w:tcPr>
            <w:tcW w:w="360" w:type="dxa"/>
            <w:vAlign w:val="bottom"/>
            <w:shd w:val="clear" w:color="auto" w:fill="E5E5E5"/>
          </w:tcPr>
          <w:p>
            <w:pPr>
              <w:spacing w:after="0"/>
              <w:rPr>
                <w:sz w:val="20"/>
                <w:szCs w:val="20"/>
                <w:color w:val="auto"/>
              </w:rPr>
            </w:pPr>
          </w:p>
        </w:tc>
        <w:tc>
          <w:tcPr>
            <w:tcW w:w="1100" w:type="dxa"/>
            <w:vAlign w:val="bottom"/>
            <w:shd w:val="clear" w:color="auto" w:fill="E5E5E5"/>
          </w:tcPr>
          <w:p>
            <w:pPr>
              <w:spacing w:after="0"/>
              <w:rPr>
                <w:sz w:val="20"/>
                <w:szCs w:val="20"/>
                <w:color w:val="auto"/>
              </w:rPr>
            </w:pPr>
          </w:p>
        </w:tc>
        <w:tc>
          <w:tcPr>
            <w:tcW w:w="420" w:type="dxa"/>
            <w:vAlign w:val="bottom"/>
            <w:shd w:val="clear" w:color="auto" w:fill="E5E5E5"/>
          </w:tcPr>
          <w:p>
            <w:pPr>
              <w:spacing w:after="0"/>
              <w:rPr>
                <w:sz w:val="20"/>
                <w:szCs w:val="20"/>
                <w:color w:val="auto"/>
              </w:rPr>
            </w:pPr>
          </w:p>
        </w:tc>
        <w:tc>
          <w:tcPr>
            <w:tcW w:w="1220" w:type="dxa"/>
            <w:vAlign w:val="bottom"/>
            <w:shd w:val="clear" w:color="auto" w:fill="E5E5E5"/>
          </w:tcPr>
          <w:p>
            <w:pPr>
              <w:spacing w:after="0"/>
              <w:rPr>
                <w:sz w:val="20"/>
                <w:szCs w:val="20"/>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Tax</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40,400</w:t>
            </w:r>
          </w:p>
        </w:tc>
        <w:tc>
          <w:tcPr>
            <w:tcW w:w="42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40,000</w:t>
            </w:r>
          </w:p>
        </w:tc>
      </w:tr>
      <w:tr>
        <w:trPr>
          <w:trHeight w:val="242"/>
        </w:trPr>
        <w:tc>
          <w:tcPr>
            <w:tcW w:w="8320" w:type="dxa"/>
            <w:vAlign w:val="bottom"/>
          </w:tcPr>
          <w:p>
            <w:pPr>
              <w:ind w:left="40"/>
              <w:spacing w:after="0"/>
              <w:rPr>
                <w:sz w:val="20"/>
                <w:szCs w:val="20"/>
                <w:color w:val="auto"/>
              </w:rPr>
            </w:pPr>
            <w:r>
              <w:rPr>
                <w:rFonts w:ascii="Arial" w:cs="Arial" w:eastAsia="Arial" w:hAnsi="Arial"/>
                <w:sz w:val="18"/>
                <w:szCs w:val="18"/>
                <w:color w:val="auto"/>
              </w:rPr>
              <w:t>The Tax fees for the years ended December 31, 2017 and December 31, 2016 were for professional</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03"/>
        </w:trPr>
        <w:tc>
          <w:tcPr>
            <w:tcW w:w="8320" w:type="dxa"/>
            <w:vAlign w:val="bottom"/>
          </w:tcPr>
          <w:p>
            <w:pPr>
              <w:ind w:left="40"/>
              <w:spacing w:after="0" w:line="202" w:lineRule="exact"/>
              <w:rPr>
                <w:sz w:val="20"/>
                <w:szCs w:val="20"/>
                <w:color w:val="auto"/>
              </w:rPr>
            </w:pPr>
            <w:r>
              <w:rPr>
                <w:rFonts w:ascii="Arial" w:cs="Arial" w:eastAsia="Arial" w:hAnsi="Arial"/>
                <w:sz w:val="18"/>
                <w:szCs w:val="18"/>
                <w:color w:val="auto"/>
              </w:rPr>
              <w:t>services rendered for consultations on various U.S. federal, state and international tax compliance</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4"/>
        </w:trPr>
        <w:tc>
          <w:tcPr>
            <w:tcW w:w="8320" w:type="dxa"/>
            <w:vAlign w:val="bottom"/>
          </w:tcPr>
          <w:p>
            <w:pPr>
              <w:ind w:left="40"/>
              <w:spacing w:after="0"/>
              <w:rPr>
                <w:sz w:val="20"/>
                <w:szCs w:val="20"/>
                <w:color w:val="auto"/>
              </w:rPr>
            </w:pPr>
            <w:r>
              <w:rPr>
                <w:rFonts w:ascii="Arial" w:cs="Arial" w:eastAsia="Arial" w:hAnsi="Arial"/>
                <w:sz w:val="18"/>
                <w:szCs w:val="18"/>
                <w:color w:val="auto"/>
              </w:rPr>
              <w:t>assistance, as well as consultation and advice on various foreign tax matters.</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0"/>
        </w:trPr>
        <w:tc>
          <w:tcPr>
            <w:tcW w:w="8320" w:type="dxa"/>
            <w:vAlign w:val="bottom"/>
            <w:shd w:val="clear" w:color="auto" w:fill="E5E5E5"/>
          </w:tcPr>
          <w:p>
            <w:pPr>
              <w:ind w:left="40"/>
              <w:spacing w:after="0"/>
              <w:rPr>
                <w:sz w:val="20"/>
                <w:szCs w:val="20"/>
                <w:color w:val="auto"/>
              </w:rPr>
            </w:pPr>
            <w:r>
              <w:rPr>
                <w:rFonts w:ascii="Arial" w:cs="Arial" w:eastAsia="Arial" w:hAnsi="Arial"/>
                <w:sz w:val="18"/>
                <w:szCs w:val="18"/>
                <w:b w:val="1"/>
                <w:bCs w:val="1"/>
                <w:color w:val="auto"/>
              </w:rPr>
              <w:t>All Other</w:t>
            </w:r>
          </w:p>
        </w:tc>
        <w:tc>
          <w:tcPr>
            <w:tcW w:w="360" w:type="dxa"/>
            <w:vAlign w:val="bottom"/>
            <w:shd w:val="clear" w:color="auto" w:fill="E5E5E5"/>
          </w:tcPr>
          <w:p>
            <w:pPr>
              <w:spacing w:after="0"/>
              <w:rPr>
                <w:sz w:val="21"/>
                <w:szCs w:val="21"/>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2,695</w:t>
            </w:r>
          </w:p>
        </w:tc>
        <w:tc>
          <w:tcPr>
            <w:tcW w:w="420" w:type="dxa"/>
            <w:vAlign w:val="bottom"/>
            <w:shd w:val="clear" w:color="auto" w:fill="E5E5E5"/>
          </w:tcPr>
          <w:p>
            <w:pPr>
              <w:spacing w:after="0"/>
              <w:rPr>
                <w:sz w:val="21"/>
                <w:szCs w:val="21"/>
                <w:color w:val="auto"/>
              </w:rPr>
            </w:pPr>
          </w:p>
        </w:tc>
        <w:tc>
          <w:tcPr>
            <w:tcW w:w="12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2,600</w:t>
            </w:r>
          </w:p>
        </w:tc>
      </w:tr>
      <w:tr>
        <w:trPr>
          <w:trHeight w:val="242"/>
        </w:trPr>
        <w:tc>
          <w:tcPr>
            <w:tcW w:w="8320" w:type="dxa"/>
            <w:vAlign w:val="bottom"/>
            <w:shd w:val="clear" w:color="auto" w:fill="E5E5E5"/>
          </w:tcPr>
          <w:p>
            <w:pPr>
              <w:ind w:left="40"/>
              <w:spacing w:after="0"/>
              <w:rPr>
                <w:sz w:val="20"/>
                <w:szCs w:val="20"/>
                <w:color w:val="auto"/>
              </w:rPr>
            </w:pPr>
            <w:r>
              <w:rPr>
                <w:rFonts w:ascii="Arial" w:cs="Arial" w:eastAsia="Arial" w:hAnsi="Arial"/>
                <w:sz w:val="18"/>
                <w:szCs w:val="18"/>
                <w:color w:val="auto"/>
              </w:rPr>
              <w:t>The fees for all other services for the years ended December 31, 2017 and December 31, 2016 were</w:t>
            </w:r>
          </w:p>
        </w:tc>
        <w:tc>
          <w:tcPr>
            <w:tcW w:w="360" w:type="dxa"/>
            <w:vAlign w:val="bottom"/>
            <w:shd w:val="clear" w:color="auto" w:fill="E5E5E5"/>
          </w:tcPr>
          <w:p>
            <w:pPr>
              <w:spacing w:after="0"/>
              <w:rPr>
                <w:sz w:val="21"/>
                <w:szCs w:val="21"/>
                <w:color w:val="auto"/>
              </w:rPr>
            </w:pPr>
          </w:p>
        </w:tc>
        <w:tc>
          <w:tcPr>
            <w:tcW w:w="1100" w:type="dxa"/>
            <w:vAlign w:val="bottom"/>
            <w:shd w:val="clear" w:color="auto" w:fill="E5E5E5"/>
          </w:tcPr>
          <w:p>
            <w:pPr>
              <w:spacing w:after="0"/>
              <w:rPr>
                <w:sz w:val="21"/>
                <w:szCs w:val="21"/>
                <w:color w:val="auto"/>
              </w:rPr>
            </w:pPr>
          </w:p>
        </w:tc>
        <w:tc>
          <w:tcPr>
            <w:tcW w:w="420" w:type="dxa"/>
            <w:vAlign w:val="bottom"/>
            <w:shd w:val="clear" w:color="auto" w:fill="E5E5E5"/>
          </w:tcPr>
          <w:p>
            <w:pPr>
              <w:spacing w:after="0"/>
              <w:rPr>
                <w:sz w:val="21"/>
                <w:szCs w:val="21"/>
                <w:color w:val="auto"/>
              </w:rPr>
            </w:pPr>
          </w:p>
        </w:tc>
        <w:tc>
          <w:tcPr>
            <w:tcW w:w="1220" w:type="dxa"/>
            <w:vAlign w:val="bottom"/>
            <w:shd w:val="clear" w:color="auto" w:fill="E5E5E5"/>
          </w:tcPr>
          <w:p>
            <w:pPr>
              <w:spacing w:after="0"/>
              <w:rPr>
                <w:sz w:val="21"/>
                <w:szCs w:val="21"/>
                <w:color w:val="auto"/>
              </w:rPr>
            </w:pPr>
          </w:p>
        </w:tc>
      </w:tr>
      <w:tr>
        <w:trPr>
          <w:trHeight w:val="230"/>
        </w:trPr>
        <w:tc>
          <w:tcPr>
            <w:tcW w:w="8320" w:type="dxa"/>
            <w:vAlign w:val="bottom"/>
            <w:shd w:val="clear" w:color="auto" w:fill="E5E5E5"/>
          </w:tcPr>
          <w:p>
            <w:pPr>
              <w:ind w:left="40"/>
              <w:spacing w:after="0"/>
              <w:rPr>
                <w:sz w:val="20"/>
                <w:szCs w:val="20"/>
                <w:color w:val="auto"/>
              </w:rPr>
            </w:pPr>
            <w:r>
              <w:rPr>
                <w:rFonts w:ascii="Arial" w:cs="Arial" w:eastAsia="Arial" w:hAnsi="Arial"/>
                <w:sz w:val="18"/>
                <w:szCs w:val="18"/>
                <w:color w:val="auto"/>
              </w:rPr>
              <w:t>for an online research tool subscription service.</w:t>
            </w:r>
          </w:p>
        </w:tc>
        <w:tc>
          <w:tcPr>
            <w:tcW w:w="360" w:type="dxa"/>
            <w:vAlign w:val="bottom"/>
            <w:shd w:val="clear" w:color="auto" w:fill="E5E5E5"/>
          </w:tcPr>
          <w:p>
            <w:pPr>
              <w:spacing w:after="0"/>
              <w:rPr>
                <w:sz w:val="20"/>
                <w:szCs w:val="20"/>
                <w:color w:val="auto"/>
              </w:rPr>
            </w:pPr>
          </w:p>
        </w:tc>
        <w:tc>
          <w:tcPr>
            <w:tcW w:w="1100" w:type="dxa"/>
            <w:vAlign w:val="bottom"/>
            <w:shd w:val="clear" w:color="auto" w:fill="E5E5E5"/>
          </w:tcPr>
          <w:p>
            <w:pPr>
              <w:spacing w:after="0"/>
              <w:rPr>
                <w:sz w:val="20"/>
                <w:szCs w:val="20"/>
                <w:color w:val="auto"/>
              </w:rPr>
            </w:pPr>
          </w:p>
        </w:tc>
        <w:tc>
          <w:tcPr>
            <w:tcW w:w="420" w:type="dxa"/>
            <w:vAlign w:val="bottom"/>
            <w:shd w:val="clear" w:color="auto" w:fill="E5E5E5"/>
          </w:tcPr>
          <w:p>
            <w:pPr>
              <w:spacing w:after="0"/>
              <w:rPr>
                <w:sz w:val="20"/>
                <w:szCs w:val="20"/>
                <w:color w:val="auto"/>
              </w:rPr>
            </w:pPr>
          </w:p>
        </w:tc>
        <w:tc>
          <w:tcPr>
            <w:tcW w:w="1220" w:type="dxa"/>
            <w:vAlign w:val="bottom"/>
            <w:shd w:val="clear" w:color="auto" w:fill="E5E5E5"/>
          </w:tcPr>
          <w:p>
            <w:pPr>
              <w:spacing w:after="0"/>
              <w:rPr>
                <w:sz w:val="20"/>
                <w:szCs w:val="20"/>
                <w:color w:val="auto"/>
              </w:rPr>
            </w:pPr>
          </w:p>
        </w:tc>
      </w:tr>
      <w:tr>
        <w:trPr>
          <w:trHeight w:val="250"/>
        </w:trPr>
        <w:tc>
          <w:tcPr>
            <w:tcW w:w="83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2,679,095</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2,428,785</w:t>
            </w:r>
          </w:p>
        </w:tc>
      </w:tr>
    </w:tbl>
    <w:p>
      <w:pPr>
        <w:spacing w:after="0" w:line="161"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It is the policy of our Audit and Finance Committee to preapprove all audit engagement fees, terms and services and permissible non-audit services to be performed by our independent registered public accounting firm.</w:t>
      </w:r>
    </w:p>
    <w:p>
      <w:pPr>
        <w:spacing w:after="0" w:line="6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Annually, the independent registered public accounting firm and the Vice President of Internal Audit present to the Audit and Finance Committee the anticipated services to be performed by the firm during the year. The Audit and Finance Committee reviews and, as it deems appropriate, pre-approves those services. The separate Audit, Audit-Related, Tax and All Other services and estimated fees are presented to the Audit and Finance Committee for consideration. The Audit and Finance Committee reviews on at least a quarterly basis the proposed services and fees for additional services that have occurred and are outside the scope of the services and fees initially pre-approved by the Audit and Finance Committee. In order to respond to time-sensitive requests for services that may arise between regularly scheduled meetings, the Audit and Finance Committee has pre-approved specific audit, audit-related, tax and other services and individual and aggregate fees for such services. The Audit and Finance Committee did not approve any audit, audit-related, tax or other services pursuant to the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exception described in Section 10A(i)(1)(B) of the Exchange Act of 1934.</w:t>
      </w: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sz w:val="1"/>
          <w:szCs w:val="1"/>
          <w:color w:val="auto"/>
        </w:rPr>
        <w:drawing>
          <wp:inline distT="0" distB="0" distL="0" distR="0">
            <wp:extent cx="488950" cy="20574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88950" cy="205740"/>
                    </a:xfrm>
                    <a:prstGeom prst="rect">
                      <a:avLst/>
                    </a:prstGeom>
                    <a:noFill/>
                    <a:ln>
                      <a:noFill/>
                    </a:ln>
                  </pic:spPr>
                </pic:pic>
              </a:graphicData>
            </a:graphic>
          </wp:inline>
        </w:drawing>
      </w:r>
      <w:r>
        <w:rPr>
          <w:rFonts w:ascii="Arial" w:cs="Arial" w:eastAsia="Arial" w:hAnsi="Arial"/>
          <w:sz w:val="18"/>
          <w:szCs w:val="18"/>
          <w:color w:val="auto"/>
        </w:rPr>
        <w:t xml:space="preserve"> 2018 PROXY STATEMENT </w:t>
      </w:r>
      <w:r>
        <w:rPr>
          <w:rFonts w:ascii="Arial" w:cs="Arial" w:eastAsia="Arial" w:hAnsi="Arial"/>
          <w:sz w:val="18"/>
          <w:szCs w:val="18"/>
          <w:b w:val="1"/>
          <w:bCs w:val="1"/>
          <w:color w:val="2C2C2C"/>
        </w:rPr>
        <w:t>63</w:t>
      </w:r>
    </w:p>
    <w:p>
      <w:pPr>
        <w:sectPr>
          <w:pgSz w:w="11900" w:h="16838" w:orient="portrait"/>
          <w:cols w:equalWidth="0" w:num="1">
            <w:col w:w="11420"/>
          </w:cols>
          <w:pgMar w:left="240" w:top="125" w:right="239" w:bottom="1440" w:gutter="0" w:footer="0" w:header="0"/>
        </w:sectPr>
      </w:pPr>
    </w:p>
    <w:bookmarkStart w:id="72" w:name="page73"/>
    <w:bookmarkEnd w:id="72"/>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left="3820"/>
        <w:spacing w:after="0"/>
        <w:rPr>
          <w:sz w:val="20"/>
          <w:szCs w:val="20"/>
          <w:color w:val="auto"/>
        </w:rPr>
      </w:pPr>
      <w:r>
        <w:rPr>
          <w:rFonts w:ascii="Arial" w:cs="Arial" w:eastAsia="Arial" w:hAnsi="Arial"/>
          <w:sz w:val="14"/>
          <w:szCs w:val="14"/>
          <w:color w:val="auto"/>
        </w:rPr>
        <w:t>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8407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RECOMMENDATION AND VOTE REQUIRED</w:t>
      </w:r>
    </w:p>
    <w:p>
      <w:pPr>
        <w:spacing w:after="0" w:line="50" w:lineRule="exact"/>
        <w:rPr>
          <w:sz w:val="20"/>
          <w:szCs w:val="20"/>
          <w:color w:val="auto"/>
        </w:rPr>
      </w:pPr>
    </w:p>
    <w:p>
      <w:pPr>
        <w:jc w:val="both"/>
        <w:ind w:left="200" w:right="20"/>
        <w:spacing w:after="0" w:line="244" w:lineRule="auto"/>
        <w:rPr>
          <w:sz w:val="20"/>
          <w:szCs w:val="20"/>
          <w:color w:val="auto"/>
        </w:rPr>
      </w:pPr>
      <w:r>
        <w:rPr>
          <w:rFonts w:ascii="Arial" w:cs="Arial" w:eastAsia="Arial" w:hAnsi="Arial"/>
          <w:sz w:val="18"/>
          <w:szCs w:val="18"/>
          <w:b w:val="1"/>
          <w:bCs w:val="1"/>
          <w:color w:val="auto"/>
        </w:rPr>
        <w:t>Our Board of Directors recommends that stockholders vote “FOR” the ratification of the appointment of Deloitte as our independent registered public accounting firm for the year ending December 31, 2018. The proxy holders will vote all proxies received for approval of this proposal unless instructed otherwise. Approval of this proposal requires the affirmative vote of a majority of the shares cast on the matter. Because abstentions will not be considered cast on this matter, they will not have any effect on the proposal.</w:t>
      </w:r>
    </w:p>
    <w:p>
      <w:pPr>
        <w:spacing w:after="0" w:line="1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CERTAIN RELATIONSHIPS AND RELATED TRANSACTIONS</w:t>
      </w:r>
    </w:p>
    <w:p>
      <w:pPr>
        <w:spacing w:after="0" w:line="1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Pursuant to our Code of Business Conduct, all employees (including our Named Executives) who have, or whose immediate family members have, any direct or indirect financial or other participation in any business that competes with us, supplies goods or services to us, or is our customer, are required to disclose to us and receive written approval from our Corporate Ethics and Compliance department prior to transacting such business. Our employees are expected to make reasoned and impartial decisions in the workplace. As a result, approval of the business is denied if we believe that the employee’s interest in such business could influence decisions relative to our business, or have the potential to adversely affect our business or the objective performance of the employee’s work. Our Corporate Ethics and Compliance department implements our Code of Business Conduct and related policies and the Audit and Finance Committee of our Board is responsible for overseeing our Ethics and Compliance Program, including compliance with our Code of Business Conduct. Our Board members are also responsible for complying with our Code of Business Conduct. Additionally, our Governance Committee is responsible for reviewing the professional occupations and associations of our Board members. Our Audit and Finance Committee also reviews transactions between us and other companies with which our Board members are affiliated. To obtain a copy of our Code of Business Conduct, please see the “Corporate Governance” section above in this proxy statement.</w:t>
      </w:r>
    </w:p>
    <w:p>
      <w:pPr>
        <w:spacing w:after="0" w:line="76"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Since July 2015, we have entered into an indemnification agreement with each of our directors and executive officers in connection with the spin-off and have entered into substantially similar agreements with our directors and executive officers who have joined our Company or become executive officers since that time. Under the terms of the agreement, we agree to indemnify the indemnified person, to the fullest extent permitted by Delaware law, from claims and losses arising from their service to our company (other than certain claims brought by the indemnified party against us or any of our officers and directors). The agreement also provides each indemnified person with expense advancement to the extent the expenses arise from, or might reasonably be expected to arise from, an indemnifiable claim and contains additional terms meant to facilitate a determination of the indemnified person’s entitlement to such benefits.</w:t>
      </w:r>
    </w:p>
    <w:p>
      <w:pPr>
        <w:spacing w:after="0" w:line="1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SECTION 16(A) BENEFICIAL OWNERSHIP COMPLIANCE</w:t>
      </w:r>
    </w:p>
    <w:p>
      <w:pPr>
        <w:spacing w:after="0" w:line="14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Section 16(a) of the Securities Exchange Act of 1934 requires our directors and executive officers, and persons who own 10% or more of our voting stock, to file reports of ownership and changes in ownership of our equity securities with the SEC and the NYSE. Directors, executive officers and 10% or more holders are required by SEC regulations to furnish us with copies of all Section 16(a) forms they file. Based solely on a review of the copies of those forms furnished to us, or written representations that no forms were required, we believe that, during the year ended December 31, 2017, all Section 16(a) filing requirements applicable to our directors, executive officers and 10% or more beneficial owners were satisfied, except for late filings by two of our directors and one of our executive officers: (i) a Form 4 for one transaction filed by Kenneth J. Krieg, (ii) a Form 3 for one equity holding by Richard W. Mies, and (iii) a Form 4 for one transaction filed by Jason S. Kerr.</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2C2C2C"/>
        </w:rPr>
        <w:t xml:space="preserve">64 </w:t>
      </w:r>
      <w:r>
        <w:rPr>
          <w:sz w:val="1"/>
          <w:szCs w:val="1"/>
          <w:color w:val="auto"/>
        </w:rPr>
        <w:drawing>
          <wp:inline distT="0" distB="0" distL="0" distR="0">
            <wp:extent cx="445770" cy="18034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45770" cy="180340"/>
                    </a:xfrm>
                    <a:prstGeom prst="rect">
                      <a:avLst/>
                    </a:prstGeom>
                    <a:noFill/>
                    <a:ln>
                      <a:noFill/>
                    </a:ln>
                  </pic:spPr>
                </pic:pic>
              </a:graphicData>
            </a:graphic>
          </wp:inline>
        </w:drawing>
      </w:r>
      <w:r>
        <w:rPr>
          <w:rFonts w:ascii="Arial" w:cs="Arial" w:eastAsia="Arial" w:hAnsi="Arial"/>
          <w:sz w:val="18"/>
          <w:szCs w:val="18"/>
          <w:color w:val="auto"/>
        </w:rPr>
        <w:t xml:space="preserve"> 2018 PROXY STATEMENT</w:t>
      </w:r>
    </w:p>
    <w:p>
      <w:pPr>
        <w:sectPr>
          <w:pgSz w:w="11900" w:h="16838" w:orient="portrait"/>
          <w:cols w:equalWidth="0" w:num="1">
            <w:col w:w="11420"/>
          </w:cols>
          <w:pgMar w:left="240" w:top="125" w:right="239" w:bottom="1440" w:gutter="0" w:footer="0" w:header="0"/>
        </w:sectPr>
      </w:pPr>
    </w:p>
    <w:bookmarkStart w:id="73" w:name="page74"/>
    <w:bookmarkEnd w:id="73"/>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960"/>
        <w:spacing w:after="0"/>
        <w:rPr>
          <w:sz w:val="20"/>
          <w:szCs w:val="20"/>
          <w:color w:val="auto"/>
        </w:rPr>
      </w:pPr>
      <w:r>
        <w:rPr>
          <w:rFonts w:ascii="Arial" w:cs="Arial" w:eastAsia="Arial" w:hAnsi="Arial"/>
          <w:sz w:val="14"/>
          <w:szCs w:val="14"/>
          <w:color w:val="auto"/>
        </w:rPr>
        <w:t>STOCKHOLDERS'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STOCKHOLDERS’ PROPOSALS</w:t>
      </w:r>
    </w:p>
    <w:p>
      <w:pPr>
        <w:spacing w:after="0" w:line="1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Any stockholder who wishes to have a qualified proposal considered for inclusion in our proxy statement for our 2019 Annual Meeting of Stockholders must send notice of the proposal to our Corporate Secretary at our principal executive office no later than November 23, 2018. If you make such a proposal, you must provide your name, address, the number of shares of common stock you hold of record or beneficially, the date or dates on which such common stock was acquired and documentary support for any claim of beneficial ownership.</w:t>
      </w:r>
    </w:p>
    <w:p>
      <w:pPr>
        <w:spacing w:after="0" w:line="20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addition, any stockholder who intends to submit a proposal for consideration at our 2019 Annual Meeting, but not for inclusion in our proxy materials, or who intends to submit nominees for election as directors at the meeting must notify our Corporate Secretary. Under our bylaws, such notice must (i) be received at our principal executive offices no earlier than close of business on January 4, 2019 or later than February 4, 2019 and (ii) satisfy specified requirements set forth in our bylaws. A copy of the pertinent bylaw provisions can be found on our website at www.bwxt.com at “Investors — Corporate Governance — Highlights.”</w:t>
      </w:r>
    </w:p>
    <w:p>
      <w:pPr>
        <w:spacing w:after="0" w:line="200" w:lineRule="exact"/>
        <w:rPr>
          <w:sz w:val="20"/>
          <w:szCs w:val="20"/>
          <w:color w:val="auto"/>
        </w:rPr>
      </w:pPr>
    </w:p>
    <w:p>
      <w:pPr>
        <w:spacing w:after="0" w:line="262"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100965</wp:posOffset>
            </wp:positionV>
            <wp:extent cx="2032635" cy="5575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03263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JAMES D. CANAFAX</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Corporate Secretary</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March 23, 2018</w:t>
      </w:r>
    </w:p>
    <w:p>
      <w:pPr>
        <w:spacing w:after="0" w:line="267" w:lineRule="exact"/>
        <w:rPr>
          <w:sz w:val="20"/>
          <w:szCs w:val="20"/>
          <w:color w:val="auto"/>
        </w:rPr>
      </w:pPr>
    </w:p>
    <w:p>
      <w:pPr>
        <w:jc w:val="right"/>
        <w:spacing w:after="0"/>
        <w:rPr>
          <w:sz w:val="20"/>
          <w:szCs w:val="20"/>
          <w:color w:val="auto"/>
        </w:rPr>
      </w:pPr>
      <w:r>
        <w:rPr>
          <w:sz w:val="1"/>
          <w:szCs w:val="1"/>
          <w:color w:val="auto"/>
        </w:rPr>
        <w:drawing>
          <wp:inline distT="0" distB="0" distL="0" distR="0">
            <wp:extent cx="488950" cy="20574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88950" cy="205740"/>
                    </a:xfrm>
                    <a:prstGeom prst="rect">
                      <a:avLst/>
                    </a:prstGeom>
                    <a:noFill/>
                    <a:ln>
                      <a:noFill/>
                    </a:ln>
                  </pic:spPr>
                </pic:pic>
              </a:graphicData>
            </a:graphic>
          </wp:inline>
        </w:drawing>
      </w:r>
      <w:r>
        <w:rPr>
          <w:rFonts w:ascii="Arial" w:cs="Arial" w:eastAsia="Arial" w:hAnsi="Arial"/>
          <w:sz w:val="18"/>
          <w:szCs w:val="18"/>
          <w:color w:val="auto"/>
        </w:rPr>
        <w:t xml:space="preserve"> 2018 PROXY STATEMENT </w:t>
      </w:r>
      <w:r>
        <w:rPr>
          <w:rFonts w:ascii="Arial" w:cs="Arial" w:eastAsia="Arial" w:hAnsi="Arial"/>
          <w:sz w:val="18"/>
          <w:szCs w:val="18"/>
          <w:b w:val="1"/>
          <w:bCs w:val="1"/>
          <w:color w:val="2C2C2C"/>
        </w:rPr>
        <w:t>65</w:t>
      </w:r>
    </w:p>
    <w:p>
      <w:pPr>
        <w:sectPr>
          <w:pgSz w:w="11900" w:h="16838" w:orient="portrait"/>
          <w:cols w:equalWidth="0" w:num="1">
            <w:col w:w="11420"/>
          </w:cols>
          <w:pgMar w:left="240" w:top="125" w:right="239" w:bottom="1440" w:gutter="0" w:footer="0" w:header="0"/>
        </w:sectPr>
      </w:pPr>
    </w:p>
    <w:bookmarkStart w:id="74" w:name="page75"/>
    <w:bookmarkEnd w:id="74"/>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98" w:lineRule="exact"/>
        <w:rPr>
          <w:sz w:val="20"/>
          <w:szCs w:val="20"/>
          <w:color w:val="auto"/>
        </w:rPr>
      </w:pPr>
    </w:p>
    <w:p>
      <w:pPr>
        <w:ind w:left="9280"/>
        <w:spacing w:after="0"/>
        <w:rPr>
          <w:sz w:val="20"/>
          <w:szCs w:val="20"/>
          <w:color w:val="auto"/>
        </w:rPr>
      </w:pPr>
      <w:r>
        <w:rPr>
          <w:rFonts w:ascii="Arial" w:cs="Arial" w:eastAsia="Arial" w:hAnsi="Arial"/>
          <w:sz w:val="18"/>
          <w:szCs w:val="18"/>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REPORTED (GAAP) TO ADJUSTED (NON-GAAP) RESULTS</w:t>
      </w:r>
      <w:r>
        <w:rPr>
          <w:rFonts w:ascii="Arial" w:cs="Arial" w:eastAsia="Arial" w:hAnsi="Arial"/>
          <w:sz w:val="21"/>
          <w:szCs w:val="21"/>
          <w:b w:val="1"/>
          <w:bCs w:val="1"/>
          <w:color w:val="auto"/>
          <w:vertAlign w:val="superscript"/>
        </w:rPr>
        <w:t>(1)(2)(3)</w:t>
      </w:r>
    </w:p>
    <w:p>
      <w:pPr>
        <w:spacing w:after="0"/>
        <w:rPr>
          <w:sz w:val="20"/>
          <w:szCs w:val="20"/>
          <w:color w:val="auto"/>
        </w:rPr>
      </w:pPr>
      <w:r>
        <w:rPr>
          <w:rFonts w:ascii="Arial" w:cs="Arial" w:eastAsia="Arial" w:hAnsi="Arial"/>
          <w:sz w:val="18"/>
          <w:szCs w:val="18"/>
          <w:i w:val="1"/>
          <w:iCs w:val="1"/>
          <w:color w:val="auto"/>
        </w:rPr>
        <w:t>(in $ million, except share amounts)</w:t>
      </w: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1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50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Twelve Months Ended December 31, 2017</w:t>
            </w:r>
          </w:p>
        </w:tc>
        <w:tc>
          <w:tcPr>
            <w:tcW w:w="12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Pension &amp;</w:t>
            </w: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Impairment</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9"/>
              </w:rPr>
              <w:t>One Time Tax</w:t>
            </w:r>
          </w:p>
        </w:tc>
        <w:tc>
          <w:tcPr>
            <w:tcW w:w="1200" w:type="dxa"/>
            <w:vAlign w:val="bottom"/>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OPEB MTM</w:t>
            </w:r>
          </w:p>
        </w:tc>
        <w:tc>
          <w:tcPr>
            <w:tcW w:w="140" w:type="dxa"/>
            <w:vAlign w:val="bottom"/>
          </w:tcPr>
          <w:p>
            <w:pPr>
              <w:spacing w:after="0"/>
              <w:rPr>
                <w:sz w:val="16"/>
                <w:szCs w:val="16"/>
                <w:color w:val="auto"/>
              </w:rPr>
            </w:pPr>
          </w:p>
        </w:tc>
        <w:tc>
          <w:tcPr>
            <w:tcW w:w="1260" w:type="dxa"/>
            <w:vAlign w:val="bottom"/>
          </w:tcPr>
          <w:p>
            <w:pPr>
              <w:jc w:val="right"/>
              <w:ind w:right="259"/>
              <w:spacing w:after="0"/>
              <w:rPr>
                <w:sz w:val="20"/>
                <w:szCs w:val="20"/>
                <w:color w:val="auto"/>
              </w:rPr>
            </w:pPr>
            <w:r>
              <w:rPr>
                <w:rFonts w:ascii="Arial" w:cs="Arial" w:eastAsia="Arial" w:hAnsi="Arial"/>
                <w:sz w:val="16"/>
                <w:szCs w:val="16"/>
                <w:b w:val="1"/>
                <w:bCs w:val="1"/>
                <w:color w:val="auto"/>
              </w:rPr>
              <w:t>Executive</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9"/>
              </w:rPr>
              <w:t>(Gains) /</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(Benefit) /</w:t>
            </w:r>
          </w:p>
        </w:tc>
        <w:tc>
          <w:tcPr>
            <w:tcW w:w="1200" w:type="dxa"/>
            <w:vAlign w:val="bottom"/>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960" w:type="dxa"/>
            <w:vAlign w:val="bottom"/>
          </w:tcPr>
          <w:p>
            <w:pPr>
              <w:spacing w:after="0"/>
              <w:rPr>
                <w:sz w:val="19"/>
                <w:szCs w:val="19"/>
                <w:color w:val="auto"/>
              </w:rPr>
            </w:pPr>
          </w:p>
        </w:tc>
        <w:tc>
          <w:tcPr>
            <w:tcW w:w="10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GAAP</w:t>
            </w: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(Gain) / Loss</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Restructuring</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Charges</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Losses</w:t>
            </w: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Litigation</w:t>
            </w:r>
          </w:p>
        </w:tc>
        <w:tc>
          <w:tcPr>
            <w:tcW w:w="120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Non-GAAP</w:t>
            </w:r>
          </w:p>
        </w:tc>
        <w:tc>
          <w:tcPr>
            <w:tcW w:w="0" w:type="dxa"/>
            <w:vAlign w:val="bottom"/>
          </w:tcPr>
          <w:p>
            <w:pPr>
              <w:spacing w:after="0"/>
              <w:rPr>
                <w:sz w:val="1"/>
                <w:szCs w:val="1"/>
                <w:color w:val="auto"/>
              </w:rPr>
            </w:pPr>
          </w:p>
        </w:tc>
      </w:tr>
      <w:tr>
        <w:trPr>
          <w:trHeight w:val="521"/>
        </w:trPr>
        <w:tc>
          <w:tcPr>
            <w:tcW w:w="1960" w:type="dxa"/>
            <w:vAlign w:val="bottom"/>
          </w:tcPr>
          <w:p>
            <w:pPr>
              <w:spacing w:after="0"/>
              <w:rPr>
                <w:sz w:val="20"/>
                <w:szCs w:val="20"/>
                <w:color w:val="auto"/>
              </w:rPr>
            </w:pPr>
            <w:r>
              <w:rPr>
                <w:rFonts w:ascii="Arial" w:cs="Arial" w:eastAsia="Arial" w:hAnsi="Arial"/>
                <w:sz w:val="16"/>
                <w:szCs w:val="16"/>
                <w:color w:val="auto"/>
              </w:rPr>
              <w:t>Operating Income</w:t>
            </w:r>
          </w:p>
        </w:tc>
        <w:tc>
          <w:tcPr>
            <w:tcW w:w="1080" w:type="dxa"/>
            <w:vAlign w:val="bottom"/>
          </w:tcPr>
          <w:p>
            <w:pPr>
              <w:jc w:val="right"/>
              <w:ind w:right="419"/>
              <w:spacing w:after="0"/>
              <w:rPr>
                <w:sz w:val="20"/>
                <w:szCs w:val="20"/>
                <w:color w:val="auto"/>
              </w:rPr>
            </w:pPr>
            <w:r>
              <w:rPr>
                <w:rFonts w:ascii="Arial" w:cs="Arial" w:eastAsia="Arial" w:hAnsi="Arial"/>
                <w:sz w:val="16"/>
                <w:szCs w:val="16"/>
                <w:color w:val="auto"/>
              </w:rPr>
              <w:t>$ 308.9</w:t>
            </w:r>
          </w:p>
        </w:tc>
        <w:tc>
          <w:tcPr>
            <w:tcW w:w="1120" w:type="dxa"/>
            <w:vAlign w:val="bottom"/>
            <w:gridSpan w:val="2"/>
          </w:tcPr>
          <w:p>
            <w:pPr>
              <w:ind w:left="20"/>
              <w:spacing w:after="0"/>
              <w:rPr>
                <w:sz w:val="20"/>
                <w:szCs w:val="20"/>
                <w:color w:val="auto"/>
              </w:rPr>
            </w:pPr>
            <w:r>
              <w:rPr>
                <w:rFonts w:ascii="Arial" w:cs="Arial" w:eastAsia="Arial" w:hAnsi="Arial"/>
                <w:sz w:val="16"/>
                <w:szCs w:val="16"/>
                <w:color w:val="auto"/>
              </w:rPr>
              <w:t>$ 11.0</w:t>
            </w:r>
          </w:p>
        </w:tc>
        <w:tc>
          <w:tcPr>
            <w:tcW w:w="140" w:type="dxa"/>
            <w:vAlign w:val="bottom"/>
          </w:tcPr>
          <w:p>
            <w:pPr>
              <w:spacing w:after="0"/>
              <w:rPr>
                <w:sz w:val="24"/>
                <w:szCs w:val="24"/>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$ 2.6</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19"/>
              <w:spacing w:after="0"/>
              <w:rPr>
                <w:sz w:val="20"/>
                <w:szCs w:val="20"/>
                <w:color w:val="auto"/>
              </w:rPr>
            </w:pPr>
            <w:r>
              <w:rPr>
                <w:rFonts w:ascii="Arial" w:cs="Arial" w:eastAsia="Arial" w:hAnsi="Arial"/>
                <w:sz w:val="16"/>
                <w:szCs w:val="16"/>
                <w:color w:val="auto"/>
              </w:rPr>
              <w:t>$ (7.9)</w:t>
            </w:r>
          </w:p>
        </w:tc>
        <w:tc>
          <w:tcPr>
            <w:tcW w:w="120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$ 314.7</w:t>
            </w:r>
          </w:p>
        </w:tc>
        <w:tc>
          <w:tcPr>
            <w:tcW w:w="0" w:type="dxa"/>
            <w:vAlign w:val="bottom"/>
          </w:tcPr>
          <w:p>
            <w:pPr>
              <w:spacing w:after="0"/>
              <w:rPr>
                <w:sz w:val="1"/>
                <w:szCs w:val="1"/>
                <w:color w:val="auto"/>
              </w:rPr>
            </w:pPr>
          </w:p>
        </w:tc>
      </w:tr>
      <w:tr>
        <w:trPr>
          <w:trHeight w:val="243"/>
        </w:trPr>
        <w:tc>
          <w:tcPr>
            <w:tcW w:w="1960" w:type="dxa"/>
            <w:vAlign w:val="bottom"/>
          </w:tcPr>
          <w:p>
            <w:pPr>
              <w:spacing w:after="0"/>
              <w:rPr>
                <w:sz w:val="20"/>
                <w:szCs w:val="20"/>
                <w:color w:val="auto"/>
              </w:rPr>
            </w:pPr>
            <w:r>
              <w:rPr>
                <w:rFonts w:ascii="Arial" w:cs="Arial" w:eastAsia="Arial" w:hAnsi="Arial"/>
                <w:sz w:val="16"/>
                <w:szCs w:val="16"/>
                <w:color w:val="auto"/>
              </w:rPr>
              <w:t>Other Income (Expense)</w:t>
            </w:r>
          </w:p>
        </w:tc>
        <w:tc>
          <w:tcPr>
            <w:tcW w:w="1080" w:type="dxa"/>
            <w:vAlign w:val="bottom"/>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(0.4)</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spacing w:after="0"/>
              <w:rPr>
                <w:sz w:val="21"/>
                <w:szCs w:val="21"/>
                <w:color w:val="auto"/>
              </w:rPr>
            </w:pPr>
          </w:p>
        </w:tc>
        <w:tc>
          <w:tcPr>
            <w:tcW w:w="114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38"/>
        </w:trPr>
        <w:tc>
          <w:tcPr>
            <w:tcW w:w="1960" w:type="dxa"/>
            <w:vAlign w:val="bottom"/>
          </w:tcPr>
          <w:p>
            <w:pPr>
              <w:spacing w:after="0"/>
              <w:rPr>
                <w:sz w:val="20"/>
                <w:szCs w:val="20"/>
                <w:color w:val="auto"/>
              </w:rPr>
            </w:pPr>
            <w:r>
              <w:rPr>
                <w:rFonts w:ascii="Arial" w:cs="Arial" w:eastAsia="Arial" w:hAnsi="Arial"/>
                <w:sz w:val="16"/>
                <w:szCs w:val="16"/>
                <w:color w:val="auto"/>
              </w:rPr>
              <w:t>Provision for Income</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960" w:type="dxa"/>
            <w:vAlign w:val="bottom"/>
          </w:tcPr>
          <w:p>
            <w:pPr>
              <w:spacing w:after="0"/>
              <w:rPr>
                <w:sz w:val="20"/>
                <w:szCs w:val="20"/>
                <w:color w:val="auto"/>
              </w:rPr>
            </w:pPr>
            <w:r>
              <w:rPr>
                <w:rFonts w:ascii="Arial" w:cs="Arial" w:eastAsia="Arial" w:hAnsi="Arial"/>
                <w:sz w:val="16"/>
                <w:szCs w:val="16"/>
                <w:color w:val="auto"/>
              </w:rPr>
              <w:t>Taxes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(147.4)</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54.6</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20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(95.1)</w:t>
            </w:r>
          </w:p>
        </w:tc>
        <w:tc>
          <w:tcPr>
            <w:tcW w:w="0" w:type="dxa"/>
            <w:vAlign w:val="bottom"/>
          </w:tcPr>
          <w:p>
            <w:pPr>
              <w:spacing w:after="0"/>
              <w:rPr>
                <w:sz w:val="1"/>
                <w:szCs w:val="1"/>
                <w:color w:val="auto"/>
              </w:rPr>
            </w:pPr>
          </w:p>
        </w:tc>
      </w:tr>
      <w:tr>
        <w:trPr>
          <w:trHeight w:val="237"/>
        </w:trPr>
        <w:tc>
          <w:tcPr>
            <w:tcW w:w="1960" w:type="dxa"/>
            <w:vAlign w:val="bottom"/>
          </w:tcPr>
          <w:p>
            <w:pPr>
              <w:spacing w:after="0"/>
              <w:rPr>
                <w:sz w:val="20"/>
                <w:szCs w:val="20"/>
                <w:color w:val="auto"/>
              </w:rPr>
            </w:pPr>
            <w:r>
              <w:rPr>
                <w:rFonts w:ascii="Arial" w:cs="Arial" w:eastAsia="Arial" w:hAnsi="Arial"/>
                <w:sz w:val="16"/>
                <w:szCs w:val="16"/>
                <w:color w:val="auto"/>
              </w:rPr>
              <w:t>Net Income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148.4</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54.6</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2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206.1</w:t>
            </w:r>
          </w:p>
        </w:tc>
        <w:tc>
          <w:tcPr>
            <w:tcW w:w="0" w:type="dxa"/>
            <w:vAlign w:val="bottom"/>
          </w:tcPr>
          <w:p>
            <w:pPr>
              <w:spacing w:after="0"/>
              <w:rPr>
                <w:sz w:val="1"/>
                <w:szCs w:val="1"/>
                <w:color w:val="auto"/>
              </w:rPr>
            </w:pPr>
          </w:p>
        </w:tc>
      </w:tr>
      <w:tr>
        <w:trPr>
          <w:trHeight w:val="204"/>
        </w:trPr>
        <w:tc>
          <w:tcPr>
            <w:tcW w:w="1960" w:type="dxa"/>
            <w:vAlign w:val="bottom"/>
          </w:tcPr>
          <w:p>
            <w:pPr>
              <w:spacing w:after="0"/>
              <w:rPr>
                <w:sz w:val="20"/>
                <w:szCs w:val="20"/>
                <w:color w:val="auto"/>
              </w:rPr>
            </w:pPr>
            <w:r>
              <w:rPr>
                <w:rFonts w:ascii="Arial" w:cs="Arial" w:eastAsia="Arial" w:hAnsi="Arial"/>
                <w:sz w:val="16"/>
                <w:szCs w:val="16"/>
                <w:color w:val="auto"/>
              </w:rPr>
              <w:t>Net Income Attributable to</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96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4"/>
        </w:trPr>
        <w:tc>
          <w:tcPr>
            <w:tcW w:w="1960" w:type="dxa"/>
            <w:vAlign w:val="bottom"/>
          </w:tcPr>
          <w:p>
            <w:pPr>
              <w:spacing w:after="0"/>
              <w:rPr>
                <w:sz w:val="20"/>
                <w:szCs w:val="20"/>
                <w:color w:val="auto"/>
              </w:rPr>
            </w:pPr>
            <w:r>
              <w:rPr>
                <w:rFonts w:ascii="Arial" w:cs="Arial" w:eastAsia="Arial" w:hAnsi="Arial"/>
                <w:sz w:val="16"/>
                <w:szCs w:val="16"/>
                <w:color w:val="auto"/>
              </w:rPr>
              <w:t>Net Income Attributable to</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$ 147.8</w:t>
            </w:r>
          </w:p>
        </w:tc>
        <w:tc>
          <w:tcPr>
            <w:tcW w:w="120" w:type="dxa"/>
            <w:vAlign w:val="bottom"/>
          </w:tcPr>
          <w:p>
            <w:pPr>
              <w:spacing w:after="0"/>
              <w:rPr>
                <w:sz w:val="17"/>
                <w:szCs w:val="17"/>
                <w:color w:val="auto"/>
              </w:rPr>
            </w:pPr>
          </w:p>
        </w:tc>
        <w:tc>
          <w:tcPr>
            <w:tcW w:w="1000" w:type="dxa"/>
            <w:vAlign w:val="bottom"/>
            <w:vMerge w:val="restart"/>
          </w:tcPr>
          <w:p>
            <w:pPr>
              <w:jc w:val="right"/>
              <w:ind w:right="19"/>
              <w:spacing w:after="0"/>
              <w:rPr>
                <w:sz w:val="20"/>
                <w:szCs w:val="20"/>
                <w:color w:val="auto"/>
              </w:rPr>
            </w:pPr>
            <w:r>
              <w:rPr>
                <w:rFonts w:ascii="Arial" w:cs="Arial" w:eastAsia="Arial" w:hAnsi="Arial"/>
                <w:sz w:val="16"/>
                <w:szCs w:val="16"/>
                <w:color w:val="auto"/>
              </w:rPr>
              <w:t>$ 6.9</w:t>
            </w:r>
          </w:p>
        </w:tc>
        <w:tc>
          <w:tcPr>
            <w:tcW w:w="140" w:type="dxa"/>
            <w:vAlign w:val="bottom"/>
          </w:tcPr>
          <w:p>
            <w:pPr>
              <w:spacing w:after="0"/>
              <w:rPr>
                <w:sz w:val="17"/>
                <w:szCs w:val="17"/>
                <w:color w:val="auto"/>
              </w:rPr>
            </w:pPr>
          </w:p>
        </w:tc>
        <w:tc>
          <w:tcPr>
            <w:tcW w:w="1260" w:type="dxa"/>
            <w:vAlign w:val="bottom"/>
            <w:vMerge w:val="restart"/>
          </w:tcPr>
          <w:p>
            <w:pPr>
              <w:jc w:val="right"/>
              <w:ind w:right="79"/>
              <w:spacing w:after="0"/>
              <w:rPr>
                <w:sz w:val="20"/>
                <w:szCs w:val="20"/>
                <w:color w:val="auto"/>
              </w:rPr>
            </w:pPr>
            <w:r>
              <w:rPr>
                <w:rFonts w:ascii="Arial" w:cs="Arial" w:eastAsia="Arial" w:hAnsi="Arial"/>
                <w:sz w:val="16"/>
                <w:szCs w:val="16"/>
                <w:color w:val="auto"/>
              </w:rPr>
              <w:t>$ 1.7</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 (0.4)</w:t>
            </w:r>
          </w:p>
        </w:tc>
        <w:tc>
          <w:tcPr>
            <w:tcW w:w="1160" w:type="dxa"/>
            <w:vAlign w:val="bottom"/>
            <w:vMerge w:val="restart"/>
          </w:tcPr>
          <w:p>
            <w:pPr>
              <w:jc w:val="right"/>
              <w:ind w:right="39"/>
              <w:spacing w:after="0"/>
              <w:rPr>
                <w:sz w:val="20"/>
                <w:szCs w:val="20"/>
                <w:color w:val="auto"/>
              </w:rPr>
            </w:pPr>
            <w:r>
              <w:rPr>
                <w:rFonts w:ascii="Arial" w:cs="Arial" w:eastAsia="Arial" w:hAnsi="Arial"/>
                <w:sz w:val="16"/>
                <w:szCs w:val="16"/>
                <w:color w:val="auto"/>
              </w:rPr>
              <w:t>$ 54.6</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 (5.1)</w:t>
            </w:r>
          </w:p>
        </w:tc>
        <w:tc>
          <w:tcPr>
            <w:tcW w:w="12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$ 205.6</w:t>
            </w:r>
          </w:p>
        </w:tc>
        <w:tc>
          <w:tcPr>
            <w:tcW w:w="0" w:type="dxa"/>
            <w:vAlign w:val="bottom"/>
          </w:tcPr>
          <w:p>
            <w:pPr>
              <w:spacing w:after="0"/>
              <w:rPr>
                <w:sz w:val="1"/>
                <w:szCs w:val="1"/>
                <w:color w:val="auto"/>
              </w:rPr>
            </w:pPr>
          </w:p>
        </w:tc>
      </w:tr>
      <w:tr>
        <w:trPr>
          <w:trHeight w:val="195"/>
        </w:trPr>
        <w:tc>
          <w:tcPr>
            <w:tcW w:w="1960" w:type="dxa"/>
            <w:vAlign w:val="bottom"/>
          </w:tcPr>
          <w:p>
            <w:pPr>
              <w:spacing w:after="0"/>
              <w:rPr>
                <w:sz w:val="20"/>
                <w:szCs w:val="20"/>
                <w:color w:val="auto"/>
              </w:rPr>
            </w:pPr>
            <w:r>
              <w:rPr>
                <w:rFonts w:ascii="Arial" w:cs="Arial" w:eastAsia="Arial" w:hAnsi="Arial"/>
                <w:sz w:val="16"/>
                <w:szCs w:val="16"/>
                <w:color w:val="auto"/>
              </w:rPr>
              <w:t>BWXT</w:t>
            </w: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rPr>
                <w:sz w:val="20"/>
                <w:szCs w:val="20"/>
                <w:color w:val="auto"/>
              </w:rPr>
            </w:pPr>
            <w:r>
              <w:rPr>
                <w:rFonts w:ascii="Arial" w:cs="Arial" w:eastAsia="Arial" w:hAnsi="Arial"/>
                <w:sz w:val="16"/>
                <w:szCs w:val="16"/>
                <w:color w:val="auto"/>
              </w:rPr>
              <w:t>Diluted Shares</w:t>
            </w: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196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960" w:type="dxa"/>
            <w:vAlign w:val="bottom"/>
          </w:tcPr>
          <w:p>
            <w:pPr>
              <w:spacing w:after="0"/>
              <w:rPr>
                <w:sz w:val="20"/>
                <w:szCs w:val="20"/>
                <w:color w:val="auto"/>
              </w:rPr>
            </w:pPr>
            <w:r>
              <w:rPr>
                <w:rFonts w:ascii="Arial" w:cs="Arial" w:eastAsia="Arial" w:hAnsi="Arial"/>
                <w:sz w:val="16"/>
                <w:szCs w:val="16"/>
                <w:color w:val="auto"/>
              </w:rPr>
              <w:t>Outstanding</w:t>
            </w:r>
          </w:p>
        </w:tc>
        <w:tc>
          <w:tcPr>
            <w:tcW w:w="1080" w:type="dxa"/>
            <w:vAlign w:val="bottom"/>
          </w:tcPr>
          <w:p>
            <w:pPr>
              <w:jc w:val="right"/>
              <w:spacing w:after="0"/>
              <w:rPr>
                <w:sz w:val="20"/>
                <w:szCs w:val="20"/>
                <w:color w:val="auto"/>
              </w:rPr>
            </w:pPr>
            <w:r>
              <w:rPr>
                <w:rFonts w:ascii="Arial" w:cs="Arial" w:eastAsia="Arial" w:hAnsi="Arial"/>
                <w:sz w:val="16"/>
                <w:szCs w:val="16"/>
                <w:color w:val="auto"/>
              </w:rPr>
              <w:t>100.4</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100.4</w:t>
            </w:r>
          </w:p>
        </w:tc>
        <w:tc>
          <w:tcPr>
            <w:tcW w:w="0" w:type="dxa"/>
            <w:vAlign w:val="bottom"/>
          </w:tcPr>
          <w:p>
            <w:pPr>
              <w:spacing w:after="0"/>
              <w:rPr>
                <w:sz w:val="1"/>
                <w:szCs w:val="1"/>
                <w:color w:val="auto"/>
              </w:rPr>
            </w:pPr>
          </w:p>
        </w:tc>
      </w:tr>
      <w:tr>
        <w:trPr>
          <w:trHeight w:val="238"/>
        </w:trPr>
        <w:tc>
          <w:tcPr>
            <w:tcW w:w="1960" w:type="dxa"/>
            <w:vAlign w:val="bottom"/>
          </w:tcPr>
          <w:p>
            <w:pPr>
              <w:spacing w:after="0"/>
              <w:rPr>
                <w:sz w:val="20"/>
                <w:szCs w:val="20"/>
                <w:color w:val="auto"/>
              </w:rPr>
            </w:pPr>
            <w:r>
              <w:rPr>
                <w:rFonts w:ascii="Arial" w:cs="Arial" w:eastAsia="Arial" w:hAnsi="Arial"/>
                <w:sz w:val="16"/>
                <w:szCs w:val="16"/>
                <w:color w:val="auto"/>
              </w:rPr>
              <w:t>Diluted Earnings per</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960" w:type="dxa"/>
            <w:vAlign w:val="bottom"/>
          </w:tcPr>
          <w:p>
            <w:pPr>
              <w:spacing w:after="0"/>
              <w:rPr>
                <w:sz w:val="20"/>
                <w:szCs w:val="20"/>
                <w:color w:val="auto"/>
              </w:rPr>
            </w:pPr>
            <w:r>
              <w:rPr>
                <w:rFonts w:ascii="Arial" w:cs="Arial" w:eastAsia="Arial" w:hAnsi="Arial"/>
                <w:sz w:val="16"/>
                <w:szCs w:val="16"/>
                <w:color w:val="auto"/>
              </w:rPr>
              <w:t>Common Share</w:t>
            </w:r>
          </w:p>
        </w:tc>
        <w:tc>
          <w:tcPr>
            <w:tcW w:w="1080" w:type="dxa"/>
            <w:vAlign w:val="bottom"/>
          </w:tcPr>
          <w:p>
            <w:pPr>
              <w:jc w:val="right"/>
              <w:spacing w:after="0"/>
              <w:rPr>
                <w:sz w:val="20"/>
                <w:szCs w:val="20"/>
                <w:color w:val="auto"/>
              </w:rPr>
            </w:pPr>
            <w:r>
              <w:rPr>
                <w:rFonts w:ascii="Arial" w:cs="Arial" w:eastAsia="Arial" w:hAnsi="Arial"/>
                <w:sz w:val="16"/>
                <w:szCs w:val="16"/>
                <w:color w:val="auto"/>
              </w:rPr>
              <w:t>$ 1.47</w:t>
            </w:r>
          </w:p>
        </w:tc>
        <w:tc>
          <w:tcPr>
            <w:tcW w:w="1120" w:type="dxa"/>
            <w:vAlign w:val="bottom"/>
            <w:gridSpan w:val="2"/>
          </w:tcPr>
          <w:p>
            <w:pPr>
              <w:ind w:left="20"/>
              <w:spacing w:after="0"/>
              <w:rPr>
                <w:sz w:val="20"/>
                <w:szCs w:val="20"/>
                <w:color w:val="auto"/>
              </w:rPr>
            </w:pPr>
            <w:r>
              <w:rPr>
                <w:rFonts w:ascii="Arial" w:cs="Arial" w:eastAsia="Arial" w:hAnsi="Arial"/>
                <w:sz w:val="16"/>
                <w:szCs w:val="16"/>
                <w:color w:val="auto"/>
              </w:rPr>
              <w:t>$ 0.07</w:t>
            </w:r>
          </w:p>
        </w:tc>
        <w:tc>
          <w:tcPr>
            <w:tcW w:w="140" w:type="dxa"/>
            <w:vAlign w:val="bottom"/>
          </w:tcPr>
          <w:p>
            <w:pPr>
              <w:spacing w:after="0"/>
              <w:rPr>
                <w:sz w:val="16"/>
                <w:szCs w:val="16"/>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$ 0.02</w:t>
            </w:r>
          </w:p>
        </w:tc>
        <w:tc>
          <w:tcPr>
            <w:tcW w:w="1140" w:type="dxa"/>
            <w:vAlign w:val="bottom"/>
          </w:tcPr>
          <w:p>
            <w:pPr>
              <w:jc w:val="right"/>
              <w:spacing w:after="0"/>
              <w:rPr>
                <w:sz w:val="20"/>
                <w:szCs w:val="20"/>
                <w:color w:val="auto"/>
              </w:rPr>
            </w:pPr>
            <w:r>
              <w:rPr>
                <w:rFonts w:ascii="Arial" w:cs="Arial" w:eastAsia="Arial" w:hAnsi="Arial"/>
                <w:sz w:val="16"/>
                <w:szCs w:val="16"/>
                <w:color w:val="auto"/>
              </w:rPr>
              <w:t>$ 0.00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$ 0.54</w:t>
            </w:r>
          </w:p>
        </w:tc>
        <w:tc>
          <w:tcPr>
            <w:tcW w:w="1200" w:type="dxa"/>
            <w:vAlign w:val="bottom"/>
          </w:tcPr>
          <w:p>
            <w:pPr>
              <w:jc w:val="right"/>
              <w:spacing w:after="0"/>
              <w:rPr>
                <w:sz w:val="20"/>
                <w:szCs w:val="20"/>
                <w:color w:val="auto"/>
              </w:rPr>
            </w:pPr>
            <w:r>
              <w:rPr>
                <w:rFonts w:ascii="Arial" w:cs="Arial" w:eastAsia="Arial" w:hAnsi="Arial"/>
                <w:sz w:val="16"/>
                <w:szCs w:val="16"/>
                <w:color w:val="auto"/>
              </w:rPr>
              <w:t>$ (0.05)</w:t>
            </w:r>
          </w:p>
        </w:tc>
        <w:tc>
          <w:tcPr>
            <w:tcW w:w="12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$ 2.05</w:t>
            </w:r>
          </w:p>
        </w:tc>
        <w:tc>
          <w:tcPr>
            <w:tcW w:w="0" w:type="dxa"/>
            <w:vAlign w:val="bottom"/>
          </w:tcPr>
          <w:p>
            <w:pPr>
              <w:spacing w:after="0"/>
              <w:rPr>
                <w:sz w:val="1"/>
                <w:szCs w:val="1"/>
                <w:color w:val="auto"/>
              </w:rPr>
            </w:pPr>
          </w:p>
        </w:tc>
      </w:tr>
      <w:tr>
        <w:trPr>
          <w:trHeight w:val="290"/>
        </w:trPr>
        <w:tc>
          <w:tcPr>
            <w:tcW w:w="1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500" w:type="dxa"/>
            <w:vAlign w:val="bottom"/>
            <w:gridSpan w:val="3"/>
            <w:vMerge w:val="restart"/>
          </w:tcPr>
          <w:p>
            <w:pPr>
              <w:jc w:val="right"/>
              <w:ind w:right="39"/>
              <w:spacing w:after="0"/>
              <w:rPr>
                <w:sz w:val="20"/>
                <w:szCs w:val="20"/>
                <w:color w:val="auto"/>
              </w:rPr>
            </w:pPr>
            <w:r>
              <w:rPr>
                <w:rFonts w:ascii="Arial" w:cs="Arial" w:eastAsia="Arial" w:hAnsi="Arial"/>
                <w:sz w:val="16"/>
                <w:szCs w:val="16"/>
                <w:b w:val="1"/>
                <w:bCs w:val="1"/>
                <w:color w:val="auto"/>
              </w:rPr>
              <w:t>Twelve Months Ended December 31, 2016</w:t>
            </w:r>
          </w:p>
        </w:tc>
        <w:tc>
          <w:tcPr>
            <w:tcW w:w="1200" w:type="dxa"/>
            <w:vAlign w:val="bottom"/>
            <w:tcBorders>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1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500" w:type="dxa"/>
            <w:vAlign w:val="bottom"/>
            <w:gridSpan w:val="3"/>
            <w:vMerge w:val="continue"/>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Pension &amp;</w:t>
            </w: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Impairment</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9"/>
              </w:rPr>
              <w:t>One Time Tax</w:t>
            </w: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auto"/>
              </w:rPr>
              <w:t>Framework</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Performance</w:t>
            </w:r>
          </w:p>
        </w:tc>
        <w:tc>
          <w:tcPr>
            <w:tcW w:w="1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OPEB MTM</w:t>
            </w: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9"/>
              </w:rPr>
              <w:t>(Gains) /</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(Benefit) /</w:t>
            </w: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rPr>
              <w:t>Agreement &amp;</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Guarantees</w:t>
            </w:r>
          </w:p>
        </w:tc>
        <w:tc>
          <w:tcPr>
            <w:tcW w:w="1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960" w:type="dxa"/>
            <w:vAlign w:val="bottom"/>
          </w:tcPr>
          <w:p>
            <w:pPr>
              <w:spacing w:after="0"/>
              <w:rPr>
                <w:sz w:val="19"/>
                <w:szCs w:val="19"/>
                <w:color w:val="auto"/>
              </w:rPr>
            </w:pPr>
          </w:p>
        </w:tc>
        <w:tc>
          <w:tcPr>
            <w:tcW w:w="10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GAAP</w:t>
            </w: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(Gain) / Loss</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Restructuring</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Charges</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Losses</w:t>
            </w:r>
          </w:p>
        </w:tc>
        <w:tc>
          <w:tcPr>
            <w:tcW w:w="12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Litigation</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Release</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Non-GAAP</w:t>
            </w:r>
          </w:p>
        </w:tc>
        <w:tc>
          <w:tcPr>
            <w:tcW w:w="0" w:type="dxa"/>
            <w:vAlign w:val="bottom"/>
          </w:tcPr>
          <w:p>
            <w:pPr>
              <w:spacing w:after="0"/>
              <w:rPr>
                <w:sz w:val="1"/>
                <w:szCs w:val="1"/>
                <w:color w:val="auto"/>
              </w:rPr>
            </w:pPr>
          </w:p>
        </w:tc>
      </w:tr>
      <w:tr>
        <w:trPr>
          <w:trHeight w:val="494"/>
        </w:trPr>
        <w:tc>
          <w:tcPr>
            <w:tcW w:w="1960" w:type="dxa"/>
            <w:vAlign w:val="bottom"/>
          </w:tcPr>
          <w:p>
            <w:pPr>
              <w:spacing w:after="0"/>
              <w:rPr>
                <w:sz w:val="20"/>
                <w:szCs w:val="20"/>
                <w:color w:val="auto"/>
              </w:rPr>
            </w:pPr>
            <w:r>
              <w:rPr>
                <w:rFonts w:ascii="Arial" w:cs="Arial" w:eastAsia="Arial" w:hAnsi="Arial"/>
                <w:sz w:val="16"/>
                <w:szCs w:val="16"/>
                <w:color w:val="auto"/>
              </w:rPr>
              <w:t>Operating Income</w:t>
            </w:r>
          </w:p>
        </w:tc>
        <w:tc>
          <w:tcPr>
            <w:tcW w:w="1080" w:type="dxa"/>
            <w:vAlign w:val="bottom"/>
          </w:tcPr>
          <w:p>
            <w:pPr>
              <w:jc w:val="right"/>
              <w:ind w:right="419"/>
              <w:spacing w:after="0"/>
              <w:rPr>
                <w:sz w:val="20"/>
                <w:szCs w:val="20"/>
                <w:color w:val="auto"/>
              </w:rPr>
            </w:pPr>
            <w:r>
              <w:rPr>
                <w:rFonts w:ascii="Arial" w:cs="Arial" w:eastAsia="Arial" w:hAnsi="Arial"/>
                <w:sz w:val="16"/>
                <w:szCs w:val="16"/>
                <w:color w:val="auto"/>
              </w:rPr>
              <w:t>$ 239.3</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21.5</w:t>
            </w:r>
          </w:p>
        </w:tc>
        <w:tc>
          <w:tcPr>
            <w:tcW w:w="140" w:type="dxa"/>
            <w:vAlign w:val="bottom"/>
          </w:tcPr>
          <w:p>
            <w:pPr>
              <w:spacing w:after="0"/>
              <w:rPr>
                <w:sz w:val="24"/>
                <w:szCs w:val="24"/>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$ 4.5</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$ 13.9</w:t>
            </w:r>
          </w:p>
        </w:tc>
        <w:tc>
          <w:tcPr>
            <w:tcW w:w="120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$ 279.2</w:t>
            </w:r>
          </w:p>
        </w:tc>
        <w:tc>
          <w:tcPr>
            <w:tcW w:w="0" w:type="dxa"/>
            <w:vAlign w:val="bottom"/>
          </w:tcPr>
          <w:p>
            <w:pPr>
              <w:spacing w:after="0"/>
              <w:rPr>
                <w:sz w:val="1"/>
                <w:szCs w:val="1"/>
                <w:color w:val="auto"/>
              </w:rPr>
            </w:pPr>
          </w:p>
        </w:tc>
      </w:tr>
      <w:tr>
        <w:trPr>
          <w:trHeight w:val="243"/>
        </w:trPr>
        <w:tc>
          <w:tcPr>
            <w:tcW w:w="1960" w:type="dxa"/>
            <w:vAlign w:val="bottom"/>
          </w:tcPr>
          <w:p>
            <w:pPr>
              <w:spacing w:after="0"/>
              <w:rPr>
                <w:sz w:val="20"/>
                <w:szCs w:val="20"/>
                <w:color w:val="auto"/>
              </w:rPr>
            </w:pPr>
            <w:r>
              <w:rPr>
                <w:rFonts w:ascii="Arial" w:cs="Arial" w:eastAsia="Arial" w:hAnsi="Arial"/>
                <w:sz w:val="16"/>
                <w:szCs w:val="16"/>
                <w:color w:val="auto"/>
              </w:rPr>
              <w:t>Other Income (Expense)</w:t>
            </w:r>
          </w:p>
        </w:tc>
        <w:tc>
          <w:tcPr>
            <w:tcW w:w="1080" w:type="dxa"/>
            <w:vAlign w:val="bottom"/>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140" w:type="dxa"/>
            <w:vAlign w:val="bottom"/>
          </w:tcPr>
          <w:p>
            <w:pPr>
              <w:spacing w:after="0"/>
              <w:rPr>
                <w:sz w:val="21"/>
                <w:szCs w:val="21"/>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(13.6)</w:t>
            </w:r>
          </w:p>
        </w:tc>
        <w:tc>
          <w:tcPr>
            <w:tcW w:w="1140" w:type="dxa"/>
            <w:vAlign w:val="bottom"/>
          </w:tcPr>
          <w:p>
            <w:pPr>
              <w:jc w:val="right"/>
              <w:spacing w:after="0"/>
              <w:rPr>
                <w:sz w:val="20"/>
                <w:szCs w:val="20"/>
                <w:color w:val="auto"/>
              </w:rPr>
            </w:pPr>
            <w:r>
              <w:rPr>
                <w:rFonts w:ascii="Arial" w:cs="Arial" w:eastAsia="Arial" w:hAnsi="Arial"/>
                <w:sz w:val="16"/>
                <w:szCs w:val="16"/>
                <w:color w:val="auto"/>
              </w:rPr>
              <w:t>(1.6)</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(9.3)</w:t>
            </w:r>
          </w:p>
        </w:tc>
        <w:tc>
          <w:tcPr>
            <w:tcW w:w="114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38"/>
        </w:trPr>
        <w:tc>
          <w:tcPr>
            <w:tcW w:w="1960" w:type="dxa"/>
            <w:vAlign w:val="bottom"/>
          </w:tcPr>
          <w:p>
            <w:pPr>
              <w:spacing w:after="0"/>
              <w:rPr>
                <w:sz w:val="20"/>
                <w:szCs w:val="20"/>
                <w:color w:val="auto"/>
              </w:rPr>
            </w:pPr>
            <w:r>
              <w:rPr>
                <w:rFonts w:ascii="Arial" w:cs="Arial" w:eastAsia="Arial" w:hAnsi="Arial"/>
                <w:sz w:val="16"/>
                <w:szCs w:val="16"/>
                <w:color w:val="auto"/>
              </w:rPr>
              <w:t>Provision for Income</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960" w:type="dxa"/>
            <w:vAlign w:val="bottom"/>
          </w:tcPr>
          <w:p>
            <w:pPr>
              <w:spacing w:after="0"/>
              <w:rPr>
                <w:sz w:val="20"/>
                <w:szCs w:val="20"/>
                <w:color w:val="auto"/>
              </w:rPr>
            </w:pPr>
            <w:r>
              <w:rPr>
                <w:rFonts w:ascii="Arial" w:cs="Arial" w:eastAsia="Arial" w:hAnsi="Arial"/>
                <w:sz w:val="16"/>
                <w:szCs w:val="16"/>
                <w:color w:val="auto"/>
              </w:rPr>
              <w:t>Taxes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w:t>
            </w: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(5.6)</w:t>
            </w:r>
          </w:p>
        </w:tc>
        <w:tc>
          <w:tcPr>
            <w:tcW w:w="120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3.4</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(89.6)</w:t>
            </w:r>
          </w:p>
        </w:tc>
        <w:tc>
          <w:tcPr>
            <w:tcW w:w="0" w:type="dxa"/>
            <w:vAlign w:val="bottom"/>
          </w:tcPr>
          <w:p>
            <w:pPr>
              <w:spacing w:after="0"/>
              <w:rPr>
                <w:sz w:val="1"/>
                <w:szCs w:val="1"/>
                <w:color w:val="auto"/>
              </w:rPr>
            </w:pPr>
          </w:p>
        </w:tc>
      </w:tr>
      <w:tr>
        <w:trPr>
          <w:trHeight w:val="237"/>
        </w:trPr>
        <w:tc>
          <w:tcPr>
            <w:tcW w:w="1960" w:type="dxa"/>
            <w:vAlign w:val="bottom"/>
          </w:tcPr>
          <w:p>
            <w:pPr>
              <w:spacing w:after="0"/>
              <w:rPr>
                <w:sz w:val="20"/>
                <w:szCs w:val="20"/>
                <w:color w:val="auto"/>
              </w:rPr>
            </w:pPr>
            <w:r>
              <w:rPr>
                <w:rFonts w:ascii="Arial" w:cs="Arial" w:eastAsia="Arial" w:hAnsi="Arial"/>
                <w:sz w:val="16"/>
                <w:szCs w:val="16"/>
                <w:color w:val="auto"/>
              </w:rPr>
              <w:t>Net Income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183.6</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14.2</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w:t>
            </w: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8.3</w:t>
            </w:r>
          </w:p>
        </w:tc>
        <w:tc>
          <w:tcPr>
            <w:tcW w:w="120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(5.9)</w:t>
            </w:r>
          </w:p>
        </w:tc>
        <w:tc>
          <w:tcPr>
            <w:tcW w:w="114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182.9</w:t>
            </w:r>
          </w:p>
        </w:tc>
        <w:tc>
          <w:tcPr>
            <w:tcW w:w="0" w:type="dxa"/>
            <w:vAlign w:val="bottom"/>
          </w:tcPr>
          <w:p>
            <w:pPr>
              <w:spacing w:after="0"/>
              <w:rPr>
                <w:sz w:val="1"/>
                <w:szCs w:val="1"/>
                <w:color w:val="auto"/>
              </w:rPr>
            </w:pPr>
          </w:p>
        </w:tc>
      </w:tr>
      <w:tr>
        <w:trPr>
          <w:trHeight w:val="204"/>
        </w:trPr>
        <w:tc>
          <w:tcPr>
            <w:tcW w:w="1960" w:type="dxa"/>
            <w:vAlign w:val="bottom"/>
          </w:tcPr>
          <w:p>
            <w:pPr>
              <w:spacing w:after="0"/>
              <w:rPr>
                <w:sz w:val="20"/>
                <w:szCs w:val="20"/>
                <w:color w:val="auto"/>
              </w:rPr>
            </w:pPr>
            <w:r>
              <w:rPr>
                <w:rFonts w:ascii="Arial" w:cs="Arial" w:eastAsia="Arial" w:hAnsi="Arial"/>
                <w:sz w:val="16"/>
                <w:szCs w:val="16"/>
                <w:color w:val="auto"/>
              </w:rPr>
              <w:t>Net Income Attributable to</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96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4"/>
        </w:trPr>
        <w:tc>
          <w:tcPr>
            <w:tcW w:w="1960" w:type="dxa"/>
            <w:vAlign w:val="bottom"/>
          </w:tcPr>
          <w:p>
            <w:pPr>
              <w:spacing w:after="0"/>
              <w:rPr>
                <w:sz w:val="20"/>
                <w:szCs w:val="20"/>
                <w:color w:val="auto"/>
              </w:rPr>
            </w:pPr>
            <w:r>
              <w:rPr>
                <w:rFonts w:ascii="Arial" w:cs="Arial" w:eastAsia="Arial" w:hAnsi="Arial"/>
                <w:sz w:val="16"/>
                <w:szCs w:val="16"/>
                <w:color w:val="auto"/>
              </w:rPr>
              <w:t>Net Income Attributable to</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$ 183.1</w:t>
            </w:r>
          </w:p>
        </w:tc>
        <w:tc>
          <w:tcPr>
            <w:tcW w:w="120" w:type="dxa"/>
            <w:vAlign w:val="bottom"/>
          </w:tcPr>
          <w:p>
            <w:pPr>
              <w:spacing w:after="0"/>
              <w:rPr>
                <w:sz w:val="17"/>
                <w:szCs w:val="17"/>
                <w:color w:val="auto"/>
              </w:rPr>
            </w:pPr>
          </w:p>
        </w:tc>
        <w:tc>
          <w:tcPr>
            <w:tcW w:w="1000" w:type="dxa"/>
            <w:vAlign w:val="bottom"/>
            <w:vMerge w:val="restart"/>
          </w:tcPr>
          <w:p>
            <w:pPr>
              <w:jc w:val="right"/>
              <w:ind w:right="19"/>
              <w:spacing w:after="0"/>
              <w:rPr>
                <w:sz w:val="20"/>
                <w:szCs w:val="20"/>
                <w:color w:val="auto"/>
              </w:rPr>
            </w:pPr>
            <w:r>
              <w:rPr>
                <w:rFonts w:ascii="Arial" w:cs="Arial" w:eastAsia="Arial" w:hAnsi="Arial"/>
                <w:sz w:val="16"/>
                <w:szCs w:val="16"/>
                <w:color w:val="auto"/>
              </w:rPr>
              <w:t>$ 14.2</w:t>
            </w:r>
          </w:p>
        </w:tc>
        <w:tc>
          <w:tcPr>
            <w:tcW w:w="140" w:type="dxa"/>
            <w:vAlign w:val="bottom"/>
            <w:vMerge w:val="restart"/>
          </w:tcPr>
          <w:p>
            <w:pPr>
              <w:ind w:left="40"/>
              <w:spacing w:after="0"/>
              <w:rPr>
                <w:sz w:val="20"/>
                <w:szCs w:val="20"/>
                <w:color w:val="auto"/>
              </w:rPr>
            </w:pPr>
            <w:r>
              <w:rPr>
                <w:rFonts w:ascii="Arial" w:cs="Arial" w:eastAsia="Arial" w:hAnsi="Arial"/>
                <w:sz w:val="16"/>
                <w:szCs w:val="16"/>
                <w:color w:val="auto"/>
                <w:w w:val="89"/>
              </w:rPr>
              <w:t>$</w:t>
            </w:r>
          </w:p>
        </w:tc>
        <w:tc>
          <w:tcPr>
            <w:tcW w:w="1260" w:type="dxa"/>
            <w:vAlign w:val="bottom"/>
            <w:vMerge w:val="restart"/>
          </w:tcPr>
          <w:p>
            <w:pPr>
              <w:jc w:val="right"/>
              <w:ind w:right="19"/>
              <w:spacing w:after="0"/>
              <w:rPr>
                <w:sz w:val="20"/>
                <w:szCs w:val="20"/>
                <w:color w:val="auto"/>
              </w:rPr>
            </w:pPr>
            <w:r>
              <w:rPr>
                <w:rFonts w:ascii="Arial" w:cs="Arial" w:eastAsia="Arial" w:hAnsi="Arial"/>
                <w:sz w:val="16"/>
                <w:szCs w:val="16"/>
                <w:color w:val="auto"/>
              </w:rPr>
              <w:t>(10.7)</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 (1.6)</w:t>
            </w:r>
          </w:p>
        </w:tc>
        <w:tc>
          <w:tcPr>
            <w:tcW w:w="1160" w:type="dxa"/>
            <w:vAlign w:val="bottom"/>
            <w:vMerge w:val="restart"/>
          </w:tcPr>
          <w:p>
            <w:pPr>
              <w:jc w:val="right"/>
              <w:ind w:right="39"/>
              <w:spacing w:after="0"/>
              <w:rPr>
                <w:sz w:val="20"/>
                <w:szCs w:val="20"/>
                <w:color w:val="auto"/>
              </w:rPr>
            </w:pPr>
            <w:r>
              <w:rPr>
                <w:rFonts w:ascii="Arial" w:cs="Arial" w:eastAsia="Arial" w:hAnsi="Arial"/>
                <w:sz w:val="16"/>
                <w:szCs w:val="16"/>
                <w:color w:val="auto"/>
              </w:rPr>
              <w:t>$ (5.0)</w:t>
            </w:r>
          </w:p>
        </w:tc>
        <w:tc>
          <w:tcPr>
            <w:tcW w:w="1200" w:type="dxa"/>
            <w:vAlign w:val="bottom"/>
            <w:vMerge w:val="restart"/>
          </w:tcPr>
          <w:p>
            <w:pPr>
              <w:jc w:val="right"/>
              <w:ind w:right="119"/>
              <w:spacing w:after="0"/>
              <w:rPr>
                <w:sz w:val="20"/>
                <w:szCs w:val="20"/>
                <w:color w:val="auto"/>
              </w:rPr>
            </w:pPr>
            <w:r>
              <w:rPr>
                <w:rFonts w:ascii="Arial" w:cs="Arial" w:eastAsia="Arial" w:hAnsi="Arial"/>
                <w:sz w:val="16"/>
                <w:szCs w:val="16"/>
                <w:color w:val="auto"/>
              </w:rPr>
              <w:t>$ 8.3</w:t>
            </w:r>
          </w:p>
        </w:tc>
        <w:tc>
          <w:tcPr>
            <w:tcW w:w="1200" w:type="dxa"/>
            <w:vAlign w:val="bottom"/>
            <w:tcBorders>
              <w:right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 (5.9)</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$ 182.3</w:t>
            </w:r>
          </w:p>
        </w:tc>
        <w:tc>
          <w:tcPr>
            <w:tcW w:w="0" w:type="dxa"/>
            <w:vAlign w:val="bottom"/>
          </w:tcPr>
          <w:p>
            <w:pPr>
              <w:spacing w:after="0"/>
              <w:rPr>
                <w:sz w:val="1"/>
                <w:szCs w:val="1"/>
                <w:color w:val="auto"/>
              </w:rPr>
            </w:pPr>
          </w:p>
        </w:tc>
      </w:tr>
      <w:tr>
        <w:trPr>
          <w:trHeight w:val="195"/>
        </w:trPr>
        <w:tc>
          <w:tcPr>
            <w:tcW w:w="1960" w:type="dxa"/>
            <w:vAlign w:val="bottom"/>
          </w:tcPr>
          <w:p>
            <w:pPr>
              <w:spacing w:after="0"/>
              <w:rPr>
                <w:sz w:val="20"/>
                <w:szCs w:val="20"/>
                <w:color w:val="auto"/>
              </w:rPr>
            </w:pPr>
            <w:r>
              <w:rPr>
                <w:rFonts w:ascii="Arial" w:cs="Arial" w:eastAsia="Arial" w:hAnsi="Arial"/>
                <w:sz w:val="16"/>
                <w:szCs w:val="16"/>
                <w:color w:val="auto"/>
              </w:rPr>
              <w:t>BWXT</w:t>
            </w: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rPr>
                <w:sz w:val="20"/>
                <w:szCs w:val="20"/>
                <w:color w:val="auto"/>
              </w:rPr>
            </w:pPr>
            <w:r>
              <w:rPr>
                <w:rFonts w:ascii="Arial" w:cs="Arial" w:eastAsia="Arial" w:hAnsi="Arial"/>
                <w:sz w:val="16"/>
                <w:szCs w:val="16"/>
                <w:color w:val="auto"/>
              </w:rPr>
              <w:t>Diluted Shares</w:t>
            </w: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196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960" w:type="dxa"/>
            <w:vAlign w:val="bottom"/>
          </w:tcPr>
          <w:p>
            <w:pPr>
              <w:spacing w:after="0"/>
              <w:rPr>
                <w:sz w:val="20"/>
                <w:szCs w:val="20"/>
                <w:color w:val="auto"/>
              </w:rPr>
            </w:pPr>
            <w:r>
              <w:rPr>
                <w:rFonts w:ascii="Arial" w:cs="Arial" w:eastAsia="Arial" w:hAnsi="Arial"/>
                <w:sz w:val="16"/>
                <w:szCs w:val="16"/>
                <w:color w:val="auto"/>
              </w:rPr>
              <w:t>Outstanding</w:t>
            </w:r>
          </w:p>
        </w:tc>
        <w:tc>
          <w:tcPr>
            <w:tcW w:w="1080" w:type="dxa"/>
            <w:vAlign w:val="bottom"/>
          </w:tcPr>
          <w:p>
            <w:pPr>
              <w:jc w:val="right"/>
              <w:spacing w:after="0"/>
              <w:rPr>
                <w:sz w:val="20"/>
                <w:szCs w:val="20"/>
                <w:color w:val="auto"/>
              </w:rPr>
            </w:pPr>
            <w:r>
              <w:rPr>
                <w:rFonts w:ascii="Arial" w:cs="Arial" w:eastAsia="Arial" w:hAnsi="Arial"/>
                <w:sz w:val="16"/>
                <w:szCs w:val="16"/>
                <w:color w:val="auto"/>
              </w:rPr>
              <w:t>103.8</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103.8</w:t>
            </w:r>
          </w:p>
        </w:tc>
        <w:tc>
          <w:tcPr>
            <w:tcW w:w="0" w:type="dxa"/>
            <w:vAlign w:val="bottom"/>
          </w:tcPr>
          <w:p>
            <w:pPr>
              <w:spacing w:after="0"/>
              <w:rPr>
                <w:sz w:val="1"/>
                <w:szCs w:val="1"/>
                <w:color w:val="auto"/>
              </w:rPr>
            </w:pPr>
          </w:p>
        </w:tc>
      </w:tr>
      <w:tr>
        <w:trPr>
          <w:trHeight w:val="238"/>
        </w:trPr>
        <w:tc>
          <w:tcPr>
            <w:tcW w:w="1960" w:type="dxa"/>
            <w:vAlign w:val="bottom"/>
          </w:tcPr>
          <w:p>
            <w:pPr>
              <w:spacing w:after="0"/>
              <w:rPr>
                <w:sz w:val="20"/>
                <w:szCs w:val="20"/>
                <w:color w:val="auto"/>
              </w:rPr>
            </w:pPr>
            <w:r>
              <w:rPr>
                <w:rFonts w:ascii="Arial" w:cs="Arial" w:eastAsia="Arial" w:hAnsi="Arial"/>
                <w:sz w:val="16"/>
                <w:szCs w:val="16"/>
                <w:color w:val="auto"/>
              </w:rPr>
              <w:t>Diluted Earnings per</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960" w:type="dxa"/>
            <w:vAlign w:val="bottom"/>
          </w:tcPr>
          <w:p>
            <w:pPr>
              <w:spacing w:after="0"/>
              <w:rPr>
                <w:sz w:val="20"/>
                <w:szCs w:val="20"/>
                <w:color w:val="auto"/>
              </w:rPr>
            </w:pPr>
            <w:r>
              <w:rPr>
                <w:rFonts w:ascii="Arial" w:cs="Arial" w:eastAsia="Arial" w:hAnsi="Arial"/>
                <w:sz w:val="16"/>
                <w:szCs w:val="16"/>
                <w:color w:val="auto"/>
              </w:rPr>
              <w:t>Common Share</w:t>
            </w:r>
          </w:p>
        </w:tc>
        <w:tc>
          <w:tcPr>
            <w:tcW w:w="1080" w:type="dxa"/>
            <w:vAlign w:val="bottom"/>
          </w:tcPr>
          <w:p>
            <w:pPr>
              <w:jc w:val="right"/>
              <w:spacing w:after="0"/>
              <w:rPr>
                <w:sz w:val="20"/>
                <w:szCs w:val="20"/>
                <w:color w:val="auto"/>
              </w:rPr>
            </w:pPr>
            <w:r>
              <w:rPr>
                <w:rFonts w:ascii="Arial" w:cs="Arial" w:eastAsia="Arial" w:hAnsi="Arial"/>
                <w:sz w:val="16"/>
                <w:szCs w:val="16"/>
                <w:color w:val="auto"/>
              </w:rPr>
              <w:t>$ 1.76</w:t>
            </w:r>
          </w:p>
        </w:tc>
        <w:tc>
          <w:tcPr>
            <w:tcW w:w="120" w:type="dxa"/>
            <w:vAlign w:val="bottom"/>
          </w:tcPr>
          <w:p>
            <w:pPr>
              <w:spacing w:after="0"/>
              <w:rPr>
                <w:sz w:val="16"/>
                <w:szCs w:val="16"/>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$ 0.14</w:t>
            </w:r>
          </w:p>
        </w:tc>
        <w:tc>
          <w:tcPr>
            <w:tcW w:w="1400" w:type="dxa"/>
            <w:vAlign w:val="bottom"/>
            <w:gridSpan w:val="2"/>
          </w:tcPr>
          <w:p>
            <w:pPr>
              <w:ind w:left="40"/>
              <w:spacing w:after="0"/>
              <w:rPr>
                <w:sz w:val="20"/>
                <w:szCs w:val="20"/>
                <w:color w:val="auto"/>
              </w:rPr>
            </w:pPr>
            <w:r>
              <w:rPr>
                <w:rFonts w:ascii="Arial" w:cs="Arial" w:eastAsia="Arial" w:hAnsi="Arial"/>
                <w:sz w:val="16"/>
                <w:szCs w:val="16"/>
                <w:color w:val="auto"/>
              </w:rPr>
              <w:t>$ (0.10)</w:t>
            </w:r>
          </w:p>
        </w:tc>
        <w:tc>
          <w:tcPr>
            <w:tcW w:w="1140" w:type="dxa"/>
            <w:vAlign w:val="bottom"/>
          </w:tcPr>
          <w:p>
            <w:pPr>
              <w:jc w:val="right"/>
              <w:spacing w:after="0"/>
              <w:rPr>
                <w:sz w:val="20"/>
                <w:szCs w:val="20"/>
                <w:color w:val="auto"/>
              </w:rPr>
            </w:pPr>
            <w:r>
              <w:rPr>
                <w:rFonts w:ascii="Arial" w:cs="Arial" w:eastAsia="Arial" w:hAnsi="Arial"/>
                <w:sz w:val="16"/>
                <w:szCs w:val="16"/>
                <w:color w:val="auto"/>
              </w:rPr>
              <w:t>$ (0.02)</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 (0.05)</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$ 0.08</w:t>
            </w:r>
          </w:p>
        </w:tc>
        <w:tc>
          <w:tcPr>
            <w:tcW w:w="120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 (0.06)</w:t>
            </w:r>
          </w:p>
        </w:tc>
        <w:tc>
          <w:tcPr>
            <w:tcW w:w="114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$ 1.76</w:t>
            </w:r>
          </w:p>
        </w:tc>
        <w:tc>
          <w:tcPr>
            <w:tcW w:w="0" w:type="dxa"/>
            <w:vAlign w:val="bottom"/>
          </w:tcPr>
          <w:p>
            <w:pPr>
              <w:spacing w:after="0"/>
              <w:rPr>
                <w:sz w:val="1"/>
                <w:szCs w:val="1"/>
                <w:color w:val="auto"/>
              </w:rPr>
            </w:pPr>
          </w:p>
        </w:tc>
      </w:tr>
      <w:tr>
        <w:trPr>
          <w:trHeight w:val="290"/>
        </w:trPr>
        <w:tc>
          <w:tcPr>
            <w:tcW w:w="1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380" w:hanging="345"/>
        <w:spacing w:after="0"/>
        <w:tabs>
          <w:tab w:leader="none" w:pos="38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May not foot due to rounding.</w:t>
      </w:r>
    </w:p>
    <w:p>
      <w:pPr>
        <w:spacing w:after="0" w:line="55" w:lineRule="exact"/>
        <w:rPr>
          <w:rFonts w:ascii="Arial" w:cs="Arial" w:eastAsia="Arial" w:hAnsi="Arial"/>
          <w:sz w:val="14"/>
          <w:szCs w:val="14"/>
          <w:color w:val="auto"/>
        </w:rPr>
      </w:pPr>
    </w:p>
    <w:p>
      <w:pPr>
        <w:ind w:left="380" w:right="180" w:hanging="345"/>
        <w:spacing w:after="0" w:line="247" w:lineRule="auto"/>
        <w:tabs>
          <w:tab w:leader="none" w:pos="38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BWXT is providing non-GAAP information regarding certain of its historical results to supplement the results provided in accordance with GAAP and it should not be considered superior to, or as a substitute for, the comparable GAAP measures. BWXT believes the non-GAAP measures provide meaningful insight into the Company’s operational performance and provides these measures to investors to help facilitate comparisons of operating results with prior periods and to assist them in understanding BWXT’s ongoing operations.</w:t>
      </w:r>
    </w:p>
    <w:p>
      <w:pPr>
        <w:spacing w:after="0" w:line="39" w:lineRule="exact"/>
        <w:rPr>
          <w:rFonts w:ascii="Arial" w:cs="Arial" w:eastAsia="Arial" w:hAnsi="Arial"/>
          <w:sz w:val="14"/>
          <w:szCs w:val="14"/>
          <w:color w:val="auto"/>
        </w:rPr>
      </w:pPr>
    </w:p>
    <w:p>
      <w:pPr>
        <w:ind w:left="380" w:right="460" w:hanging="345"/>
        <w:spacing w:after="0" w:line="258" w:lineRule="auto"/>
        <w:tabs>
          <w:tab w:leader="none" w:pos="38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Restructuring activities in 2016 include deconsolidation of mPower and executive restructuring. These elements are further detailed in our fourth quarter 2016 earnings release.</w:t>
      </w:r>
    </w:p>
    <w:p>
      <w:pPr>
        <w:sectPr>
          <w:pgSz w:w="11900" w:h="16838" w:orient="portrait"/>
          <w:cols w:equalWidth="0" w:num="1">
            <w:col w:w="11440"/>
          </w:cols>
          <w:pgMar w:left="240" w:top="125" w:right="21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8240"/>
        <w:spacing w:after="0"/>
        <w:rPr>
          <w:sz w:val="20"/>
          <w:szCs w:val="20"/>
          <w:color w:val="auto"/>
        </w:rPr>
      </w:pPr>
      <w:r>
        <w:rPr>
          <w:sz w:val="1"/>
          <w:szCs w:val="1"/>
          <w:color w:val="auto"/>
        </w:rPr>
        <w:drawing>
          <wp:inline distT="0" distB="0" distL="0" distR="0">
            <wp:extent cx="386080" cy="154305"/>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86080" cy="154305"/>
                    </a:xfrm>
                    <a:prstGeom prst="rect">
                      <a:avLst/>
                    </a:prstGeom>
                    <a:noFill/>
                    <a:ln>
                      <a:noFill/>
                    </a:ln>
                  </pic:spPr>
                </pic:pic>
              </a:graphicData>
            </a:graphic>
          </wp:inline>
        </w:drawing>
      </w:r>
      <w:r>
        <w:rPr>
          <w:rFonts w:ascii="Arial" w:cs="Arial" w:eastAsia="Arial" w:hAnsi="Arial"/>
          <w:sz w:val="17"/>
          <w:szCs w:val="17"/>
          <w:color w:val="auto"/>
        </w:rPr>
        <w:t xml:space="preserve"> 2018 PROXY STATEMENT </w:t>
      </w:r>
      <w:r>
        <w:rPr>
          <w:rFonts w:ascii="Arial" w:cs="Arial" w:eastAsia="Arial" w:hAnsi="Arial"/>
          <w:sz w:val="17"/>
          <w:szCs w:val="17"/>
          <w:b w:val="1"/>
          <w:bCs w:val="1"/>
          <w:color w:val="auto"/>
        </w:rPr>
        <w:t>A-1</w:t>
      </w:r>
    </w:p>
    <w:p>
      <w:pPr>
        <w:sectPr>
          <w:pgSz w:w="11900" w:h="16838" w:orient="portrait"/>
          <w:cols w:equalWidth="0" w:num="1">
            <w:col w:w="11440"/>
          </w:cols>
          <w:pgMar w:left="240" w:top="125" w:right="219" w:bottom="1440" w:gutter="0" w:footer="0" w:header="0"/>
          <w:type w:val="continuous"/>
        </w:sectPr>
      </w:pPr>
    </w:p>
    <w:bookmarkStart w:id="75" w:name="page76"/>
    <w:bookmarkEnd w:id="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174625</wp:posOffset>
            </wp:positionH>
            <wp:positionV relativeFrom="page">
              <wp:posOffset>620395</wp:posOffset>
            </wp:positionV>
            <wp:extent cx="1440815" cy="77152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clrChange>
                        <a:clrFrom>
                          <a:srgbClr val="FFFFFF"/>
                        </a:clrFrom>
                        <a:clrTo>
                          <a:srgbClr val="FFFFFF">
                            <a:alpha val="0"/>
                          </a:srgbClr>
                        </a:clrTo>
                      </a:clrChange>
                      <a:extLst>
                        <a:ext uri="{28A0092B-C50C-407E-A947-70E740481C1C}"/>
                      </a:extLst>
                    </a:blip>
                    <a:srcRect/>
                    <a:stretch>
                      <a:fillRect/>
                    </a:stretch>
                  </pic:blipFill>
                  <pic:spPr bwMode="auto">
                    <a:xfrm>
                      <a:off x="0" y="0"/>
                      <a:ext cx="144081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BWX TECHNOLOGIES, INC.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800 MAIN STREET, 4TH FLOOR</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LYNCHBURG, VIRGINIA 24504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 xml:space="preserve">VOTE BY INTERNET - </w:t>
      </w:r>
      <w:r>
        <w:rPr>
          <w:rFonts w:ascii="Arial" w:cs="Arial" w:eastAsia="Arial" w:hAnsi="Arial"/>
          <w:sz w:val="14"/>
          <w:szCs w:val="14"/>
          <w:b w:val="1"/>
          <w:bCs w:val="1"/>
          <w:u w:val="single" w:color="auto"/>
          <w:color w:val="auto"/>
        </w:rPr>
        <w:t>www.proxyvote.com</w:t>
      </w:r>
    </w:p>
    <w:p>
      <w:pPr>
        <w:spacing w:after="0" w:line="4" w:lineRule="exact"/>
        <w:rPr>
          <w:sz w:val="20"/>
          <w:szCs w:val="20"/>
          <w:color w:val="auto"/>
        </w:rPr>
      </w:pPr>
    </w:p>
    <w:p>
      <w:pPr>
        <w:jc w:val="both"/>
        <w:ind w:right="40"/>
        <w:spacing w:after="0" w:line="229"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11:59 p.m. Eastern Time on May 3, 2018 (May 1, 2018 for participation in BWXT Thrift Plan). Have your proxy card in hand when you access the website and follow the instructions to obtain your records and to create an electronic voting instruction form.</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4" w:lineRule="exact"/>
        <w:rPr>
          <w:sz w:val="20"/>
          <w:szCs w:val="20"/>
          <w:color w:val="auto"/>
        </w:rPr>
      </w:pPr>
    </w:p>
    <w:p>
      <w:pPr>
        <w:jc w:val="both"/>
        <w:ind w:right="40"/>
        <w:spacing w:after="0" w:line="227" w:lineRule="auto"/>
        <w:rPr>
          <w:sz w:val="20"/>
          <w:szCs w:val="20"/>
          <w:color w:val="auto"/>
        </w:rPr>
      </w:pPr>
      <w:r>
        <w:rPr>
          <w:rFonts w:ascii="Arial" w:cs="Arial" w:eastAsia="Arial" w:hAnsi="Arial"/>
          <w:sz w:val="14"/>
          <w:szCs w:val="14"/>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4" w:lineRule="exact"/>
        <w:rPr>
          <w:sz w:val="20"/>
          <w:szCs w:val="20"/>
          <w:color w:val="auto"/>
        </w:rPr>
      </w:pPr>
    </w:p>
    <w:p>
      <w:pPr>
        <w:jc w:val="both"/>
        <w:ind w:right="20"/>
        <w:spacing w:after="0" w:line="232" w:lineRule="auto"/>
        <w:rPr>
          <w:sz w:val="20"/>
          <w:szCs w:val="20"/>
          <w:color w:val="auto"/>
        </w:rPr>
      </w:pPr>
      <w:r>
        <w:rPr>
          <w:rFonts w:ascii="Arial" w:cs="Arial" w:eastAsia="Arial" w:hAnsi="Arial"/>
          <w:sz w:val="14"/>
          <w:szCs w:val="14"/>
          <w:color w:val="auto"/>
        </w:rPr>
        <w:t>Use any touch-tone telephone to transmit your voting instructions up until 11:59 p.m. Eastern Time on May 3, 2018 (May 1, 2018 for participants in BWXT Thrift Plan). Have your proxy card in hand when you call and then follow the instructions.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4" w:lineRule="exact"/>
        <w:rPr>
          <w:sz w:val="20"/>
          <w:szCs w:val="20"/>
          <w:color w:val="auto"/>
        </w:rPr>
      </w:pPr>
    </w:p>
    <w:p>
      <w:pPr>
        <w:jc w:val="both"/>
        <w:ind w:right="20"/>
        <w:spacing w:after="0" w:line="271" w:lineRule="auto"/>
        <w:rPr>
          <w:sz w:val="20"/>
          <w:szCs w:val="20"/>
          <w:color w:val="auto"/>
        </w:rPr>
      </w:pPr>
      <w:r>
        <w:rPr>
          <w:rFonts w:ascii="Arial" w:cs="Arial" w:eastAsia="Arial" w:hAnsi="Arial"/>
          <w:sz w:val="13"/>
          <w:szCs w:val="13"/>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4800" w:space="720"/>
            <w:col w:w="5900"/>
          </w:cols>
          <w:pgMar w:left="240" w:top="1278" w:right="239" w:bottom="1440" w:gutter="0" w:footer="0" w:header="0"/>
        </w:sect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20" w:type="dxa"/>
            <w:vAlign w:val="bottom"/>
            <w:gridSpan w:val="4"/>
          </w:tcPr>
          <w:p>
            <w:pPr>
              <w:ind w:left="40"/>
              <w:spacing w:after="0"/>
              <w:rPr>
                <w:sz w:val="20"/>
                <w:szCs w:val="20"/>
                <w:color w:val="auto"/>
              </w:rPr>
            </w:pPr>
            <w:r>
              <w:rPr>
                <w:rFonts w:ascii="Arial" w:cs="Arial" w:eastAsia="Arial" w:hAnsi="Arial"/>
                <w:sz w:val="14"/>
                <w:szCs w:val="14"/>
                <w:color w:val="auto"/>
              </w:rPr>
              <w:t>TO VOTE, MARK BLOCKS BELOW IN BLUE OR BLACK INK AS FOLLOWS:</w:t>
            </w:r>
          </w:p>
        </w:tc>
        <w:tc>
          <w:tcPr>
            <w:tcW w:w="3240" w:type="dxa"/>
            <w:vAlign w:val="bottom"/>
          </w:tcPr>
          <w:p>
            <w:pPr>
              <w:ind w:left="980"/>
              <w:spacing w:after="0"/>
              <w:rPr>
                <w:sz w:val="20"/>
                <w:szCs w:val="20"/>
                <w:color w:val="auto"/>
              </w:rPr>
            </w:pPr>
            <w:r>
              <w:rPr>
                <w:rFonts w:ascii="Arial" w:cs="Arial" w:eastAsia="Arial" w:hAnsi="Arial"/>
                <w:sz w:val="14"/>
                <w:szCs w:val="14"/>
                <w:color w:val="auto"/>
              </w:rPr>
              <w:t>E41566-P00986</w:t>
            </w:r>
          </w:p>
        </w:tc>
        <w:tc>
          <w:tcPr>
            <w:tcW w:w="3060" w:type="dxa"/>
            <w:vAlign w:val="bottom"/>
          </w:tcPr>
          <w:p>
            <w:pPr>
              <w:jc w:val="right"/>
              <w:spacing w:after="0"/>
              <w:rPr>
                <w:sz w:val="20"/>
                <w:szCs w:val="20"/>
                <w:color w:val="auto"/>
              </w:rPr>
            </w:pPr>
            <w:r>
              <w:rPr>
                <w:rFonts w:ascii="Arial" w:cs="Arial" w:eastAsia="Arial" w:hAnsi="Arial"/>
                <w:sz w:val="14"/>
                <w:szCs w:val="14"/>
                <w:color w:val="auto"/>
              </w:rPr>
              <w:t>KEEP THIS PORTION FOR YOUR RECORDS</w:t>
            </w:r>
          </w:p>
        </w:tc>
        <w:tc>
          <w:tcPr>
            <w:tcW w:w="0" w:type="dxa"/>
            <w:vAlign w:val="bottom"/>
          </w:tcPr>
          <w:p>
            <w:pPr>
              <w:spacing w:after="0"/>
              <w:rPr>
                <w:sz w:val="1"/>
                <w:szCs w:val="1"/>
                <w:color w:val="auto"/>
              </w:rPr>
            </w:pPr>
          </w:p>
        </w:tc>
      </w:tr>
      <w:tr>
        <w:trPr>
          <w:trHeight w:val="284"/>
        </w:trPr>
        <w:tc>
          <w:tcPr>
            <w:tcW w:w="3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3060" w:type="dxa"/>
            <w:vAlign w:val="bottom"/>
          </w:tcPr>
          <w:p>
            <w:pPr>
              <w:jc w:val="right"/>
              <w:spacing w:after="0"/>
              <w:rPr>
                <w:sz w:val="20"/>
                <w:szCs w:val="20"/>
                <w:color w:val="auto"/>
              </w:rPr>
            </w:pPr>
            <w:r>
              <w:rPr>
                <w:rFonts w:ascii="Arial" w:cs="Arial" w:eastAsia="Arial" w:hAnsi="Arial"/>
                <w:sz w:val="14"/>
                <w:szCs w:val="14"/>
                <w:color w:val="auto"/>
              </w:rPr>
              <w:t>DETACH AND RETURN THIS PORTION ONLY</w:t>
            </w:r>
          </w:p>
        </w:tc>
        <w:tc>
          <w:tcPr>
            <w:tcW w:w="0" w:type="dxa"/>
            <w:vAlign w:val="bottom"/>
          </w:tcPr>
          <w:p>
            <w:pPr>
              <w:spacing w:after="0"/>
              <w:rPr>
                <w:sz w:val="1"/>
                <w:szCs w:val="1"/>
                <w:color w:val="auto"/>
              </w:rPr>
            </w:pPr>
          </w:p>
        </w:tc>
      </w:tr>
      <w:tr>
        <w:trPr>
          <w:trHeight w:val="176"/>
        </w:trPr>
        <w:tc>
          <w:tcPr>
            <w:tcW w:w="3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80" w:type="dxa"/>
            <w:vAlign w:val="bottom"/>
            <w:gridSpan w:val="3"/>
            <w:vMerge w:val="continue"/>
          </w:tcPr>
          <w:p>
            <w:pPr>
              <w:spacing w:after="0"/>
              <w:rPr>
                <w:sz w:val="15"/>
                <w:szCs w:val="15"/>
                <w:color w:val="auto"/>
              </w:rPr>
            </w:pPr>
          </w:p>
        </w:tc>
        <w:tc>
          <w:tcPr>
            <w:tcW w:w="3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3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3120" w:type="dxa"/>
            <w:vAlign w:val="bottom"/>
          </w:tcPr>
          <w:p>
            <w:pPr>
              <w:ind w:left="40"/>
              <w:spacing w:after="0" w:line="151" w:lineRule="exact"/>
              <w:rPr>
                <w:sz w:val="20"/>
                <w:szCs w:val="20"/>
                <w:color w:val="auto"/>
              </w:rPr>
            </w:pPr>
            <w:r>
              <w:rPr>
                <w:rFonts w:ascii="Arial" w:cs="Arial" w:eastAsia="Arial" w:hAnsi="Arial"/>
                <w:sz w:val="14"/>
                <w:szCs w:val="14"/>
                <w:b w:val="1"/>
                <w:bCs w:val="1"/>
                <w:color w:val="auto"/>
              </w:rPr>
              <w:t>BWX TECHNOLOGIES, INC.</w:t>
            </w:r>
          </w:p>
        </w:tc>
        <w:tc>
          <w:tcPr>
            <w:tcW w:w="36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7"/>
              </w:rPr>
              <w:t>For</w:t>
            </w:r>
          </w:p>
        </w:tc>
        <w:tc>
          <w:tcPr>
            <w:tcW w:w="98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w w:val="96"/>
              </w:rPr>
              <w:t>Withhold</w:t>
            </w:r>
          </w:p>
        </w:tc>
        <w:tc>
          <w:tcPr>
            <w:tcW w:w="66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4"/>
              </w:rPr>
              <w:t>For All</w:t>
            </w:r>
          </w:p>
        </w:tc>
        <w:tc>
          <w:tcPr>
            <w:tcW w:w="6300" w:type="dxa"/>
            <w:vAlign w:val="bottom"/>
            <w:gridSpan w:val="2"/>
          </w:tcPr>
          <w:p>
            <w:pPr>
              <w:ind w:left="80"/>
              <w:spacing w:after="0" w:line="151" w:lineRule="exact"/>
              <w:rPr>
                <w:sz w:val="20"/>
                <w:szCs w:val="20"/>
                <w:color w:val="auto"/>
              </w:rPr>
            </w:pPr>
            <w:r>
              <w:rPr>
                <w:rFonts w:ascii="Arial" w:cs="Arial" w:eastAsia="Arial" w:hAnsi="Arial"/>
                <w:sz w:val="14"/>
                <w:szCs w:val="14"/>
                <w:color w:val="auto"/>
              </w:rPr>
              <w:t>To withhold authority to vote for any individual nominee(s),</w:t>
            </w:r>
          </w:p>
        </w:tc>
        <w:tc>
          <w:tcPr>
            <w:tcW w:w="0" w:type="dxa"/>
            <w:vAlign w:val="bottom"/>
          </w:tcPr>
          <w:p>
            <w:pPr>
              <w:spacing w:after="0"/>
              <w:rPr>
                <w:sz w:val="1"/>
                <w:szCs w:val="1"/>
                <w:color w:val="auto"/>
              </w:rPr>
            </w:pPr>
          </w:p>
        </w:tc>
      </w:tr>
      <w:tr>
        <w:trPr>
          <w:trHeight w:val="145"/>
        </w:trPr>
        <w:tc>
          <w:tcPr>
            <w:tcW w:w="312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3240" w:type="dxa"/>
            <w:vAlign w:val="bottom"/>
          </w:tcPr>
          <w:p>
            <w:pPr>
              <w:ind w:left="80"/>
              <w:spacing w:after="0" w:line="145" w:lineRule="exact"/>
              <w:rPr>
                <w:sz w:val="20"/>
                <w:szCs w:val="20"/>
                <w:color w:val="auto"/>
              </w:rPr>
            </w:pPr>
            <w:r>
              <w:rPr>
                <w:rFonts w:ascii="Arial" w:cs="Arial" w:eastAsia="Arial" w:hAnsi="Arial"/>
                <w:sz w:val="14"/>
                <w:szCs w:val="14"/>
                <w:color w:val="auto"/>
                <w:w w:val="97"/>
              </w:rPr>
              <w:t>mark “For All Except” and write the number(s) of the</w:t>
            </w:r>
          </w:p>
        </w:tc>
        <w:tc>
          <w:tcPr>
            <w:tcW w:w="3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120" w:type="dxa"/>
            <w:vAlign w:val="bottom"/>
          </w:tcPr>
          <w:p>
            <w:pPr>
              <w:spacing w:after="0"/>
              <w:rPr>
                <w:sz w:val="16"/>
                <w:szCs w:val="16"/>
                <w:color w:val="auto"/>
              </w:rPr>
            </w:pPr>
          </w:p>
        </w:tc>
        <w:tc>
          <w:tcPr>
            <w:tcW w:w="360" w:type="dxa"/>
            <w:vAlign w:val="bottom"/>
          </w:tcPr>
          <w:p>
            <w:pPr>
              <w:jc w:val="center"/>
              <w:ind w:left="28"/>
              <w:spacing w:after="0"/>
              <w:rPr>
                <w:sz w:val="20"/>
                <w:szCs w:val="20"/>
                <w:color w:val="auto"/>
              </w:rPr>
            </w:pPr>
            <w:r>
              <w:rPr>
                <w:rFonts w:ascii="Arial" w:cs="Arial" w:eastAsia="Arial" w:hAnsi="Arial"/>
                <w:sz w:val="14"/>
                <w:szCs w:val="14"/>
                <w:b w:val="1"/>
                <w:bCs w:val="1"/>
                <w:color w:val="auto"/>
              </w:rPr>
              <w:t>All</w:t>
            </w:r>
          </w:p>
        </w:tc>
        <w:tc>
          <w:tcPr>
            <w:tcW w:w="980" w:type="dxa"/>
            <w:vAlign w:val="bottom"/>
          </w:tcPr>
          <w:p>
            <w:pPr>
              <w:jc w:val="center"/>
              <w:ind w:left="48"/>
              <w:spacing w:after="0"/>
              <w:rPr>
                <w:sz w:val="20"/>
                <w:szCs w:val="20"/>
                <w:color w:val="auto"/>
              </w:rPr>
            </w:pPr>
            <w:r>
              <w:rPr>
                <w:rFonts w:ascii="Arial" w:cs="Arial" w:eastAsia="Arial" w:hAnsi="Arial"/>
                <w:sz w:val="14"/>
                <w:szCs w:val="14"/>
                <w:b w:val="1"/>
                <w:bCs w:val="1"/>
                <w:color w:val="auto"/>
              </w:rPr>
              <w:t>All</w:t>
            </w:r>
          </w:p>
        </w:tc>
        <w:tc>
          <w:tcPr>
            <w:tcW w:w="660" w:type="dxa"/>
            <w:vAlign w:val="bottom"/>
          </w:tcPr>
          <w:p>
            <w:pPr>
              <w:jc w:val="center"/>
              <w:ind w:left="8"/>
              <w:spacing w:after="0"/>
              <w:rPr>
                <w:sz w:val="20"/>
                <w:szCs w:val="20"/>
                <w:color w:val="auto"/>
              </w:rPr>
            </w:pPr>
            <w:r>
              <w:rPr>
                <w:rFonts w:ascii="Arial" w:cs="Arial" w:eastAsia="Arial" w:hAnsi="Arial"/>
                <w:sz w:val="14"/>
                <w:szCs w:val="14"/>
                <w:b w:val="1"/>
                <w:bCs w:val="1"/>
                <w:color w:val="auto"/>
                <w:w w:val="91"/>
              </w:rPr>
              <w:t>Except</w:t>
            </w:r>
          </w:p>
        </w:tc>
        <w:tc>
          <w:tcPr>
            <w:tcW w:w="3240" w:type="dxa"/>
            <w:vAlign w:val="bottom"/>
          </w:tcPr>
          <w:p>
            <w:pPr>
              <w:ind w:left="80"/>
              <w:spacing w:after="0"/>
              <w:rPr>
                <w:sz w:val="20"/>
                <w:szCs w:val="20"/>
                <w:color w:val="auto"/>
              </w:rPr>
            </w:pPr>
            <w:r>
              <w:rPr>
                <w:rFonts w:ascii="Arial" w:cs="Arial" w:eastAsia="Arial" w:hAnsi="Arial"/>
                <w:sz w:val="14"/>
                <w:szCs w:val="14"/>
                <w:color w:val="auto"/>
              </w:rPr>
              <w:t>nominee(s) on the line below.</w:t>
            </w:r>
          </w:p>
        </w:tc>
        <w:tc>
          <w:tcPr>
            <w:tcW w:w="3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180"/>
              <w:spacing w:after="0"/>
              <w:rPr>
                <w:sz w:val="20"/>
                <w:szCs w:val="20"/>
                <w:color w:val="auto"/>
              </w:rPr>
            </w:pPr>
            <w:r>
              <w:rPr>
                <w:rFonts w:ascii="Arial" w:cs="Arial" w:eastAsia="Arial" w:hAnsi="Arial"/>
                <w:sz w:val="14"/>
                <w:szCs w:val="14"/>
                <w:b w:val="1"/>
                <w:bCs w:val="1"/>
                <w:color w:val="auto"/>
              </w:rPr>
              <w:t>Vote on Directors</w:t>
            </w: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120" w:type="dxa"/>
            <w:vAlign w:val="bottom"/>
          </w:tcPr>
          <w:p>
            <w:pPr>
              <w:ind w:left="200"/>
              <w:spacing w:after="0"/>
              <w:rPr>
                <w:sz w:val="20"/>
                <w:szCs w:val="20"/>
                <w:color w:val="auto"/>
              </w:rPr>
            </w:pPr>
            <w:r>
              <w:rPr>
                <w:rFonts w:ascii="Arial" w:cs="Arial" w:eastAsia="Arial" w:hAnsi="Arial"/>
                <w:sz w:val="14"/>
                <w:szCs w:val="14"/>
                <w:b w:val="1"/>
                <w:bCs w:val="1"/>
                <w:color w:val="auto"/>
                <w:w w:val="95"/>
              </w:rPr>
              <w:t>The Board of Directors recommends you vote</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3120" w:type="dxa"/>
            <w:vAlign w:val="bottom"/>
          </w:tcPr>
          <w:p>
            <w:pPr>
              <w:ind w:left="220"/>
              <w:spacing w:after="0"/>
              <w:rPr>
                <w:sz w:val="20"/>
                <w:szCs w:val="20"/>
                <w:color w:val="auto"/>
              </w:rPr>
            </w:pPr>
            <w:r>
              <w:rPr>
                <w:rFonts w:ascii="Arial" w:cs="Arial" w:eastAsia="Arial" w:hAnsi="Arial"/>
                <w:sz w:val="14"/>
                <w:szCs w:val="14"/>
                <w:b w:val="1"/>
                <w:bCs w:val="1"/>
                <w:color w:val="auto"/>
              </w:rPr>
              <w:t>FOR the nominees listed:</w:t>
            </w:r>
          </w:p>
        </w:tc>
        <w:tc>
          <w:tcPr>
            <w:tcW w:w="360" w:type="dxa"/>
            <w:vAlign w:val="bottom"/>
          </w:tcPr>
          <w:p>
            <w:pPr>
              <w:jc w:val="center"/>
              <w:ind w:left="8"/>
              <w:spacing w:after="0"/>
              <w:rPr>
                <w:sz w:val="20"/>
                <w:szCs w:val="20"/>
                <w:color w:val="auto"/>
              </w:rPr>
            </w:pPr>
            <w:r>
              <w:rPr>
                <w:rFonts w:ascii="Arial" w:cs="Arial" w:eastAsia="Arial" w:hAnsi="Arial"/>
                <w:sz w:val="14"/>
                <w:szCs w:val="14"/>
                <w:color w:val="auto"/>
              </w:rPr>
              <w:t>q</w:t>
            </w:r>
          </w:p>
        </w:tc>
        <w:tc>
          <w:tcPr>
            <w:tcW w:w="980" w:type="dxa"/>
            <w:vAlign w:val="bottom"/>
          </w:tcPr>
          <w:p>
            <w:pPr>
              <w:jc w:val="center"/>
              <w:ind w:left="48"/>
              <w:spacing w:after="0"/>
              <w:rPr>
                <w:sz w:val="20"/>
                <w:szCs w:val="20"/>
                <w:color w:val="auto"/>
              </w:rPr>
            </w:pPr>
            <w:r>
              <w:rPr>
                <w:rFonts w:ascii="Arial" w:cs="Arial" w:eastAsia="Arial" w:hAnsi="Arial"/>
                <w:sz w:val="14"/>
                <w:szCs w:val="14"/>
                <w:color w:val="auto"/>
                <w:w w:val="76"/>
              </w:rPr>
              <w:t>q</w:t>
            </w:r>
          </w:p>
        </w:tc>
        <w:tc>
          <w:tcPr>
            <w:tcW w:w="660" w:type="dxa"/>
            <w:vAlign w:val="bottom"/>
          </w:tcPr>
          <w:p>
            <w:pPr>
              <w:jc w:val="center"/>
              <w:ind w:left="8"/>
              <w:spacing w:after="0"/>
              <w:rPr>
                <w:sz w:val="20"/>
                <w:szCs w:val="20"/>
                <w:color w:val="auto"/>
              </w:rPr>
            </w:pPr>
            <w:r>
              <w:rPr>
                <w:rFonts w:ascii="Arial" w:cs="Arial" w:eastAsia="Arial" w:hAnsi="Arial"/>
                <w:sz w:val="14"/>
                <w:szCs w:val="14"/>
                <w:color w:val="auto"/>
                <w:w w:val="76"/>
              </w:rPr>
              <w:t>q</w:t>
            </w:r>
          </w:p>
        </w:tc>
        <w:tc>
          <w:tcPr>
            <w:tcW w:w="32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-1230630</wp:posOffset>
            </wp:positionV>
            <wp:extent cx="7272020" cy="342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72020" cy="34290"/>
                    </a:xfrm>
                    <a:prstGeom prst="rect">
                      <a:avLst/>
                    </a:prstGeom>
                    <a:noFill/>
                  </pic:spPr>
                </pic:pic>
              </a:graphicData>
            </a:graphic>
          </wp:anchor>
        </w:drawing>
      </w:r>
    </w:p>
    <w:p>
      <w:pPr>
        <w:spacing w:after="0" w:line="122" w:lineRule="exact"/>
        <w:rPr>
          <w:sz w:val="20"/>
          <w:szCs w:val="20"/>
          <w:color w:val="auto"/>
        </w:rPr>
      </w:pPr>
    </w:p>
    <w:p>
      <w:pPr>
        <w:ind w:left="1080" w:hanging="910"/>
        <w:spacing w:after="0"/>
        <w:tabs>
          <w:tab w:leader="none" w:pos="108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105" w:lineRule="exact"/>
        <w:rPr>
          <w:rFonts w:ascii="Arial" w:cs="Arial" w:eastAsia="Arial" w:hAnsi="Arial"/>
          <w:sz w:val="14"/>
          <w:szCs w:val="14"/>
          <w:color w:val="auto"/>
        </w:rPr>
      </w:pPr>
    </w:p>
    <w:p>
      <w:pPr>
        <w:ind w:left="1080"/>
        <w:spacing w:after="0"/>
        <w:rPr>
          <w:rFonts w:ascii="Arial" w:cs="Arial" w:eastAsia="Arial" w:hAnsi="Arial"/>
          <w:sz w:val="14"/>
          <w:szCs w:val="14"/>
          <w:color w:val="auto"/>
        </w:rPr>
      </w:pPr>
      <w:r>
        <w:rPr>
          <w:rFonts w:ascii="Arial" w:cs="Arial" w:eastAsia="Arial" w:hAnsi="Arial"/>
          <w:sz w:val="14"/>
          <w:szCs w:val="14"/>
          <w:b w:val="1"/>
          <w:bCs w:val="1"/>
          <w:color w:val="auto"/>
        </w:rPr>
        <w:t>Nominees:</w:t>
      </w:r>
    </w:p>
    <w:p>
      <w:pPr>
        <w:spacing w:after="0" w:line="113" w:lineRule="exact"/>
        <w:rPr>
          <w:rFonts w:ascii="Arial" w:cs="Arial" w:eastAsia="Arial" w:hAnsi="Arial"/>
          <w:sz w:val="14"/>
          <w:szCs w:val="14"/>
          <w:color w:val="auto"/>
        </w:rPr>
      </w:pPr>
    </w:p>
    <w:p>
      <w:pPr>
        <w:ind w:left="1420" w:hanging="345"/>
        <w:spacing w:after="0"/>
        <w:tabs>
          <w:tab w:leader="none" w:pos="1420" w:val="left"/>
        </w:tabs>
        <w:numPr>
          <w:ilvl w:val="1"/>
          <w:numId w:val="115"/>
        </w:numPr>
        <w:rPr>
          <w:rFonts w:ascii="Arial" w:cs="Arial" w:eastAsia="Arial" w:hAnsi="Arial"/>
          <w:sz w:val="14"/>
          <w:szCs w:val="14"/>
          <w:color w:val="auto"/>
        </w:rPr>
      </w:pPr>
      <w:r>
        <w:rPr>
          <w:rFonts w:ascii="Arial" w:cs="Arial" w:eastAsia="Arial" w:hAnsi="Arial"/>
          <w:sz w:val="14"/>
          <w:szCs w:val="14"/>
          <w:color w:val="auto"/>
        </w:rPr>
        <w:t>Jan A. Bertsch (Class II)</w:t>
      </w:r>
    </w:p>
    <w:p>
      <w:pPr>
        <w:spacing w:after="0" w:line="109" w:lineRule="exact"/>
        <w:rPr>
          <w:sz w:val="20"/>
          <w:szCs w:val="20"/>
          <w:color w:val="auto"/>
        </w:rPr>
      </w:pPr>
    </w:p>
    <w:p>
      <w:pPr>
        <w:ind w:left="1420" w:hanging="345"/>
        <w:spacing w:after="0"/>
        <w:tabs>
          <w:tab w:leader="none" w:pos="142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James M. Jaska (Class II)</w:t>
      </w:r>
    </w:p>
    <w:p>
      <w:pPr>
        <w:spacing w:after="0" w:line="109" w:lineRule="exact"/>
        <w:rPr>
          <w:sz w:val="20"/>
          <w:szCs w:val="20"/>
          <w:color w:val="auto"/>
        </w:rPr>
      </w:pPr>
    </w:p>
    <w:p>
      <w:pPr>
        <w:ind w:left="1420" w:hanging="345"/>
        <w:spacing w:after="0"/>
        <w:tabs>
          <w:tab w:leader="none" w:pos="142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Kenneth J. Krieg (Class II)</w:t>
      </w:r>
    </w:p>
    <w:p>
      <w:pPr>
        <w:spacing w:after="0" w:line="159" w:lineRule="exact"/>
        <w:rPr>
          <w:sz w:val="20"/>
          <w:szCs w:val="20"/>
          <w:color w:val="auto"/>
        </w:rPr>
      </w:pPr>
    </w:p>
    <w:tbl>
      <w:tblPr>
        <w:tblLayout w:type="fixed"/>
        <w:tblInd w:w="180" w:type="dxa"/>
        <w:tblCellMar>
          <w:top w:w="0" w:type="dxa"/>
          <w:left w:w="0" w:type="dxa"/>
          <w:bottom w:w="0" w:type="dxa"/>
          <w:right w:w="0" w:type="dxa"/>
        </w:tblCellMar>
      </w:tblPr>
      <w:tr>
        <w:trPr>
          <w:trHeight w:val="186"/>
        </w:trPr>
        <w:tc>
          <w:tcPr>
            <w:tcW w:w="8320" w:type="dxa"/>
            <w:vAlign w:val="bottom"/>
            <w:gridSpan w:val="2"/>
          </w:tcPr>
          <w:p>
            <w:pPr>
              <w:spacing w:after="0"/>
              <w:rPr>
                <w:sz w:val="20"/>
                <w:szCs w:val="20"/>
                <w:color w:val="auto"/>
              </w:rPr>
            </w:pPr>
            <w:r>
              <w:rPr>
                <w:rFonts w:ascii="Arial" w:cs="Arial" w:eastAsia="Arial" w:hAnsi="Arial"/>
                <w:sz w:val="14"/>
                <w:szCs w:val="14"/>
                <w:b w:val="1"/>
                <w:bCs w:val="1"/>
                <w:color w:val="auto"/>
              </w:rPr>
              <w:t>Vote on Proposals</w:t>
            </w:r>
          </w:p>
        </w:tc>
        <w:tc>
          <w:tcPr>
            <w:tcW w:w="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3"/>
        </w:trPr>
        <w:tc>
          <w:tcPr>
            <w:tcW w:w="8320" w:type="dxa"/>
            <w:vAlign w:val="bottom"/>
            <w:gridSpan w:val="2"/>
          </w:tcPr>
          <w:p>
            <w:pPr>
              <w:spacing w:after="0"/>
              <w:rPr>
                <w:sz w:val="20"/>
                <w:szCs w:val="20"/>
                <w:color w:val="auto"/>
              </w:rPr>
            </w:pPr>
            <w:r>
              <w:rPr>
                <w:rFonts w:ascii="Arial" w:cs="Arial" w:eastAsia="Arial" w:hAnsi="Arial"/>
                <w:sz w:val="14"/>
                <w:szCs w:val="14"/>
                <w:b w:val="1"/>
                <w:bCs w:val="1"/>
                <w:color w:val="auto"/>
              </w:rPr>
              <w:t>The Board of Directors recommends you vote FOR proposal 2.</w:t>
            </w:r>
          </w:p>
        </w:tc>
        <w:tc>
          <w:tcPr>
            <w:tcW w:w="880" w:type="dxa"/>
            <w:vAlign w:val="bottom"/>
          </w:tcPr>
          <w:p>
            <w:pPr>
              <w:ind w:left="440"/>
              <w:spacing w:after="0"/>
              <w:rPr>
                <w:sz w:val="20"/>
                <w:szCs w:val="20"/>
                <w:color w:val="auto"/>
              </w:rPr>
            </w:pPr>
            <w:r>
              <w:rPr>
                <w:rFonts w:ascii="Arial" w:cs="Arial" w:eastAsia="Arial" w:hAnsi="Arial"/>
                <w:sz w:val="14"/>
                <w:szCs w:val="14"/>
                <w:b w:val="1"/>
                <w:bCs w:val="1"/>
                <w:color w:val="auto"/>
              </w:rPr>
              <w:t>For</w:t>
            </w:r>
          </w:p>
        </w:tc>
        <w:tc>
          <w:tcPr>
            <w:tcW w:w="960" w:type="dxa"/>
            <w:vAlign w:val="bottom"/>
          </w:tcPr>
          <w:p>
            <w:pPr>
              <w:ind w:left="220"/>
              <w:spacing w:after="0"/>
              <w:rPr>
                <w:sz w:val="20"/>
                <w:szCs w:val="20"/>
                <w:color w:val="auto"/>
              </w:rPr>
            </w:pPr>
            <w:r>
              <w:rPr>
                <w:rFonts w:ascii="Arial" w:cs="Arial" w:eastAsia="Arial" w:hAnsi="Arial"/>
                <w:sz w:val="14"/>
                <w:szCs w:val="14"/>
                <w:b w:val="1"/>
                <w:bCs w:val="1"/>
                <w:color w:val="auto"/>
              </w:rPr>
              <w:t>Against</w:t>
            </w:r>
          </w:p>
        </w:tc>
        <w:tc>
          <w:tcPr>
            <w:tcW w:w="760" w:type="dxa"/>
            <w:vAlign w:val="bottom"/>
          </w:tcPr>
          <w:p>
            <w:pPr>
              <w:jc w:val="center"/>
              <w:ind w:left="208"/>
              <w:spacing w:after="0"/>
              <w:rPr>
                <w:sz w:val="20"/>
                <w:szCs w:val="20"/>
                <w:color w:val="auto"/>
              </w:rPr>
            </w:pPr>
            <w:r>
              <w:rPr>
                <w:rFonts w:ascii="Arial" w:cs="Arial" w:eastAsia="Arial" w:hAnsi="Arial"/>
                <w:sz w:val="14"/>
                <w:szCs w:val="14"/>
                <w:b w:val="1"/>
                <w:bCs w:val="1"/>
                <w:color w:val="auto"/>
                <w:w w:val="93"/>
              </w:rPr>
              <w:t>Abstain</w:t>
            </w:r>
          </w:p>
        </w:tc>
      </w:tr>
      <w:tr>
        <w:trPr>
          <w:trHeight w:val="203"/>
        </w:trPr>
        <w:tc>
          <w:tcPr>
            <w:tcW w:w="560" w:type="dxa"/>
            <w:vAlign w:val="bottom"/>
          </w:tcPr>
          <w:p>
            <w:pPr>
              <w:spacing w:after="0"/>
              <w:rPr>
                <w:sz w:val="20"/>
                <w:szCs w:val="20"/>
                <w:color w:val="auto"/>
              </w:rPr>
            </w:pPr>
            <w:r>
              <w:rPr>
                <w:rFonts w:ascii="Arial" w:cs="Arial" w:eastAsia="Arial" w:hAnsi="Arial"/>
                <w:sz w:val="14"/>
                <w:szCs w:val="14"/>
                <w:color w:val="auto"/>
              </w:rPr>
              <w:t>2.</w:t>
            </w:r>
          </w:p>
        </w:tc>
        <w:tc>
          <w:tcPr>
            <w:tcW w:w="7760" w:type="dxa"/>
            <w:vAlign w:val="bottom"/>
          </w:tcPr>
          <w:p>
            <w:pPr>
              <w:ind w:left="480"/>
              <w:spacing w:after="0"/>
              <w:rPr>
                <w:sz w:val="20"/>
                <w:szCs w:val="20"/>
                <w:color w:val="auto"/>
              </w:rPr>
            </w:pPr>
            <w:r>
              <w:rPr>
                <w:rFonts w:ascii="Arial" w:cs="Arial" w:eastAsia="Arial" w:hAnsi="Arial"/>
                <w:sz w:val="14"/>
                <w:szCs w:val="14"/>
                <w:color w:val="auto"/>
              </w:rPr>
              <w:t>Advisory vote on compensation of our Named Executive Officers.</w:t>
            </w:r>
          </w:p>
        </w:tc>
        <w:tc>
          <w:tcPr>
            <w:tcW w:w="880" w:type="dxa"/>
            <w:vAlign w:val="bottom"/>
          </w:tcPr>
          <w:p>
            <w:pPr>
              <w:ind w:left="500"/>
              <w:spacing w:after="0"/>
              <w:rPr>
                <w:sz w:val="20"/>
                <w:szCs w:val="20"/>
                <w:color w:val="auto"/>
              </w:rPr>
            </w:pPr>
            <w:r>
              <w:rPr>
                <w:rFonts w:ascii="Arial" w:cs="Arial" w:eastAsia="Arial" w:hAnsi="Arial"/>
                <w:sz w:val="14"/>
                <w:szCs w:val="14"/>
                <w:color w:val="auto"/>
              </w:rPr>
              <w:t>q</w:t>
            </w:r>
          </w:p>
        </w:tc>
        <w:tc>
          <w:tcPr>
            <w:tcW w:w="960" w:type="dxa"/>
            <w:vAlign w:val="bottom"/>
          </w:tcPr>
          <w:p>
            <w:pPr>
              <w:ind w:left="360"/>
              <w:spacing w:after="0"/>
              <w:rPr>
                <w:sz w:val="20"/>
                <w:szCs w:val="20"/>
                <w:color w:val="auto"/>
              </w:rPr>
            </w:pPr>
            <w:r>
              <w:rPr>
                <w:rFonts w:ascii="Arial" w:cs="Arial" w:eastAsia="Arial" w:hAnsi="Arial"/>
                <w:sz w:val="14"/>
                <w:szCs w:val="14"/>
                <w:color w:val="auto"/>
              </w:rPr>
              <w:t>q</w:t>
            </w:r>
          </w:p>
        </w:tc>
        <w:tc>
          <w:tcPr>
            <w:tcW w:w="760" w:type="dxa"/>
            <w:vAlign w:val="bottom"/>
          </w:tcPr>
          <w:p>
            <w:pPr>
              <w:jc w:val="center"/>
              <w:ind w:left="188"/>
              <w:spacing w:after="0"/>
              <w:rPr>
                <w:sz w:val="20"/>
                <w:szCs w:val="20"/>
                <w:color w:val="auto"/>
              </w:rPr>
            </w:pPr>
            <w:r>
              <w:rPr>
                <w:rFonts w:ascii="Arial" w:cs="Arial" w:eastAsia="Arial" w:hAnsi="Arial"/>
                <w:sz w:val="14"/>
                <w:szCs w:val="14"/>
                <w:color w:val="auto"/>
                <w:w w:val="76"/>
              </w:rPr>
              <w:t>q</w:t>
            </w:r>
          </w:p>
        </w:tc>
      </w:tr>
      <w:tr>
        <w:trPr>
          <w:trHeight w:val="203"/>
        </w:trPr>
        <w:tc>
          <w:tcPr>
            <w:tcW w:w="8320" w:type="dxa"/>
            <w:vAlign w:val="bottom"/>
            <w:gridSpan w:val="2"/>
          </w:tcPr>
          <w:p>
            <w:pPr>
              <w:spacing w:after="0"/>
              <w:rPr>
                <w:sz w:val="20"/>
                <w:szCs w:val="20"/>
                <w:color w:val="auto"/>
              </w:rPr>
            </w:pPr>
            <w:r>
              <w:rPr>
                <w:rFonts w:ascii="Arial" w:cs="Arial" w:eastAsia="Arial" w:hAnsi="Arial"/>
                <w:sz w:val="14"/>
                <w:szCs w:val="14"/>
                <w:b w:val="1"/>
                <w:bCs w:val="1"/>
                <w:color w:val="auto"/>
              </w:rPr>
              <w:t>The Board of Directors recommends you vote FOR proposal 3.</w:t>
            </w:r>
          </w:p>
        </w:tc>
        <w:tc>
          <w:tcPr>
            <w:tcW w:w="880" w:type="dxa"/>
            <w:vAlign w:val="bottom"/>
          </w:tcPr>
          <w:p>
            <w:pPr>
              <w:ind w:left="360"/>
              <w:spacing w:after="0"/>
              <w:rPr>
                <w:sz w:val="20"/>
                <w:szCs w:val="20"/>
                <w:color w:val="auto"/>
              </w:rPr>
            </w:pPr>
            <w:r>
              <w:rPr>
                <w:rFonts w:ascii="Arial" w:cs="Arial" w:eastAsia="Arial" w:hAnsi="Arial"/>
                <w:sz w:val="14"/>
                <w:szCs w:val="14"/>
                <w:b w:val="1"/>
                <w:bCs w:val="1"/>
                <w:color w:val="auto"/>
              </w:rPr>
              <w:t>For</w:t>
            </w:r>
          </w:p>
        </w:tc>
        <w:tc>
          <w:tcPr>
            <w:tcW w:w="960" w:type="dxa"/>
            <w:vAlign w:val="bottom"/>
          </w:tcPr>
          <w:p>
            <w:pPr>
              <w:ind w:left="220"/>
              <w:spacing w:after="0"/>
              <w:rPr>
                <w:sz w:val="20"/>
                <w:szCs w:val="20"/>
                <w:color w:val="auto"/>
              </w:rPr>
            </w:pPr>
            <w:r>
              <w:rPr>
                <w:rFonts w:ascii="Arial" w:cs="Arial" w:eastAsia="Arial" w:hAnsi="Arial"/>
                <w:sz w:val="14"/>
                <w:szCs w:val="14"/>
                <w:b w:val="1"/>
                <w:bCs w:val="1"/>
                <w:color w:val="auto"/>
              </w:rPr>
              <w:t>Against</w:t>
            </w:r>
          </w:p>
        </w:tc>
        <w:tc>
          <w:tcPr>
            <w:tcW w:w="760" w:type="dxa"/>
            <w:vAlign w:val="bottom"/>
          </w:tcPr>
          <w:p>
            <w:pPr>
              <w:jc w:val="center"/>
              <w:ind w:left="208"/>
              <w:spacing w:after="0"/>
              <w:rPr>
                <w:sz w:val="20"/>
                <w:szCs w:val="20"/>
                <w:color w:val="auto"/>
              </w:rPr>
            </w:pPr>
            <w:r>
              <w:rPr>
                <w:rFonts w:ascii="Arial" w:cs="Arial" w:eastAsia="Arial" w:hAnsi="Arial"/>
                <w:sz w:val="14"/>
                <w:szCs w:val="14"/>
                <w:b w:val="1"/>
                <w:bCs w:val="1"/>
                <w:color w:val="auto"/>
                <w:w w:val="93"/>
              </w:rPr>
              <w:t>Abstain</w:t>
            </w:r>
          </w:p>
        </w:tc>
      </w:tr>
      <w:tr>
        <w:trPr>
          <w:trHeight w:val="203"/>
        </w:trPr>
        <w:tc>
          <w:tcPr>
            <w:tcW w:w="560" w:type="dxa"/>
            <w:vAlign w:val="bottom"/>
          </w:tcPr>
          <w:p>
            <w:pPr>
              <w:spacing w:after="0"/>
              <w:rPr>
                <w:sz w:val="20"/>
                <w:szCs w:val="20"/>
                <w:color w:val="auto"/>
              </w:rPr>
            </w:pPr>
            <w:r>
              <w:rPr>
                <w:rFonts w:ascii="Arial" w:cs="Arial" w:eastAsia="Arial" w:hAnsi="Arial"/>
                <w:sz w:val="14"/>
                <w:szCs w:val="14"/>
                <w:color w:val="auto"/>
              </w:rPr>
              <w:t>3.</w:t>
            </w:r>
          </w:p>
        </w:tc>
        <w:tc>
          <w:tcPr>
            <w:tcW w:w="7760" w:type="dxa"/>
            <w:vAlign w:val="bottom"/>
          </w:tcPr>
          <w:p>
            <w:pPr>
              <w:ind w:left="480"/>
              <w:spacing w:after="0"/>
              <w:rPr>
                <w:sz w:val="20"/>
                <w:szCs w:val="20"/>
                <w:color w:val="auto"/>
              </w:rPr>
            </w:pPr>
            <w:r>
              <w:rPr>
                <w:rFonts w:ascii="Arial" w:cs="Arial" w:eastAsia="Arial" w:hAnsi="Arial"/>
                <w:sz w:val="14"/>
                <w:szCs w:val="14"/>
                <w:color w:val="auto"/>
                <w:w w:val="98"/>
              </w:rPr>
              <w:t>Ratification of Appointment of Independent Registered Public Accounting Firm for the year ending December 31, 2018.</w:t>
            </w:r>
          </w:p>
        </w:tc>
        <w:tc>
          <w:tcPr>
            <w:tcW w:w="880" w:type="dxa"/>
            <w:vAlign w:val="bottom"/>
          </w:tcPr>
          <w:p>
            <w:pPr>
              <w:ind w:left="440"/>
              <w:spacing w:after="0"/>
              <w:rPr>
                <w:sz w:val="20"/>
                <w:szCs w:val="20"/>
                <w:color w:val="auto"/>
              </w:rPr>
            </w:pPr>
            <w:r>
              <w:rPr>
                <w:rFonts w:ascii="Arial" w:cs="Arial" w:eastAsia="Arial" w:hAnsi="Arial"/>
                <w:sz w:val="14"/>
                <w:szCs w:val="14"/>
                <w:color w:val="auto"/>
              </w:rPr>
              <w:t>q</w:t>
            </w:r>
          </w:p>
        </w:tc>
        <w:tc>
          <w:tcPr>
            <w:tcW w:w="960" w:type="dxa"/>
            <w:vAlign w:val="bottom"/>
          </w:tcPr>
          <w:p>
            <w:pPr>
              <w:ind w:left="360"/>
              <w:spacing w:after="0"/>
              <w:rPr>
                <w:sz w:val="20"/>
                <w:szCs w:val="20"/>
                <w:color w:val="auto"/>
              </w:rPr>
            </w:pPr>
            <w:r>
              <w:rPr>
                <w:rFonts w:ascii="Arial" w:cs="Arial" w:eastAsia="Arial" w:hAnsi="Arial"/>
                <w:sz w:val="14"/>
                <w:szCs w:val="14"/>
                <w:color w:val="auto"/>
              </w:rPr>
              <w:t>q</w:t>
            </w:r>
          </w:p>
        </w:tc>
        <w:tc>
          <w:tcPr>
            <w:tcW w:w="760" w:type="dxa"/>
            <w:vAlign w:val="bottom"/>
          </w:tcPr>
          <w:p>
            <w:pPr>
              <w:jc w:val="center"/>
              <w:ind w:left="188"/>
              <w:spacing w:after="0"/>
              <w:rPr>
                <w:sz w:val="20"/>
                <w:szCs w:val="20"/>
                <w:color w:val="auto"/>
              </w:rPr>
            </w:pPr>
            <w:r>
              <w:rPr>
                <w:rFonts w:ascii="Arial" w:cs="Arial" w:eastAsia="Arial" w:hAnsi="Arial"/>
                <w:sz w:val="14"/>
                <w:szCs w:val="14"/>
                <w:color w:val="auto"/>
                <w:w w:val="76"/>
              </w:rPr>
              <w:t>q</w:t>
            </w:r>
          </w:p>
        </w:tc>
      </w:tr>
    </w:tbl>
    <w:p>
      <w:pPr>
        <w:spacing w:after="0" w:line="16" w:lineRule="exact"/>
        <w:rPr>
          <w:sz w:val="20"/>
          <w:szCs w:val="20"/>
          <w:color w:val="auto"/>
        </w:rPr>
      </w:pPr>
    </w:p>
    <w:p>
      <w:pPr>
        <w:jc w:val="both"/>
        <w:ind w:left="40" w:right="320"/>
        <w:spacing w:after="0" w:line="297" w:lineRule="auto"/>
        <w:rPr>
          <w:sz w:val="20"/>
          <w:szCs w:val="20"/>
          <w:color w:val="auto"/>
        </w:rPr>
      </w:pPr>
      <w:r>
        <w:rPr>
          <w:rFonts w:ascii="Arial" w:cs="Arial" w:eastAsia="Arial" w:hAnsi="Arial"/>
          <w:sz w:val="13"/>
          <w:szCs w:val="13"/>
          <w:color w:val="auto"/>
        </w:rPr>
        <w:t xml:space="preserve">The shares represented by this proxy, when properly executed, will be voted in the manner directed herein by the undersigned Stockholder(s). </w:t>
      </w:r>
      <w:r>
        <w:rPr>
          <w:rFonts w:ascii="Arial" w:cs="Arial" w:eastAsia="Arial" w:hAnsi="Arial"/>
          <w:sz w:val="13"/>
          <w:szCs w:val="13"/>
          <w:b w:val="1"/>
          <w:bCs w:val="1"/>
          <w:color w:val="auto"/>
        </w:rPr>
        <w:t>If no direction is made, this proxy will be voted</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FOR all nominees and FOR proposals 2 and 3. </w:t>
      </w:r>
      <w:r>
        <w:rPr>
          <w:rFonts w:ascii="Arial" w:cs="Arial" w:eastAsia="Arial" w:hAnsi="Arial"/>
          <w:sz w:val="13"/>
          <w:szCs w:val="13"/>
          <w:color w:val="auto"/>
        </w:rPr>
        <w:t>If any other matters properly come before the meeting, the persons named in this proxy will vote in their discretion.</w:t>
      </w:r>
    </w:p>
    <w:p>
      <w:pPr>
        <w:spacing w:after="0" w:line="3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 address changes and/or comments, please check this box and write them on the back</w:t>
      </w:r>
    </w:p>
    <w:p>
      <w:pPr>
        <w:ind w:left="40"/>
        <w:spacing w:after="0"/>
        <w:tabs>
          <w:tab w:leader="none" w:pos="5400" w:val="left"/>
        </w:tabs>
        <w:rPr>
          <w:sz w:val="20"/>
          <w:szCs w:val="20"/>
          <w:color w:val="auto"/>
        </w:rPr>
      </w:pPr>
      <w:r>
        <w:rPr>
          <w:rFonts w:ascii="Arial" w:cs="Arial" w:eastAsia="Arial" w:hAnsi="Arial"/>
          <w:sz w:val="14"/>
          <w:szCs w:val="14"/>
          <w:color w:val="auto"/>
        </w:rPr>
        <w:t>where indicated.</w:t>
      </w:r>
      <w:r>
        <w:rPr>
          <w:sz w:val="20"/>
          <w:szCs w:val="20"/>
          <w:color w:val="auto"/>
        </w:rPr>
        <w:tab/>
      </w:r>
      <w:r>
        <w:rPr>
          <w:rFonts w:ascii="Arial" w:cs="Arial" w:eastAsia="Arial" w:hAnsi="Arial"/>
          <w:sz w:val="10"/>
          <w:szCs w:val="10"/>
          <w:color w:val="auto"/>
        </w:rPr>
        <w:t>q</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4"/>
          <w:szCs w:val="14"/>
          <w:color w:val="auto"/>
        </w:rPr>
        <w:t>Please indicate if you plan to attend this meeting</w:t>
      </w:r>
    </w:p>
    <w:p>
      <w:pPr>
        <w:spacing w:after="0" w:line="55" w:lineRule="exact"/>
        <w:rPr>
          <w:sz w:val="20"/>
          <w:szCs w:val="20"/>
          <w:color w:val="auto"/>
        </w:rPr>
      </w:pPr>
    </w:p>
    <w:p>
      <w:pPr>
        <w:ind w:left="4800"/>
        <w:spacing w:after="0"/>
        <w:tabs>
          <w:tab w:leader="none" w:pos="5400" w:val="left"/>
        </w:tabs>
        <w:rPr>
          <w:sz w:val="20"/>
          <w:szCs w:val="20"/>
          <w:color w:val="auto"/>
        </w:rPr>
      </w:pPr>
      <w:r>
        <w:rPr>
          <w:rFonts w:ascii="Arial" w:cs="Arial" w:eastAsia="Arial" w:hAnsi="Arial"/>
          <w:sz w:val="14"/>
          <w:szCs w:val="14"/>
          <w:color w:val="auto"/>
        </w:rPr>
        <w:t>q</w:t>
      </w:r>
      <w:r>
        <w:rPr>
          <w:sz w:val="20"/>
          <w:szCs w:val="20"/>
          <w:color w:val="auto"/>
        </w:rPr>
        <w:tab/>
      </w:r>
      <w:r>
        <w:rPr>
          <w:rFonts w:ascii="Arial" w:cs="Arial" w:eastAsia="Arial" w:hAnsi="Arial"/>
          <w:sz w:val="14"/>
          <w:szCs w:val="14"/>
          <w:color w:val="auto"/>
        </w:rPr>
        <w:t>q</w:t>
      </w:r>
    </w:p>
    <w:p>
      <w:pPr>
        <w:spacing w:after="0" w:line="109" w:lineRule="exact"/>
        <w:rPr>
          <w:sz w:val="20"/>
          <w:szCs w:val="20"/>
          <w:color w:val="auto"/>
        </w:rPr>
      </w:pPr>
    </w:p>
    <w:p>
      <w:pPr>
        <w:ind w:left="4720"/>
        <w:spacing w:after="0"/>
        <w:tabs>
          <w:tab w:leader="none" w:pos="5340" w:val="left"/>
        </w:tabs>
        <w:rPr>
          <w:sz w:val="20"/>
          <w:szCs w:val="20"/>
          <w:color w:val="auto"/>
        </w:rPr>
      </w:pPr>
      <w:r>
        <w:rPr>
          <w:rFonts w:ascii="Arial" w:cs="Arial" w:eastAsia="Arial" w:hAnsi="Arial"/>
          <w:sz w:val="14"/>
          <w:szCs w:val="14"/>
          <w:color w:val="auto"/>
        </w:rPr>
        <w:t>Yes</w:t>
      </w:r>
      <w:r>
        <w:rPr>
          <w:sz w:val="20"/>
          <w:szCs w:val="20"/>
          <w:color w:val="auto"/>
        </w:rPr>
        <w:tab/>
      </w:r>
      <w:r>
        <w:rPr>
          <w:rFonts w:ascii="Arial" w:cs="Arial" w:eastAsia="Arial" w:hAnsi="Arial"/>
          <w:sz w:val="14"/>
          <w:szCs w:val="14"/>
          <w:color w:val="auto"/>
        </w:rPr>
        <w:t>No</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3"/>
          <w:szCs w:val="13"/>
          <w:color w:val="auto"/>
        </w:rPr>
        <w:t>Please sign exactly as your name(s) appear(s) hereon. When signing as attorney, executor, administrator, or other fiduciary, please give full title as such. Joint owners should each sign personally.</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4"/>
          <w:szCs w:val="14"/>
          <w:color w:val="auto"/>
        </w:rPr>
        <w:t>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54875" cy="2317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4875" cy="23177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40"/>
        <w:spacing w:after="0"/>
        <w:tabs>
          <w:tab w:leader="none" w:pos="3580" w:val="left"/>
          <w:tab w:leader="none" w:pos="5740" w:val="left"/>
          <w:tab w:leader="none" w:pos="926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78" w:right="239" w:bottom="1440" w:gutter="0" w:footer="0" w:header="0"/>
          <w:type w:val="continuous"/>
        </w:sectPr>
      </w:pPr>
    </w:p>
    <w:bookmarkStart w:id="76" w:name="page77"/>
    <w:bookmarkEnd w:id="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3064510</wp:posOffset>
            </wp:positionH>
            <wp:positionV relativeFrom="page">
              <wp:posOffset>517525</wp:posOffset>
            </wp:positionV>
            <wp:extent cx="1440815" cy="77152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clrChange>
                        <a:clrFrom>
                          <a:srgbClr val="FFFFFF"/>
                        </a:clrFrom>
                        <a:clrTo>
                          <a:srgbClr val="FFFFFF">
                            <a:alpha val="0"/>
                          </a:srgbClr>
                        </a:clrTo>
                      </a:clrChange>
                      <a:extLst>
                        <a:ext uri="{28A0092B-C50C-407E-A947-70E740481C1C}"/>
                      </a:extLst>
                    </a:blip>
                    <a:srcRect/>
                    <a:stretch>
                      <a:fillRect/>
                    </a:stretch>
                  </pic:blipFill>
                  <pic:spPr bwMode="auto">
                    <a:xfrm>
                      <a:off x="0" y="0"/>
                      <a:ext cx="1440815" cy="77152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BWX Technologies, Inc.</w:t>
      </w:r>
    </w:p>
    <w:p>
      <w:pPr>
        <w:spacing w:after="0" w:line="23"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Annual Meeting of Stockholders</w:t>
      </w:r>
    </w:p>
    <w:p>
      <w:pPr>
        <w:spacing w:after="0" w:line="9"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Friday, May 4, 2018 at 9:30 a.m. Eastern Time</w:t>
      </w:r>
    </w:p>
    <w:p>
      <w:pPr>
        <w:spacing w:after="0" w:line="21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Craddock Terry Hotel</w:t>
      </w:r>
    </w:p>
    <w:p>
      <w:pPr>
        <w:spacing w:after="0" w:line="23"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Riverside Foyer</w:t>
      </w:r>
    </w:p>
    <w:p>
      <w:pPr>
        <w:spacing w:after="0" w:line="9"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1312 Commerce Street</w:t>
      </w:r>
    </w:p>
    <w:p>
      <w:pPr>
        <w:spacing w:after="0" w:line="9"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Lynchburg, Virginia 24504</w:t>
      </w:r>
    </w:p>
    <w:p>
      <w:pPr>
        <w:spacing w:after="0" w:line="207"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7"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The Notice and Proxy Statement and Annual Report are available at www.proxyvote.com.</w:t>
      </w:r>
    </w:p>
    <w:p>
      <w:pPr>
        <w:spacing w:after="0" w:line="207" w:lineRule="exact"/>
        <w:rPr>
          <w:sz w:val="20"/>
          <w:szCs w:val="20"/>
          <w:color w:val="auto"/>
        </w:rPr>
      </w:pPr>
    </w:p>
    <w:p>
      <w:pPr>
        <w:jc w:val="center"/>
        <w:ind w:right="240"/>
        <w:spacing w:after="0" w:line="282" w:lineRule="auto"/>
        <w:rPr>
          <w:sz w:val="20"/>
          <w:szCs w:val="20"/>
          <w:color w:val="auto"/>
        </w:rPr>
      </w:pPr>
      <w:r>
        <w:rPr>
          <w:rFonts w:ascii="Arial" w:cs="Arial" w:eastAsia="Arial" w:hAnsi="Arial"/>
          <w:sz w:val="18"/>
          <w:szCs w:val="18"/>
          <w:b w:val="1"/>
          <w:bCs w:val="1"/>
          <w:color w:val="auto"/>
        </w:rPr>
        <w:t>IF YOU HAVE NOT VOTED VIA THE INTERNET OR TELEPHONE, FOLD ALONG PERFORATION, DETACH AND RETURN THE BOTTOM PORTION IN THE ENCLOSED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127635</wp:posOffset>
            </wp:positionV>
            <wp:extent cx="7272020" cy="342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72020" cy="34290"/>
                    </a:xfrm>
                    <a:prstGeom prst="rect">
                      <a:avLst/>
                    </a:prstGeom>
                    <a:noFill/>
                  </pic:spPr>
                </pic:pic>
              </a:graphicData>
            </a:graphic>
          </wp:anchor>
        </w:drawing>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E41567-P00986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135255</wp:posOffset>
            </wp:positionV>
            <wp:extent cx="7254875" cy="48025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4875" cy="4802505"/>
                    </a:xfrm>
                    <a:prstGeom prst="rect">
                      <a:avLst/>
                    </a:prstGeom>
                    <a:noFill/>
                  </pic:spPr>
                </pic:pic>
              </a:graphicData>
            </a:graphic>
          </wp:anchor>
        </w:drawing>
      </w:r>
    </w:p>
    <w:p>
      <w:pPr>
        <w:spacing w:after="0" w:line="215" w:lineRule="exact"/>
        <w:rPr>
          <w:sz w:val="20"/>
          <w:szCs w:val="20"/>
          <w:color w:val="auto"/>
        </w:rPr>
      </w:pPr>
    </w:p>
    <w:p>
      <w:pPr>
        <w:jc w:val="center"/>
        <w:ind w:right="2520"/>
        <w:spacing w:after="0"/>
        <w:rPr>
          <w:sz w:val="20"/>
          <w:szCs w:val="20"/>
          <w:color w:val="auto"/>
        </w:rPr>
      </w:pPr>
      <w:r>
        <w:rPr>
          <w:rFonts w:ascii="Arial" w:cs="Arial" w:eastAsia="Arial" w:hAnsi="Arial"/>
          <w:sz w:val="18"/>
          <w:szCs w:val="18"/>
          <w:b w:val="1"/>
          <w:bCs w:val="1"/>
          <w:color w:val="auto"/>
        </w:rPr>
        <w:t>BWX TECHNOLOGIES, INC.</w:t>
      </w:r>
    </w:p>
    <w:p>
      <w:pPr>
        <w:spacing w:after="0" w:line="225" w:lineRule="exact"/>
        <w:rPr>
          <w:sz w:val="20"/>
          <w:szCs w:val="20"/>
          <w:color w:val="auto"/>
        </w:rPr>
      </w:pPr>
    </w:p>
    <w:p>
      <w:pPr>
        <w:jc w:val="center"/>
        <w:ind w:right="2320"/>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2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ANNUAL MEETING OF STOCKHOLDERS</w:t>
      </w:r>
    </w:p>
    <w:p>
      <w:pPr>
        <w:spacing w:after="0" w:line="2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Friday, May 4, 2018</w:t>
      </w:r>
    </w:p>
    <w:p>
      <w:pPr>
        <w:spacing w:after="0" w:line="211" w:lineRule="exact"/>
        <w:rPr>
          <w:sz w:val="20"/>
          <w:szCs w:val="20"/>
          <w:color w:val="auto"/>
        </w:rPr>
      </w:pPr>
    </w:p>
    <w:p>
      <w:pPr>
        <w:jc w:val="both"/>
        <w:ind w:right="460"/>
        <w:spacing w:after="0" w:line="257" w:lineRule="auto"/>
        <w:rPr>
          <w:sz w:val="20"/>
          <w:szCs w:val="20"/>
          <w:color w:val="auto"/>
        </w:rPr>
      </w:pPr>
      <w:r>
        <w:rPr>
          <w:rFonts w:ascii="Arial" w:cs="Arial" w:eastAsia="Arial" w:hAnsi="Arial"/>
          <w:sz w:val="18"/>
          <w:szCs w:val="18"/>
          <w:color w:val="auto"/>
        </w:rPr>
        <w:t>The undersigned stockholder(s) hereby appoint(s) Rex D. Geveden and James D. Canafax, or either of them, as proxies, each with the power to appoint his substitute, to represent and to vote, as designated on the reverse side of this ballot, all of the shares of common stock of BWX Technologies, Inc. that the stockholder(s) is/are entitled to vote at the Annual Meeting of Stockholders to be held at 9:30 a.m. Eastern Time on May 4, 2018 at the Craddock Terry Hotel, Riverside Foyer, 1312 Commerce Street, Lynchburg, Virginia 24504, and any adjournment or postponement thereof.</w:t>
      </w:r>
    </w:p>
    <w:p>
      <w:pPr>
        <w:spacing w:after="0" w:line="184" w:lineRule="exact"/>
        <w:rPr>
          <w:sz w:val="20"/>
          <w:szCs w:val="20"/>
          <w:color w:val="auto"/>
        </w:rPr>
      </w:pPr>
    </w:p>
    <w:p>
      <w:pPr>
        <w:jc w:val="both"/>
        <w:ind w:right="460"/>
        <w:spacing w:after="0" w:line="266"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176" w:lineRule="exact"/>
        <w:rPr>
          <w:sz w:val="20"/>
          <w:szCs w:val="20"/>
          <w:color w:val="auto"/>
        </w:rPr>
      </w:pPr>
    </w:p>
    <w:p>
      <w:pPr>
        <w:jc w:val="both"/>
        <w:ind w:right="460"/>
        <w:spacing w:after="0" w:line="256" w:lineRule="auto"/>
        <w:rPr>
          <w:sz w:val="20"/>
          <w:szCs w:val="20"/>
          <w:color w:val="auto"/>
        </w:rPr>
      </w:pPr>
      <w:r>
        <w:rPr>
          <w:rFonts w:ascii="Arial" w:cs="Arial" w:eastAsia="Arial" w:hAnsi="Arial"/>
          <w:sz w:val="18"/>
          <w:szCs w:val="18"/>
          <w:b w:val="1"/>
          <w:bCs w:val="1"/>
          <w:color w:val="auto"/>
        </w:rPr>
        <w:t xml:space="preserve">ATTENTION PARTICIPANTS IN BWXT’S THRIFT PLAN: </w:t>
      </w:r>
      <w:r>
        <w:rPr>
          <w:rFonts w:ascii="Arial" w:cs="Arial" w:eastAsia="Arial" w:hAnsi="Arial"/>
          <w:sz w:val="18"/>
          <w:szCs w:val="18"/>
          <w:color w:val="auto"/>
        </w:rPr>
        <w:t>If you held shares of BWX Technologies, Inc. (“BWXT”) common stock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The Thrift Plan for Employees and Participating Subsidiary and Affiliated Companies (the “Thrift Plan”), this proxy covers all shares for which the undersigned has the right to give voting instructions to Vanguard Fiduciary Trust Company (“Vanguard”), Trustee of the Thrift Plan. Your proxy must be received no later than 11:59 p.m. Eastern Time on May 1, 2018. Any shares of BWXT common stock held in the Thrift Plan that are not voted or for which Vanguard does not receive timely voting instructions, will be voted in the same proportion as the shares for which Vanguard receives timely voting instructions for other participants in the Thrift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MARK, SIGN, DATE AND RETURN THIS PROXY CARD PROMPT LY USING THE ENCLOSED REPLY ENVELOPED</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(If you noted any Address Changes/Comments above, please mark corresponding box on the reverse side.)</w:t>
      </w:r>
    </w:p>
    <w:p>
      <w:pPr>
        <w:spacing w:after="0" w:line="200" w:lineRule="exact"/>
        <w:rPr>
          <w:sz w:val="20"/>
          <w:szCs w:val="20"/>
          <w:color w:val="auto"/>
        </w:rPr>
      </w:pPr>
    </w:p>
    <w:p>
      <w:pPr>
        <w:spacing w:after="0" w:line="23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140"/>
      </w:cols>
      <w:pgMar w:left="500" w:top="144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54FE9F9"/>
    <w:multiLevelType w:val="hybridMultilevel"/>
    <w:lvl w:ilvl="0">
      <w:lvlJc w:val="left"/>
      <w:lvlText w:val="_"/>
      <w:numFmt w:val="bullet"/>
      <w:start w:val="1"/>
    </w:lvl>
  </w:abstractNum>
  <w:abstractNum w:abstractNumId="1">
    <w:nsid w:val="15B5AF5C"/>
    <w:multiLevelType w:val="hybridMultilevel"/>
    <w:lvl w:ilvl="0">
      <w:lvlJc w:val="left"/>
      <w:lvlText w:val="_"/>
      <w:numFmt w:val="bullet"/>
      <w:start w:val="1"/>
    </w:lvl>
  </w:abstractNum>
  <w:abstractNum w:abstractNumId="2">
    <w:nsid w:val="741226BB"/>
    <w:multiLevelType w:val="hybridMultilevel"/>
    <w:lvl w:ilvl="0">
      <w:lvlJc w:val="left"/>
      <w:lvlText w:val="☒"/>
      <w:numFmt w:val="bullet"/>
      <w:start w:val="1"/>
    </w:lvl>
  </w:abstractNum>
  <w:abstractNum w:abstractNumId="3">
    <w:nsid w:val="D34B6A8"/>
    <w:multiLevelType w:val="hybridMultilevel"/>
    <w:lvl w:ilvl="0">
      <w:lvlJc w:val="left"/>
      <w:lvlText w:val="_"/>
      <w:numFmt w:val="bullet"/>
      <w:start w:val="1"/>
    </w:lvl>
  </w:abstractNum>
  <w:abstractNum w:abstractNumId="4">
    <w:nsid w:val="10233C99"/>
    <w:multiLevelType w:val="hybridMultilevel"/>
    <w:lvl w:ilvl="0">
      <w:lvlJc w:val="left"/>
      <w:lvlText w:val="_"/>
      <w:numFmt w:val="bullet"/>
      <w:start w:val="1"/>
    </w:lvl>
  </w:abstractNum>
  <w:abstractNum w:abstractNumId="5">
    <w:nsid w:val="3F6AB60F"/>
    <w:multiLevelType w:val="hybridMultilevel"/>
    <w:lvl w:ilvl="0">
      <w:lvlJc w:val="left"/>
      <w:lvlText w:val="☒"/>
      <w:numFmt w:val="bullet"/>
      <w:start w:val="1"/>
    </w:lvl>
  </w:abstractNum>
  <w:abstractNum w:abstractNumId="6">
    <w:nsid w:val="61574095"/>
    <w:multiLevelType w:val="hybridMultilevel"/>
    <w:lvl w:ilvl="0">
      <w:lvlJc w:val="left"/>
      <w:lvlText w:val="_"/>
      <w:numFmt w:val="bullet"/>
      <w:start w:val="1"/>
    </w:lvl>
    <w:lvl w:ilvl="1">
      <w:lvlJc w:val="left"/>
      <w:lvlText w:val="(%2)"/>
      <w:numFmt w:val="decimal"/>
      <w:start w:val="1"/>
    </w:lvl>
  </w:abstractNum>
  <w:abstractNum w:abstractNumId="7">
    <w:nsid w:val="7E0C57B1"/>
    <w:multiLevelType w:val="hybridMultilevel"/>
    <w:lvl w:ilvl="0">
      <w:lvlJc w:val="left"/>
      <w:lvlText w:val="_"/>
      <w:numFmt w:val="bullet"/>
      <w:start w:val="1"/>
    </w:lvl>
  </w:abstractNum>
  <w:abstractNum w:abstractNumId="8">
    <w:nsid w:val="77AE35EB"/>
    <w:multiLevelType w:val="hybridMultilevel"/>
    <w:lvl w:ilvl="0">
      <w:lvlJc w:val="left"/>
      <w:lvlText w:val="_"/>
      <w:numFmt w:val="bullet"/>
      <w:start w:val="1"/>
    </w:lvl>
    <w:lvl w:ilvl="1">
      <w:lvlJc w:val="left"/>
      <w:lvlText w:val="(%2)"/>
      <w:numFmt w:val="decimal"/>
      <w:start w:val="1"/>
    </w:lvl>
  </w:abstractNum>
  <w:abstractNum w:abstractNumId="9">
    <w:nsid w:val="579BE4F1"/>
    <w:multiLevelType w:val="hybridMultilevel"/>
    <w:lvl w:ilvl="0">
      <w:lvlJc w:val="left"/>
      <w:lvlText w:val="•"/>
      <w:numFmt w:val="bullet"/>
      <w:start w:val="1"/>
    </w:lvl>
  </w:abstractNum>
  <w:abstractNum w:abstractNumId="10">
    <w:nsid w:val="310C50B3"/>
    <w:multiLevelType w:val="hybridMultilevel"/>
    <w:lvl w:ilvl="0">
      <w:lvlJc w:val="left"/>
      <w:lvlText w:val="(%1)"/>
      <w:numFmt w:val="decimal"/>
      <w:start w:val="1"/>
    </w:lvl>
  </w:abstractNum>
  <w:abstractNum w:abstractNumId="11">
    <w:nsid w:val="5FF87E05"/>
    <w:multiLevelType w:val="hybridMultilevel"/>
    <w:lvl w:ilvl="0">
      <w:lvlJc w:val="left"/>
      <w:lvlText w:val="•"/>
      <w:numFmt w:val="bullet"/>
      <w:start w:val="1"/>
    </w:lvl>
  </w:abstractNum>
  <w:abstractNum w:abstractNumId="12">
    <w:nsid w:val="2F305DEF"/>
    <w:multiLevelType w:val="hybridMultilevel"/>
    <w:lvl w:ilvl="0">
      <w:lvlJc w:val="left"/>
      <w:lvlText w:val="*"/>
      <w:numFmt w:val="bullet"/>
      <w:start w:val="1"/>
    </w:lvl>
  </w:abstractNum>
  <w:abstractNum w:abstractNumId="13">
    <w:nsid w:val="25A70BF7"/>
    <w:multiLevelType w:val="hybridMultilevel"/>
    <w:lvl w:ilvl="0">
      <w:lvlJc w:val="left"/>
      <w:lvlText w:val="•"/>
      <w:numFmt w:val="bullet"/>
      <w:start w:val="1"/>
    </w:lvl>
  </w:abstractNum>
  <w:abstractNum w:abstractNumId="14">
    <w:nsid w:val="1DBABF00"/>
    <w:multiLevelType w:val="hybridMultilevel"/>
    <w:lvl w:ilvl="0">
      <w:lvlJc w:val="left"/>
      <w:lvlText w:val="(%1)"/>
      <w:numFmt w:val="decimal"/>
      <w:start w:val="1"/>
    </w:lvl>
  </w:abstractNum>
  <w:abstractNum w:abstractNumId="15">
    <w:nsid w:val="4AD084E9"/>
    <w:multiLevelType w:val="hybridMultilevel"/>
    <w:lvl w:ilvl="0">
      <w:lvlJc w:val="left"/>
      <w:lvlText w:val="•"/>
      <w:numFmt w:val="bullet"/>
      <w:start w:val="1"/>
    </w:lvl>
  </w:abstractNum>
  <w:abstractNum w:abstractNumId="16">
    <w:nsid w:val="1F48EAA1"/>
    <w:multiLevelType w:val="hybridMultilevel"/>
    <w:lvl w:ilvl="0">
      <w:lvlJc w:val="left"/>
      <w:lvlText w:val="•"/>
      <w:numFmt w:val="bullet"/>
      <w:start w:val="1"/>
    </w:lvl>
  </w:abstractNum>
  <w:abstractNum w:abstractNumId="17">
    <w:nsid w:val="1381823A"/>
    <w:multiLevelType w:val="hybridMultilevel"/>
    <w:lvl w:ilvl="0">
      <w:lvlJc w:val="left"/>
      <w:lvlText w:val="(%1)"/>
      <w:numFmt w:val="decimal"/>
      <w:start w:val="1"/>
    </w:lvl>
  </w:abstractNum>
  <w:abstractNum w:abstractNumId="18">
    <w:nsid w:val="5DB70AE5"/>
    <w:multiLevelType w:val="hybridMultilevel"/>
    <w:lvl w:ilvl="0">
      <w:lvlJc w:val="left"/>
      <w:lvlText w:val="•"/>
      <w:numFmt w:val="bullet"/>
      <w:start w:val="1"/>
    </w:lvl>
  </w:abstractNum>
  <w:abstractNum w:abstractNumId="19">
    <w:nsid w:val="100F8FCA"/>
    <w:multiLevelType w:val="hybridMultilevel"/>
    <w:lvl w:ilvl="0">
      <w:lvlJc w:val="left"/>
      <w:lvlText w:val="•"/>
      <w:numFmt w:val="bullet"/>
      <w:start w:val="1"/>
    </w:lvl>
  </w:abstractNum>
  <w:abstractNum w:abstractNumId="20">
    <w:nsid w:val="6590700B"/>
    <w:multiLevelType w:val="hybridMultilevel"/>
    <w:lvl w:ilvl="0">
      <w:lvlJc w:val="left"/>
      <w:lvlText w:val="•"/>
      <w:numFmt w:val="bullet"/>
      <w:start w:val="1"/>
    </w:lvl>
  </w:abstractNum>
  <w:abstractNum w:abstractNumId="21">
    <w:nsid w:val="15014ACB"/>
    <w:multiLevelType w:val="hybridMultilevel"/>
    <w:lvl w:ilvl="0">
      <w:lvlJc w:val="left"/>
      <w:lvlText w:val="•"/>
      <w:numFmt w:val="bullet"/>
      <w:start w:val="1"/>
    </w:lvl>
  </w:abstractNum>
  <w:abstractNum w:abstractNumId="22">
    <w:nsid w:val="5F5E7FD0"/>
    <w:multiLevelType w:val="hybridMultilevel"/>
    <w:lvl w:ilvl="0">
      <w:lvlJc w:val="left"/>
      <w:lvlText w:val="•"/>
      <w:numFmt w:val="bullet"/>
      <w:start w:val="1"/>
    </w:lvl>
  </w:abstractNum>
  <w:abstractNum w:abstractNumId="23">
    <w:nsid w:val="98A3148"/>
    <w:multiLevelType w:val="hybridMultilevel"/>
    <w:lvl w:ilvl="0">
      <w:lvlJc w:val="left"/>
      <w:lvlText w:val="•"/>
      <w:numFmt w:val="bullet"/>
      <w:start w:val="1"/>
    </w:lvl>
  </w:abstractNum>
  <w:abstractNum w:abstractNumId="24">
    <w:nsid w:val="799D0247"/>
    <w:multiLevelType w:val="hybridMultilevel"/>
    <w:lvl w:ilvl="0">
      <w:lvlJc w:val="left"/>
      <w:lvlText w:val="•"/>
      <w:numFmt w:val="bullet"/>
      <w:start w:val="1"/>
    </w:lvl>
  </w:abstractNum>
  <w:abstractNum w:abstractNumId="25">
    <w:nsid w:val="6B94764"/>
    <w:multiLevelType w:val="hybridMultilevel"/>
    <w:lvl w:ilvl="0">
      <w:lvlJc w:val="left"/>
      <w:lvlText w:val="•"/>
      <w:numFmt w:val="bullet"/>
      <w:start w:val="1"/>
    </w:lvl>
  </w:abstractNum>
  <w:abstractNum w:abstractNumId="26">
    <w:nsid w:val="42C296BD"/>
    <w:multiLevelType w:val="hybridMultilevel"/>
    <w:lvl w:ilvl="0">
      <w:lvlJc w:val="left"/>
      <w:lvlText w:val="•"/>
      <w:numFmt w:val="bullet"/>
      <w:start w:val="1"/>
    </w:lvl>
  </w:abstractNum>
  <w:abstractNum w:abstractNumId="27">
    <w:nsid w:val="168E121F"/>
    <w:multiLevelType w:val="hybridMultilevel"/>
    <w:lvl w:ilvl="0">
      <w:lvlJc w:val="left"/>
      <w:lvlText w:val="•"/>
      <w:numFmt w:val="bullet"/>
      <w:start w:val="1"/>
    </w:lvl>
  </w:abstractNum>
  <w:abstractNum w:abstractNumId="28">
    <w:nsid w:val="1EBA5D23"/>
    <w:multiLevelType w:val="hybridMultilevel"/>
    <w:lvl w:ilvl="0">
      <w:lvlJc w:val="left"/>
      <w:lvlText w:val="•"/>
      <w:numFmt w:val="bullet"/>
      <w:start w:val="1"/>
    </w:lvl>
  </w:abstractNum>
  <w:abstractNum w:abstractNumId="29">
    <w:nsid w:val="661E3F1E"/>
    <w:multiLevelType w:val="hybridMultilevel"/>
    <w:lvl w:ilvl="0">
      <w:lvlJc w:val="left"/>
      <w:lvlText w:val="•"/>
      <w:numFmt w:val="bullet"/>
      <w:start w:val="1"/>
    </w:lvl>
  </w:abstractNum>
  <w:abstractNum w:abstractNumId="30">
    <w:nsid w:val="5DC79EA8"/>
    <w:multiLevelType w:val="hybridMultilevel"/>
    <w:lvl w:ilvl="0">
      <w:lvlJc w:val="left"/>
      <w:lvlText w:val="•"/>
      <w:numFmt w:val="bullet"/>
      <w:start w:val="1"/>
    </w:lvl>
  </w:abstractNum>
  <w:abstractNum w:abstractNumId="31">
    <w:nsid w:val="540A471C"/>
    <w:multiLevelType w:val="hybridMultilevel"/>
    <w:lvl w:ilvl="0">
      <w:lvlJc w:val="left"/>
      <w:lvlText w:val="•"/>
      <w:numFmt w:val="bullet"/>
      <w:start w:val="1"/>
    </w:lvl>
  </w:abstractNum>
  <w:abstractNum w:abstractNumId="32">
    <w:nsid w:val="7BD3EE7B"/>
    <w:multiLevelType w:val="hybridMultilevel"/>
    <w:lvl w:ilvl="0">
      <w:lvlJc w:val="left"/>
      <w:lvlText w:val="•"/>
      <w:numFmt w:val="bullet"/>
      <w:start w:val="1"/>
    </w:lvl>
  </w:abstractNum>
  <w:abstractNum w:abstractNumId="33">
    <w:nsid w:val="51D9C564"/>
    <w:multiLevelType w:val="hybridMultilevel"/>
    <w:lvl w:ilvl="0">
      <w:lvlJc w:val="left"/>
      <w:lvlText w:val="*"/>
      <w:numFmt w:val="bullet"/>
      <w:start w:val="1"/>
    </w:lvl>
  </w:abstractNum>
  <w:abstractNum w:abstractNumId="34">
    <w:nsid w:val="613EFDC5"/>
    <w:multiLevelType w:val="hybridMultilevel"/>
    <w:lvl w:ilvl="0">
      <w:lvlJc w:val="left"/>
      <w:lvlText w:val="•"/>
      <w:numFmt w:val="bullet"/>
      <w:start w:val="1"/>
    </w:lvl>
  </w:abstractNum>
  <w:abstractNum w:abstractNumId="35">
    <w:nsid w:val="BF72B14"/>
    <w:multiLevelType w:val="hybridMultilevel"/>
    <w:lvl w:ilvl="0">
      <w:lvlJc w:val="left"/>
      <w:lvlText w:val="•"/>
      <w:numFmt w:val="bullet"/>
      <w:start w:val="1"/>
    </w:lvl>
  </w:abstractNum>
  <w:abstractNum w:abstractNumId="36">
    <w:nsid w:val="11447B73"/>
    <w:multiLevelType w:val="hybridMultilevel"/>
    <w:lvl w:ilvl="0">
      <w:lvlJc w:val="left"/>
      <w:lvlText w:val="•"/>
      <w:numFmt w:val="bullet"/>
      <w:start w:val="1"/>
    </w:lvl>
  </w:abstractNum>
  <w:abstractNum w:abstractNumId="37">
    <w:nsid w:val="42963E5A"/>
    <w:multiLevelType w:val="hybridMultilevel"/>
    <w:lvl w:ilvl="0">
      <w:lvlJc w:val="left"/>
      <w:lvlText w:val="•"/>
      <w:numFmt w:val="bullet"/>
      <w:start w:val="1"/>
    </w:lvl>
  </w:abstractNum>
  <w:abstractNum w:abstractNumId="38">
    <w:nsid w:val="A0382C5"/>
    <w:multiLevelType w:val="hybridMultilevel"/>
    <w:lvl w:ilvl="0">
      <w:lvlJc w:val="left"/>
      <w:lvlText w:val="•"/>
      <w:numFmt w:val="bullet"/>
      <w:start w:val="1"/>
    </w:lvl>
  </w:abstractNum>
  <w:abstractNum w:abstractNumId="39">
    <w:nsid w:val="8F2B15E"/>
    <w:multiLevelType w:val="hybridMultilevel"/>
    <w:lvl w:ilvl="0">
      <w:lvlJc w:val="left"/>
      <w:lvlText w:val="•"/>
      <w:numFmt w:val="bullet"/>
      <w:start w:val="1"/>
    </w:lvl>
  </w:abstractNum>
  <w:abstractNum w:abstractNumId="40">
    <w:nsid w:val="1A32234B"/>
    <w:multiLevelType w:val="hybridMultilevel"/>
    <w:lvl w:ilvl="0">
      <w:lvlJc w:val="left"/>
      <w:lvlText w:val="•"/>
      <w:numFmt w:val="bullet"/>
      <w:start w:val="1"/>
    </w:lvl>
  </w:abstractNum>
  <w:abstractNum w:abstractNumId="41">
    <w:nsid w:val="3B0FD379"/>
    <w:multiLevelType w:val="hybridMultilevel"/>
    <w:lvl w:ilvl="0">
      <w:lvlJc w:val="left"/>
      <w:lvlText w:val="•"/>
      <w:numFmt w:val="bullet"/>
      <w:start w:val="1"/>
    </w:lvl>
  </w:abstractNum>
  <w:abstractNum w:abstractNumId="42">
    <w:nsid w:val="68EB2F63"/>
    <w:multiLevelType w:val="hybridMultilevel"/>
    <w:lvl w:ilvl="0">
      <w:lvlJc w:val="left"/>
      <w:lvlText w:val="•"/>
      <w:numFmt w:val="bullet"/>
      <w:start w:val="1"/>
    </w:lvl>
  </w:abstractNum>
  <w:abstractNum w:abstractNumId="43">
    <w:nsid w:val="4962813B"/>
    <w:multiLevelType w:val="hybridMultilevel"/>
    <w:lvl w:ilvl="0">
      <w:lvlJc w:val="left"/>
      <w:lvlText w:val="•"/>
      <w:numFmt w:val="bullet"/>
      <w:start w:val="1"/>
    </w:lvl>
  </w:abstractNum>
  <w:abstractNum w:abstractNumId="44">
    <w:nsid w:val="60B6DF70"/>
    <w:multiLevelType w:val="hybridMultilevel"/>
    <w:lvl w:ilvl="0">
      <w:lvlJc w:val="left"/>
      <w:lvlText w:val="•"/>
      <w:numFmt w:val="bullet"/>
      <w:start w:val="1"/>
    </w:lvl>
  </w:abstractNum>
  <w:abstractNum w:abstractNumId="45">
    <w:nsid w:val="6A5EE64"/>
    <w:multiLevelType w:val="hybridMultilevel"/>
    <w:lvl w:ilvl="0">
      <w:lvlJc w:val="left"/>
      <w:lvlText w:val="•"/>
      <w:numFmt w:val="bullet"/>
      <w:start w:val="1"/>
    </w:lvl>
  </w:abstractNum>
  <w:abstractNum w:abstractNumId="46">
    <w:nsid w:val="14330624"/>
    <w:multiLevelType w:val="hybridMultilevel"/>
    <w:lvl w:ilvl="0">
      <w:lvlJc w:val="left"/>
      <w:lvlText w:val="(%1)"/>
      <w:numFmt w:val="decimal"/>
      <w:start w:val="1"/>
    </w:lvl>
    <w:lvl w:ilvl="1">
      <w:lvlJc w:val="left"/>
      <w:lvlText w:val="•"/>
      <w:numFmt w:val="bullet"/>
      <w:start w:val="1"/>
    </w:lvl>
  </w:abstractNum>
  <w:abstractNum w:abstractNumId="47">
    <w:nsid w:val="7FFFCA11"/>
    <w:multiLevelType w:val="hybridMultilevel"/>
    <w:lvl w:ilvl="0">
      <w:lvlJc w:val="left"/>
      <w:lvlText w:val="*"/>
      <w:numFmt w:val="bullet"/>
      <w:start w:val="1"/>
    </w:lvl>
  </w:abstractNum>
  <w:abstractNum w:abstractNumId="48">
    <w:nsid w:val="1A27709E"/>
    <w:multiLevelType w:val="hybridMultilevel"/>
    <w:lvl w:ilvl="0">
      <w:lvlJc w:val="left"/>
      <w:lvlText w:val="**"/>
      <w:numFmt w:val="bullet"/>
      <w:start w:val="1"/>
    </w:lvl>
  </w:abstractNum>
  <w:abstractNum w:abstractNumId="49">
    <w:nsid w:val="71EA1109"/>
    <w:multiLevelType w:val="hybridMultilevel"/>
    <w:lvl w:ilvl="0">
      <w:lvlJc w:val="left"/>
      <w:lvlText w:val="•"/>
      <w:numFmt w:val="bullet"/>
      <w:start w:val="1"/>
    </w:lvl>
  </w:abstractNum>
  <w:abstractNum w:abstractNumId="50">
    <w:nsid w:val="100F59DC"/>
    <w:multiLevelType w:val="hybridMultilevel"/>
    <w:lvl w:ilvl="0">
      <w:lvlJc w:val="left"/>
      <w:lvlText w:val="•"/>
      <w:numFmt w:val="bullet"/>
      <w:start w:val="1"/>
    </w:lvl>
  </w:abstractNum>
  <w:abstractNum w:abstractNumId="51">
    <w:nsid w:val="7FB7E0AA"/>
    <w:multiLevelType w:val="hybridMultilevel"/>
    <w:lvl w:ilvl="0">
      <w:lvlJc w:val="left"/>
      <w:lvlText w:val="(%1)"/>
      <w:numFmt w:val="decimal"/>
      <w:start w:val="3"/>
    </w:lvl>
  </w:abstractNum>
  <w:abstractNum w:abstractNumId="52">
    <w:nsid w:val="6EB5BD4"/>
    <w:multiLevelType w:val="hybridMultilevel"/>
    <w:lvl w:ilvl="0">
      <w:lvlJc w:val="left"/>
      <w:lvlText w:val="•"/>
      <w:numFmt w:val="bullet"/>
      <w:start w:val="1"/>
    </w:lvl>
  </w:abstractNum>
  <w:abstractNum w:abstractNumId="53">
    <w:nsid w:val="6F6DD9AC"/>
    <w:multiLevelType w:val="hybridMultilevel"/>
    <w:lvl w:ilvl="0">
      <w:lvlJc w:val="left"/>
      <w:lvlText w:val="*"/>
      <w:numFmt w:val="bullet"/>
      <w:start w:val="1"/>
    </w:lvl>
  </w:abstractNum>
  <w:abstractNum w:abstractNumId="54">
    <w:nsid w:val="94211F2"/>
    <w:multiLevelType w:val="hybridMultilevel"/>
    <w:lvl w:ilvl="0">
      <w:lvlJc w:val="left"/>
      <w:lvlText w:val="**"/>
      <w:numFmt w:val="bullet"/>
      <w:start w:val="1"/>
    </w:lvl>
  </w:abstractNum>
  <w:abstractNum w:abstractNumId="55">
    <w:nsid w:val="885E1B"/>
    <w:multiLevelType w:val="hybridMultilevel"/>
    <w:lvl w:ilvl="0">
      <w:lvlJc w:val="left"/>
      <w:lvlText w:val="*"/>
      <w:numFmt w:val="bullet"/>
      <w:start w:val="1"/>
    </w:lvl>
  </w:abstractNum>
  <w:abstractNum w:abstractNumId="56">
    <w:nsid w:val="76272110"/>
    <w:multiLevelType w:val="hybridMultilevel"/>
    <w:lvl w:ilvl="0">
      <w:lvlJc w:val="left"/>
      <w:lvlText w:val="(%1)"/>
      <w:numFmt w:val="decimal"/>
      <w:start w:val="1"/>
    </w:lvl>
  </w:abstractNum>
  <w:abstractNum w:abstractNumId="57">
    <w:nsid w:val="4C04A8AF"/>
    <w:multiLevelType w:val="hybridMultilevel"/>
    <w:lvl w:ilvl="0">
      <w:lvlJc w:val="left"/>
      <w:lvlText w:val="•"/>
      <w:numFmt w:val="bullet"/>
      <w:start w:val="1"/>
    </w:lvl>
  </w:abstractNum>
  <w:abstractNum w:abstractNumId="58">
    <w:nsid w:val="1716703B"/>
    <w:multiLevelType w:val="hybridMultilevel"/>
    <w:lvl w:ilvl="0">
      <w:lvlJc w:val="left"/>
      <w:lvlText w:val="•"/>
      <w:numFmt w:val="bullet"/>
      <w:start w:val="1"/>
    </w:lvl>
  </w:abstractNum>
  <w:abstractNum w:abstractNumId="59">
    <w:nsid w:val="14E17E33"/>
    <w:multiLevelType w:val="hybridMultilevel"/>
    <w:lvl w:ilvl="0">
      <w:lvlJc w:val="left"/>
      <w:lvlText w:val="•"/>
      <w:numFmt w:val="bullet"/>
      <w:start w:val="1"/>
    </w:lvl>
  </w:abstractNum>
  <w:abstractNum w:abstractNumId="60">
    <w:nsid w:val="3222E7CD"/>
    <w:multiLevelType w:val="hybridMultilevel"/>
    <w:lvl w:ilvl="0">
      <w:lvlJc w:val="left"/>
      <w:lvlText w:val="•"/>
      <w:numFmt w:val="bullet"/>
      <w:start w:val="1"/>
    </w:lvl>
  </w:abstractNum>
  <w:abstractNum w:abstractNumId="61">
    <w:nsid w:val="74DE0EE3"/>
    <w:multiLevelType w:val="hybridMultilevel"/>
    <w:lvl w:ilvl="0">
      <w:lvlJc w:val="left"/>
      <w:lvlText w:val="•"/>
      <w:numFmt w:val="bullet"/>
      <w:start w:val="1"/>
    </w:lvl>
  </w:abstractNum>
  <w:abstractNum w:abstractNumId="62">
    <w:nsid w:val="68EBC550"/>
    <w:multiLevelType w:val="hybridMultilevel"/>
    <w:lvl w:ilvl="0">
      <w:lvlJc w:val="left"/>
      <w:lvlText w:val="•"/>
      <w:numFmt w:val="bullet"/>
      <w:start w:val="1"/>
    </w:lvl>
  </w:abstractNum>
  <w:abstractNum w:abstractNumId="63">
    <w:nsid w:val="2DF6D648"/>
    <w:multiLevelType w:val="hybridMultilevel"/>
    <w:lvl w:ilvl="0">
      <w:lvlJc w:val="left"/>
      <w:lvlText w:val="•"/>
      <w:numFmt w:val="bullet"/>
      <w:start w:val="1"/>
    </w:lvl>
  </w:abstractNum>
  <w:abstractNum w:abstractNumId="64">
    <w:nsid w:val="46B7D447"/>
    <w:multiLevelType w:val="hybridMultilevel"/>
    <w:lvl w:ilvl="0">
      <w:lvlJc w:val="left"/>
      <w:lvlText w:val="•"/>
      <w:numFmt w:val="bullet"/>
      <w:start w:val="1"/>
    </w:lvl>
  </w:abstractNum>
  <w:abstractNum w:abstractNumId="65">
    <w:nsid w:val="4A2AC315"/>
    <w:multiLevelType w:val="hybridMultilevel"/>
    <w:lvl w:ilvl="0">
      <w:lvlJc w:val="left"/>
      <w:lvlText w:val="•"/>
      <w:numFmt w:val="bullet"/>
      <w:start w:val="1"/>
    </w:lvl>
  </w:abstractNum>
  <w:abstractNum w:abstractNumId="66">
    <w:nsid w:val="39EE015C"/>
    <w:multiLevelType w:val="hybridMultilevel"/>
    <w:lvl w:ilvl="0">
      <w:lvlJc w:val="left"/>
      <w:lvlText w:val="•"/>
      <w:numFmt w:val="bullet"/>
      <w:start w:val="1"/>
    </w:lvl>
  </w:abstractNum>
  <w:abstractNum w:abstractNumId="67">
    <w:nsid w:val="57FC4FBB"/>
    <w:multiLevelType w:val="hybridMultilevel"/>
    <w:lvl w:ilvl="0">
      <w:lvlJc w:val="left"/>
      <w:lvlText w:val="•"/>
      <w:numFmt w:val="bullet"/>
      <w:start w:val="1"/>
    </w:lvl>
  </w:abstractNum>
  <w:abstractNum w:abstractNumId="68">
    <w:nsid w:val="CC1016F"/>
    <w:multiLevelType w:val="hybridMultilevel"/>
    <w:lvl w:ilvl="0">
      <w:lvlJc w:val="left"/>
      <w:lvlText w:val="•"/>
      <w:numFmt w:val="bullet"/>
      <w:start w:val="1"/>
    </w:lvl>
    <w:lvl w:ilvl="1">
      <w:lvlJc w:val="left"/>
      <w:lvlText w:val="*"/>
      <w:numFmt w:val="bullet"/>
      <w:start w:val="1"/>
    </w:lvl>
  </w:abstractNum>
  <w:abstractNum w:abstractNumId="69">
    <w:nsid w:val="43F18422"/>
    <w:multiLevelType w:val="hybridMultilevel"/>
    <w:lvl w:ilvl="0">
      <w:lvlJc w:val="left"/>
      <w:lvlText w:val="(%1)"/>
      <w:numFmt w:val="decimal"/>
      <w:start w:val="1"/>
    </w:lvl>
  </w:abstractNum>
  <w:abstractNum w:abstractNumId="70">
    <w:nsid w:val="60EF0119"/>
    <w:multiLevelType w:val="hybridMultilevel"/>
    <w:lvl w:ilvl="0">
      <w:lvlJc w:val="left"/>
      <w:lvlText w:val="(%1)"/>
      <w:numFmt w:val="decimal"/>
      <w:start w:val="1"/>
    </w:lvl>
  </w:abstractNum>
  <w:abstractNum w:abstractNumId="71">
    <w:nsid w:val="26F324BA"/>
    <w:multiLevelType w:val="hybridMultilevel"/>
    <w:lvl w:ilvl="0">
      <w:lvlJc w:val="left"/>
      <w:lvlText w:val="(%1)"/>
      <w:numFmt w:val="decimal"/>
      <w:start w:val="1"/>
    </w:lvl>
  </w:abstractNum>
  <w:abstractNum w:abstractNumId="72">
    <w:nsid w:val="7F01579B"/>
    <w:multiLevelType w:val="hybridMultilevel"/>
    <w:lvl w:ilvl="0">
      <w:lvlJc w:val="left"/>
      <w:lvlText w:val="ü"/>
      <w:numFmt w:val="bullet"/>
      <w:start w:val="1"/>
    </w:lvl>
    <w:lvl w:ilvl="1">
      <w:lvlJc w:val="left"/>
      <w:lvlText w:val="ü"/>
      <w:numFmt w:val="bullet"/>
      <w:start w:val="1"/>
    </w:lvl>
  </w:abstractNum>
  <w:abstractNum w:abstractNumId="73">
    <w:nsid w:val="49DA307D"/>
    <w:multiLevelType w:val="hybridMultilevel"/>
    <w:lvl w:ilvl="0">
      <w:lvlJc w:val="left"/>
      <w:lvlText w:val="ü"/>
      <w:numFmt w:val="bullet"/>
      <w:start w:val="1"/>
    </w:lvl>
  </w:abstractNum>
  <w:abstractNum w:abstractNumId="74">
    <w:nsid w:val="7055A5F5"/>
    <w:multiLevelType w:val="hybridMultilevel"/>
    <w:lvl w:ilvl="0">
      <w:lvlJc w:val="left"/>
      <w:lvlText w:val="ü"/>
      <w:numFmt w:val="bullet"/>
      <w:start w:val="1"/>
    </w:lvl>
  </w:abstractNum>
  <w:abstractNum w:abstractNumId="75">
    <w:nsid w:val="5FB8370B"/>
    <w:multiLevelType w:val="hybridMultilevel"/>
    <w:lvl w:ilvl="0">
      <w:lvlJc w:val="left"/>
      <w:lvlText w:val="X"/>
      <w:numFmt w:val="bullet"/>
      <w:start w:val="1"/>
    </w:lvl>
  </w:abstractNum>
  <w:abstractNum w:abstractNumId="76">
    <w:nsid w:val="50801EE1"/>
    <w:multiLevelType w:val="hybridMultilevel"/>
    <w:lvl w:ilvl="0">
      <w:lvlJc w:val="left"/>
      <w:lvlText w:val="X"/>
      <w:numFmt w:val="bullet"/>
      <w:start w:val="1"/>
    </w:lvl>
  </w:abstractNum>
  <w:abstractNum w:abstractNumId="77">
    <w:nsid w:val="488AC1A"/>
    <w:multiLevelType w:val="hybridMultilevel"/>
    <w:lvl w:ilvl="0">
      <w:lvlJc w:val="left"/>
      <w:lvlText w:val="X"/>
      <w:numFmt w:val="bullet"/>
      <w:start w:val="1"/>
    </w:lvl>
  </w:abstractNum>
  <w:abstractNum w:abstractNumId="78">
    <w:nsid w:val="5FB8011C"/>
    <w:multiLevelType w:val="hybridMultilevel"/>
    <w:lvl w:ilvl="0">
      <w:lvlJc w:val="left"/>
      <w:lvlText w:val="•"/>
      <w:numFmt w:val="bullet"/>
      <w:start w:val="1"/>
    </w:lvl>
  </w:abstractNum>
  <w:abstractNum w:abstractNumId="79">
    <w:nsid w:val="6AA78F7F"/>
    <w:multiLevelType w:val="hybridMultilevel"/>
    <w:lvl w:ilvl="0">
      <w:lvlJc w:val="left"/>
      <w:lvlText w:val="•"/>
      <w:numFmt w:val="bullet"/>
      <w:start w:val="1"/>
    </w:lvl>
  </w:abstractNum>
  <w:abstractNum w:abstractNumId="80">
    <w:nsid w:val="7672BD23"/>
    <w:multiLevelType w:val="hybridMultilevel"/>
    <w:lvl w:ilvl="0">
      <w:lvlJc w:val="left"/>
      <w:lvlText w:val="(%1)"/>
      <w:numFmt w:val="decimal"/>
      <w:start w:val="1"/>
    </w:lvl>
  </w:abstractNum>
  <w:abstractNum w:abstractNumId="81">
    <w:nsid w:val="6FC75AF8"/>
    <w:multiLevelType w:val="hybridMultilevel"/>
    <w:lvl w:ilvl="0">
      <w:lvlJc w:val="left"/>
      <w:lvlText w:val="(%1)"/>
      <w:numFmt w:val="decimal"/>
      <w:start w:val="1"/>
    </w:lvl>
  </w:abstractNum>
  <w:abstractNum w:abstractNumId="82">
    <w:nsid w:val="6A5F7029"/>
    <w:multiLevelType w:val="hybridMultilevel"/>
    <w:lvl w:ilvl="0">
      <w:lvlJc w:val="left"/>
      <w:lvlText w:val="(%1)"/>
      <w:numFmt w:val="decimal"/>
      <w:start w:val="1"/>
    </w:lvl>
  </w:abstractNum>
  <w:abstractNum w:abstractNumId="83">
    <w:nsid w:val="7D5E18F8"/>
    <w:multiLevelType w:val="hybridMultilevel"/>
    <w:lvl w:ilvl="0">
      <w:lvlJc w:val="left"/>
      <w:lvlText w:val="(%1)"/>
      <w:numFmt w:val="decimal"/>
      <w:start w:val="1"/>
    </w:lvl>
  </w:abstractNum>
  <w:abstractNum w:abstractNumId="84">
    <w:nsid w:val="5F3534A4"/>
    <w:multiLevelType w:val="hybridMultilevel"/>
    <w:lvl w:ilvl="0">
      <w:lvlJc w:val="left"/>
      <w:lvlText w:val="(%1)"/>
      <w:numFmt w:val="decimal"/>
      <w:start w:val="1"/>
    </w:lvl>
  </w:abstractNum>
  <w:abstractNum w:abstractNumId="85">
    <w:nsid w:val="73A1821B"/>
    <w:multiLevelType w:val="hybridMultilevel"/>
    <w:lvl w:ilvl="0">
      <w:lvlJc w:val="left"/>
      <w:lvlText w:val="(%1)"/>
      <w:numFmt w:val="decimal"/>
      <w:start w:val="3"/>
    </w:lvl>
  </w:abstractNum>
  <w:abstractNum w:abstractNumId="86">
    <w:nsid w:val="7DE67713"/>
    <w:multiLevelType w:val="hybridMultilevel"/>
    <w:lvl w:ilvl="0">
      <w:lvlJc w:val="left"/>
      <w:lvlText w:val="(%1)"/>
      <w:numFmt w:val="decimal"/>
      <w:start w:val="1"/>
    </w:lvl>
  </w:abstractNum>
  <w:abstractNum w:abstractNumId="87">
    <w:nsid w:val="555C55B5"/>
    <w:multiLevelType w:val="hybridMultilevel"/>
    <w:lvl w:ilvl="0">
      <w:lvlJc w:val="left"/>
      <w:lvlText w:val="•"/>
      <w:numFmt w:val="bullet"/>
      <w:start w:val="1"/>
    </w:lvl>
  </w:abstractNum>
  <w:abstractNum w:abstractNumId="88">
    <w:nsid w:val="3FA62ACA"/>
    <w:multiLevelType w:val="hybridMultilevel"/>
    <w:lvl w:ilvl="0">
      <w:lvlJc w:val="left"/>
      <w:lvlText w:val="•"/>
      <w:numFmt w:val="bullet"/>
      <w:start w:val="1"/>
    </w:lvl>
  </w:abstractNum>
  <w:abstractNum w:abstractNumId="89">
    <w:nsid w:val="14FCE74E"/>
    <w:multiLevelType w:val="hybridMultilevel"/>
    <w:lvl w:ilvl="0">
      <w:lvlJc w:val="left"/>
      <w:lvlText w:val="•"/>
      <w:numFmt w:val="bullet"/>
      <w:start w:val="1"/>
    </w:lvl>
  </w:abstractNum>
  <w:abstractNum w:abstractNumId="90">
    <w:nsid w:val="6A3DD3E8"/>
    <w:multiLevelType w:val="hybridMultilevel"/>
    <w:lvl w:ilvl="0">
      <w:lvlJc w:val="left"/>
      <w:lvlText w:val="(%1)"/>
      <w:numFmt w:val="decimal"/>
      <w:start w:val="1"/>
    </w:lvl>
  </w:abstractNum>
  <w:abstractNum w:abstractNumId="91">
    <w:nsid w:val="71C91298"/>
    <w:multiLevelType w:val="hybridMultilevel"/>
    <w:lvl w:ilvl="0">
      <w:lvlJc w:val="left"/>
      <w:lvlText w:val="•"/>
      <w:numFmt w:val="bullet"/>
      <w:start w:val="1"/>
    </w:lvl>
  </w:abstractNum>
  <w:abstractNum w:abstractNumId="92">
    <w:nsid w:val="9DAF632"/>
    <w:multiLevelType w:val="hybridMultilevel"/>
    <w:lvl w:ilvl="0">
      <w:lvlJc w:val="left"/>
      <w:lvlText w:val="(%1)"/>
      <w:numFmt w:val="decimal"/>
      <w:start w:val="2"/>
    </w:lvl>
  </w:abstractNum>
  <w:abstractNum w:abstractNumId="93">
    <w:nsid w:val="53299938"/>
    <w:multiLevelType w:val="hybridMultilevel"/>
    <w:lvl w:ilvl="0">
      <w:lvlJc w:val="left"/>
      <w:lvlText w:val="•"/>
      <w:numFmt w:val="bullet"/>
      <w:start w:val="1"/>
    </w:lvl>
  </w:abstractNum>
  <w:abstractNum w:abstractNumId="94">
    <w:nsid w:val="1FBFE8E0"/>
    <w:multiLevelType w:val="hybridMultilevel"/>
    <w:lvl w:ilvl="0">
      <w:lvlJc w:val="left"/>
      <w:lvlText w:val="•"/>
      <w:numFmt w:val="bullet"/>
      <w:start w:val="1"/>
    </w:lvl>
  </w:abstractNum>
  <w:abstractNum w:abstractNumId="95">
    <w:nsid w:val="5092CA79"/>
    <w:multiLevelType w:val="hybridMultilevel"/>
    <w:lvl w:ilvl="0">
      <w:lvlJc w:val="left"/>
      <w:lvlText w:val="(%1)"/>
      <w:numFmt w:val="decimal"/>
      <w:start w:val="1"/>
    </w:lvl>
  </w:abstractNum>
  <w:abstractNum w:abstractNumId="96">
    <w:nsid w:val="1D545C4D"/>
    <w:multiLevelType w:val="hybridMultilevel"/>
    <w:lvl w:ilvl="0">
      <w:lvlJc w:val="left"/>
      <w:lvlText w:val="•"/>
      <w:numFmt w:val="bullet"/>
      <w:start w:val="1"/>
    </w:lvl>
  </w:abstractNum>
  <w:abstractNum w:abstractNumId="97">
    <w:nsid w:val="59ADEA3D"/>
    <w:multiLevelType w:val="hybridMultilevel"/>
    <w:lvl w:ilvl="0">
      <w:lvlJc w:val="left"/>
      <w:lvlText w:val="(%1)"/>
      <w:numFmt w:val="decimal"/>
      <w:start w:val="1"/>
    </w:lvl>
  </w:abstractNum>
  <w:abstractNum w:abstractNumId="98">
    <w:nsid w:val="288F1A34"/>
    <w:multiLevelType w:val="hybridMultilevel"/>
    <w:lvl w:ilvl="0">
      <w:lvlJc w:val="left"/>
      <w:lvlText w:val="(%1)"/>
      <w:numFmt w:val="decimal"/>
      <w:start w:val="1"/>
    </w:lvl>
  </w:abstractNum>
  <w:abstractNum w:abstractNumId="99">
    <w:nsid w:val="2A155DBC"/>
    <w:multiLevelType w:val="hybridMultilevel"/>
    <w:lvl w:ilvl="0">
      <w:lvlJc w:val="left"/>
      <w:lvlText w:val="(%1)"/>
      <w:numFmt w:val="decimal"/>
      <w:start w:val="1"/>
    </w:lvl>
  </w:abstractNum>
  <w:abstractNum w:abstractNumId="100">
    <w:nsid w:val="1D9F6E5F"/>
    <w:multiLevelType w:val="hybridMultilevel"/>
    <w:lvl w:ilvl="0">
      <w:lvlJc w:val="left"/>
      <w:lvlText w:val="•"/>
      <w:numFmt w:val="bullet"/>
      <w:start w:val="1"/>
    </w:lvl>
  </w:abstractNum>
  <w:abstractNum w:abstractNumId="101">
    <w:nsid w:val="97E1B4E"/>
    <w:multiLevelType w:val="hybridMultilevel"/>
    <w:lvl w:ilvl="0">
      <w:lvlJc w:val="left"/>
      <w:lvlText w:val="(%1)"/>
      <w:numFmt w:val="decimal"/>
      <w:start w:val="1"/>
    </w:lvl>
  </w:abstractNum>
  <w:abstractNum w:abstractNumId="102">
    <w:nsid w:val="51088277"/>
    <w:multiLevelType w:val="hybridMultilevel"/>
    <w:lvl w:ilvl="0">
      <w:lvlJc w:val="left"/>
      <w:lvlText w:val="•"/>
      <w:numFmt w:val="bullet"/>
      <w:start w:val="1"/>
    </w:lvl>
  </w:abstractNum>
  <w:abstractNum w:abstractNumId="103">
    <w:nsid w:val="1CA0C5FA"/>
    <w:multiLevelType w:val="hybridMultilevel"/>
    <w:lvl w:ilvl="0">
      <w:lvlJc w:val="left"/>
      <w:lvlText w:val="•"/>
      <w:numFmt w:val="bullet"/>
      <w:start w:val="1"/>
    </w:lvl>
  </w:abstractNum>
  <w:abstractNum w:abstractNumId="104">
    <w:nsid w:val="53584BCB"/>
    <w:multiLevelType w:val="hybridMultilevel"/>
    <w:lvl w:ilvl="0">
      <w:lvlJc w:val="left"/>
      <w:lvlText w:val="•"/>
      <w:numFmt w:val="bullet"/>
      <w:start w:val="1"/>
    </w:lvl>
  </w:abstractNum>
  <w:abstractNum w:abstractNumId="105">
    <w:nsid w:val="415E286C"/>
    <w:multiLevelType w:val="hybridMultilevel"/>
    <w:lvl w:ilvl="0">
      <w:lvlJc w:val="left"/>
      <w:lvlText w:val="(%1)"/>
      <w:numFmt w:val="decimal"/>
      <w:start w:val="1"/>
    </w:lvl>
  </w:abstractNum>
  <w:abstractNum w:abstractNumId="106">
    <w:nsid w:val="7C58FD05"/>
    <w:multiLevelType w:val="hybridMultilevel"/>
    <w:lvl w:ilvl="0">
      <w:lvlJc w:val="left"/>
      <w:lvlText w:val="•"/>
      <w:numFmt w:val="bullet"/>
      <w:start w:val="1"/>
    </w:lvl>
  </w:abstractNum>
  <w:abstractNum w:abstractNumId="107">
    <w:nsid w:val="23D86AAC"/>
    <w:multiLevelType w:val="hybridMultilevel"/>
    <w:lvl w:ilvl="0">
      <w:lvlJc w:val="left"/>
      <w:lvlText w:val="•"/>
      <w:numFmt w:val="bullet"/>
      <w:start w:val="1"/>
    </w:lvl>
  </w:abstractNum>
  <w:abstractNum w:abstractNumId="108">
    <w:nsid w:val="45E6D486"/>
    <w:multiLevelType w:val="hybridMultilevel"/>
    <w:lvl w:ilvl="0">
      <w:lvlJc w:val="left"/>
      <w:lvlText w:val="•"/>
      <w:numFmt w:val="bullet"/>
      <w:start w:val="1"/>
    </w:lvl>
  </w:abstractNum>
  <w:abstractNum w:abstractNumId="109">
    <w:nsid w:val="5C10FE21"/>
    <w:multiLevelType w:val="hybridMultilevel"/>
    <w:lvl w:ilvl="0">
      <w:lvlJc w:val="left"/>
      <w:lvlText w:val="•"/>
      <w:numFmt w:val="bullet"/>
      <w:start w:val="1"/>
    </w:lvl>
  </w:abstractNum>
  <w:abstractNum w:abstractNumId="110">
    <w:nsid w:val="E7FFA2B"/>
    <w:multiLevelType w:val="hybridMultilevel"/>
    <w:lvl w:ilvl="0">
      <w:lvlJc w:val="left"/>
      <w:lvlText w:val="•"/>
      <w:numFmt w:val="bullet"/>
      <w:start w:val="1"/>
    </w:lvl>
  </w:abstractNum>
  <w:abstractNum w:abstractNumId="111">
    <w:nsid w:val="3C5991AA"/>
    <w:multiLevelType w:val="hybridMultilevel"/>
    <w:lvl w:ilvl="0">
      <w:lvlJc w:val="left"/>
      <w:lvlText w:val="(%1)"/>
      <w:numFmt w:val="decimal"/>
      <w:start w:val="1"/>
    </w:lvl>
  </w:abstractNum>
  <w:abstractNum w:abstractNumId="112">
    <w:nsid w:val="4BD8591A"/>
    <w:multiLevelType w:val="hybridMultilevel"/>
    <w:lvl w:ilvl="0">
      <w:lvlJc w:val="left"/>
      <w:lvlText w:val="(%1)"/>
      <w:numFmt w:val="decimal"/>
      <w:start w:val="1"/>
    </w:lvl>
  </w:abstractNum>
  <w:abstractNum w:abstractNumId="113">
    <w:nsid w:val="78DF6A55"/>
    <w:multiLevelType w:val="hybridMultilevel"/>
    <w:lvl w:ilvl="0">
      <w:lvlJc w:val="left"/>
      <w:lvlText w:val="(%1)"/>
      <w:numFmt w:val="decimal"/>
      <w:start w:val="1"/>
    </w:lvl>
  </w:abstractNum>
  <w:abstractNum w:abstractNumId="114">
    <w:nsid w:val="39B7AAA2"/>
    <w:multiLevelType w:val="hybridMultilevel"/>
    <w:lvl w:ilvl="0">
      <w:lvlJc w:val="left"/>
      <w:lvlText w:val="%1."/>
      <w:numFmt w:val="decimal"/>
      <w:start w:val="1"/>
    </w:lvl>
    <w:lvl w:ilvl="1">
      <w:lvlJc w:val="left"/>
      <w:lvlText w:val="%2)"/>
      <w:numFmt w:val="decimal"/>
      <w:start w:val="1"/>
    </w:lvl>
  </w:abstractNum>
  <w:abstractNum w:abstractNumId="115">
    <w:nsid w:val="2B0D8DBE"/>
    <w:multiLevelType w:val="hybridMultilevel"/>
    <w:lvl w:ilvl="0">
      <w:lvlJc w:val="left"/>
      <w:lvlText w:val="%1)"/>
      <w:numFmt w:val="decimal"/>
      <w:start w:val="2"/>
    </w:lvl>
  </w:abstractNum>
  <w:abstractNum w:abstractNumId="116">
    <w:nsid w:val="6C80EC70"/>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2020-01-14T20:34:55Z</dcterms:created>
  <dcterms:modified xsi:type="dcterms:W3CDTF">2020-01-14T20:34:55Z</dcterms:modified>
</cp:coreProperties>
</file>