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760"/>
        <w:spacing w:after="0"/>
        <w:rPr>
          <w:sz w:val="20"/>
          <w:szCs w:val="20"/>
          <w:color w:val="auto"/>
        </w:rPr>
      </w:pPr>
      <w:r>
        <w:rPr>
          <w:rFonts w:ascii="Arial" w:cs="Arial" w:eastAsia="Arial" w:hAnsi="Arial"/>
          <w:sz w:val="22"/>
          <w:szCs w:val="22"/>
          <w:color w:val="auto"/>
        </w:rPr>
        <w:t>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____________________________________</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10, 2018</w:t>
      </w:r>
    </w:p>
    <w:p>
      <w:pPr>
        <w:spacing w:after="0" w:line="118" w:lineRule="exact"/>
        <w:rPr>
          <w:sz w:val="24"/>
          <w:szCs w:val="24"/>
          <w:color w:val="auto"/>
        </w:rPr>
      </w:pPr>
    </w:p>
    <w:p>
      <w:pPr>
        <w:ind w:left="3820"/>
        <w:spacing w:after="0"/>
        <w:rPr>
          <w:sz w:val="20"/>
          <w:szCs w:val="20"/>
          <w:color w:val="auto"/>
        </w:rPr>
      </w:pPr>
      <w:r>
        <w:rPr>
          <w:rFonts w:ascii="Arial" w:cs="Arial" w:eastAsia="Arial" w:hAnsi="Arial"/>
          <w:sz w:val="22"/>
          <w:szCs w:val="22"/>
          <w:color w:val="auto"/>
        </w:rPr>
        <w:t>____________________________________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BWX TECHNOLOGIES, INC.</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8"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____________________________________</w:t>
      </w:r>
    </w:p>
    <w:p>
      <w:pPr>
        <w:spacing w:after="0" w:line="245"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right="214"/>
              <w:spacing w:after="0"/>
              <w:rPr>
                <w:sz w:val="20"/>
                <w:szCs w:val="20"/>
                <w:color w:val="auto"/>
              </w:rPr>
            </w:pPr>
            <w:r>
              <w:rPr>
                <w:rFonts w:ascii="Arial" w:cs="Arial" w:eastAsia="Arial" w:hAnsi="Arial"/>
                <w:sz w:val="18"/>
                <w:szCs w:val="18"/>
                <w:b w:val="1"/>
                <w:bCs w:val="1"/>
                <w:color w:val="auto"/>
                <w:w w:val="90"/>
              </w:rPr>
              <w:t>001-34658</w:t>
            </w:r>
          </w:p>
        </w:tc>
        <w:tc>
          <w:tcPr>
            <w:tcW w:w="1500" w:type="dxa"/>
            <w:vAlign w:val="bottom"/>
          </w:tcPr>
          <w:p>
            <w:pPr>
              <w:jc w:val="right"/>
              <w:ind w:right="41"/>
              <w:spacing w:after="0"/>
              <w:rPr>
                <w:sz w:val="20"/>
                <w:szCs w:val="20"/>
                <w:color w:val="auto"/>
              </w:rPr>
            </w:pPr>
            <w:r>
              <w:rPr>
                <w:rFonts w:ascii="Arial" w:cs="Arial" w:eastAsia="Arial" w:hAnsi="Arial"/>
                <w:sz w:val="18"/>
                <w:szCs w:val="18"/>
                <w:b w:val="1"/>
                <w:bCs w:val="1"/>
                <w:color w:val="auto"/>
              </w:rPr>
              <w:t>80-0558025</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w:t>
            </w:r>
          </w:p>
        </w:tc>
        <w:tc>
          <w:tcPr>
            <w:tcW w:w="5560" w:type="dxa"/>
            <w:vAlign w:val="bottom"/>
          </w:tcPr>
          <w:p>
            <w:pPr>
              <w:jc w:val="center"/>
              <w:ind w:right="214"/>
              <w:spacing w:after="0"/>
              <w:rPr>
                <w:sz w:val="20"/>
                <w:szCs w:val="20"/>
                <w:color w:val="auto"/>
              </w:rPr>
            </w:pPr>
            <w:r>
              <w:rPr>
                <w:rFonts w:ascii="Arial" w:cs="Arial" w:eastAsia="Arial" w:hAnsi="Arial"/>
                <w:sz w:val="14"/>
                <w:szCs w:val="14"/>
                <w:b w:val="1"/>
                <w:bCs w:val="1"/>
                <w:color w:val="auto"/>
                <w:w w:val="92"/>
              </w:rPr>
              <w:t>(Commission</w:t>
            </w:r>
          </w:p>
        </w:tc>
        <w:tc>
          <w:tcPr>
            <w:tcW w:w="1500" w:type="dxa"/>
            <w:vAlign w:val="bottom"/>
          </w:tcPr>
          <w:p>
            <w:pPr>
              <w:jc w:val="center"/>
              <w:ind w:left="301"/>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of incorporation)</w:t>
            </w:r>
          </w:p>
        </w:tc>
        <w:tc>
          <w:tcPr>
            <w:tcW w:w="5560" w:type="dxa"/>
            <w:vAlign w:val="bottom"/>
          </w:tcPr>
          <w:p>
            <w:pPr>
              <w:jc w:val="center"/>
              <w:ind w:right="214"/>
              <w:spacing w:after="0"/>
              <w:rPr>
                <w:sz w:val="20"/>
                <w:szCs w:val="20"/>
                <w:color w:val="auto"/>
              </w:rPr>
            </w:pPr>
            <w:r>
              <w:rPr>
                <w:rFonts w:ascii="Arial" w:cs="Arial" w:eastAsia="Arial" w:hAnsi="Arial"/>
                <w:sz w:val="14"/>
                <w:szCs w:val="14"/>
                <w:b w:val="1"/>
                <w:bCs w:val="1"/>
                <w:color w:val="auto"/>
                <w:w w:val="95"/>
              </w:rPr>
              <w:t>File Number)</w:t>
            </w:r>
          </w:p>
        </w:tc>
        <w:tc>
          <w:tcPr>
            <w:tcW w:w="1500" w:type="dxa"/>
            <w:vAlign w:val="bottom"/>
          </w:tcPr>
          <w:p>
            <w:pPr>
              <w:jc w:val="center"/>
              <w:ind w:left="301"/>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800 Main Street, 4</w:t>
            </w:r>
            <w:r>
              <w:rPr>
                <w:rFonts w:ascii="Arial" w:cs="Arial" w:eastAsia="Arial" w:hAnsi="Arial"/>
                <w:sz w:val="16"/>
                <w:szCs w:val="16"/>
                <w:b w:val="1"/>
                <w:bCs w:val="1"/>
                <w:color w:val="auto"/>
                <w:w w:val="92"/>
              </w:rPr>
              <w:t>th</w:t>
            </w:r>
            <w:r>
              <w:rPr>
                <w:rFonts w:ascii="Arial" w:cs="Arial" w:eastAsia="Arial" w:hAnsi="Arial"/>
                <w:sz w:val="18"/>
                <w:szCs w:val="18"/>
                <w:b w:val="1"/>
                <w:bCs w:val="1"/>
                <w:color w:val="auto"/>
                <w:w w:val="92"/>
              </w:rPr>
              <w:t xml:space="preserve"> Floor</w:t>
            </w:r>
          </w:p>
        </w:tc>
        <w:tc>
          <w:tcPr>
            <w:tcW w:w="5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Lynchburg, Virginia</w:t>
            </w:r>
          </w:p>
        </w:tc>
        <w:tc>
          <w:tcPr>
            <w:tcW w:w="5560" w:type="dxa"/>
            <w:vAlign w:val="bottom"/>
          </w:tcPr>
          <w:p>
            <w:pPr>
              <w:spacing w:after="0"/>
              <w:rPr>
                <w:sz w:val="20"/>
                <w:szCs w:val="20"/>
                <w:color w:val="auto"/>
              </w:rPr>
            </w:pP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24504</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560" w:type="dxa"/>
            <w:vAlign w:val="bottom"/>
          </w:tcPr>
          <w:p>
            <w:pPr>
              <w:spacing w:after="0"/>
              <w:rPr>
                <w:sz w:val="18"/>
                <w:szCs w:val="18"/>
                <w:color w:val="auto"/>
              </w:rPr>
            </w:pPr>
          </w:p>
        </w:tc>
        <w:tc>
          <w:tcPr>
            <w:tcW w:w="1500" w:type="dxa"/>
            <w:vAlign w:val="bottom"/>
          </w:tcPr>
          <w:p>
            <w:pPr>
              <w:jc w:val="center"/>
              <w:ind w:left="301"/>
              <w:spacing w:after="0"/>
              <w:rPr>
                <w:sz w:val="20"/>
                <w:szCs w:val="20"/>
                <w:color w:val="auto"/>
              </w:rPr>
            </w:pPr>
            <w:r>
              <w:rPr>
                <w:rFonts w:ascii="Arial" w:cs="Arial" w:eastAsia="Arial" w:hAnsi="Arial"/>
                <w:sz w:val="14"/>
                <w:szCs w:val="14"/>
                <w:b w:val="1"/>
                <w:bCs w:val="1"/>
                <w:color w:val="auto"/>
                <w:w w:val="98"/>
              </w:rPr>
              <w:t>(Zip Code)</w:t>
            </w:r>
          </w:p>
        </w:tc>
      </w:tr>
      <w:tr>
        <w:trPr>
          <w:trHeight w:val="504"/>
        </w:trPr>
        <w:tc>
          <w:tcPr>
            <w:tcW w:w="2460" w:type="dxa"/>
            <w:vAlign w:val="bottom"/>
          </w:tcPr>
          <w:p>
            <w:pPr>
              <w:spacing w:after="0"/>
              <w:rPr>
                <w:sz w:val="24"/>
                <w:szCs w:val="24"/>
                <w:color w:val="auto"/>
              </w:rPr>
            </w:pPr>
          </w:p>
        </w:tc>
        <w:tc>
          <w:tcPr>
            <w:tcW w:w="5560" w:type="dxa"/>
            <w:vAlign w:val="bottom"/>
          </w:tcPr>
          <w:p>
            <w:pPr>
              <w:jc w:val="center"/>
              <w:ind w:right="234"/>
              <w:spacing w:after="0"/>
              <w:rPr>
                <w:sz w:val="20"/>
                <w:szCs w:val="20"/>
                <w:color w:val="auto"/>
              </w:rPr>
            </w:pPr>
            <w:r>
              <w:rPr>
                <w:rFonts w:ascii="Arial" w:cs="Arial" w:eastAsia="Arial" w:hAnsi="Arial"/>
                <w:sz w:val="18"/>
                <w:szCs w:val="18"/>
                <w:b w:val="1"/>
                <w:bCs w:val="1"/>
                <w:color w:val="auto"/>
                <w:w w:val="89"/>
              </w:rPr>
              <w:t>Registrant’s telephone number, including area code (980) 365-4300</w:t>
            </w:r>
          </w:p>
        </w:tc>
        <w:tc>
          <w:tcPr>
            <w:tcW w:w="1500" w:type="dxa"/>
            <w:vAlign w:val="bottom"/>
          </w:tcPr>
          <w:p>
            <w:pPr>
              <w:spacing w:after="0"/>
              <w:rPr>
                <w:sz w:val="24"/>
                <w:szCs w:val="24"/>
                <w:color w:val="auto"/>
              </w:rPr>
            </w:pPr>
          </w:p>
        </w:tc>
      </w:tr>
      <w:tr>
        <w:trPr>
          <w:trHeight w:val="275"/>
        </w:trPr>
        <w:tc>
          <w:tcPr>
            <w:tcW w:w="2460" w:type="dxa"/>
            <w:vAlign w:val="bottom"/>
          </w:tcPr>
          <w:p>
            <w:pPr>
              <w:spacing w:after="0"/>
              <w:rPr>
                <w:sz w:val="23"/>
                <w:szCs w:val="23"/>
                <w:color w:val="auto"/>
              </w:rPr>
            </w:pPr>
          </w:p>
        </w:tc>
        <w:tc>
          <w:tcPr>
            <w:tcW w:w="5560" w:type="dxa"/>
            <w:vAlign w:val="bottom"/>
          </w:tcPr>
          <w:p>
            <w:pPr>
              <w:jc w:val="center"/>
              <w:ind w:right="194"/>
              <w:spacing w:after="0"/>
              <w:rPr>
                <w:sz w:val="20"/>
                <w:szCs w:val="20"/>
                <w:color w:val="auto"/>
              </w:rPr>
            </w:pPr>
            <w:r>
              <w:rPr>
                <w:rFonts w:ascii="Arial" w:cs="Arial" w:eastAsia="Arial" w:hAnsi="Arial"/>
                <w:sz w:val="22"/>
                <w:szCs w:val="22"/>
                <w:color w:val="auto"/>
                <w:w w:val="88"/>
              </w:rPr>
              <w:t>____________________________________</w:t>
            </w:r>
          </w:p>
        </w:tc>
        <w:tc>
          <w:tcPr>
            <w:tcW w:w="1500" w:type="dxa"/>
            <w:vAlign w:val="bottom"/>
          </w:tcPr>
          <w:p>
            <w:pPr>
              <w:spacing w:after="0"/>
              <w:rPr>
                <w:sz w:val="23"/>
                <w:szCs w:val="23"/>
                <w:color w:val="auto"/>
              </w:rPr>
            </w:pPr>
          </w:p>
        </w:tc>
      </w:tr>
    </w:tbl>
    <w:p>
      <w:pPr>
        <w:spacing w:after="0" w:line="19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ectPr>
          <w:pgSz w:w="11900" w:h="16838" w:orient="portrait"/>
          <w:cols w:equalWidth="0" w:num="1">
            <w:col w:w="11400"/>
          </w:cols>
          <w:pgMar w:left="240" w:top="895" w:right="259" w:bottom="1440" w:gutter="0" w:footer="0" w:header="0"/>
        </w:sectPr>
      </w:pPr>
    </w:p>
    <w:p>
      <w:pPr>
        <w:spacing w:after="0" w:line="354"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305" w:lineRule="exact"/>
        <w:rPr>
          <w:sz w:val="24"/>
          <w:szCs w:val="24"/>
          <w:color w:val="auto"/>
        </w:rPr>
      </w:pPr>
    </w:p>
    <w:p>
      <w:pPr>
        <w:sectPr>
          <w:pgSz w:w="11900" w:h="16838" w:orient="portrait"/>
          <w:cols w:equalWidth="0" w:num="2">
            <w:col w:w="200" w:space="520"/>
            <w:col w:w="10680"/>
          </w:cols>
          <w:pgMar w:left="240" w:top="895" w:right="259" w:bottom="1440" w:gutter="0" w:footer="0" w:header="0"/>
          <w:type w:val="continuous"/>
        </w:sectPr>
      </w:pPr>
    </w:p>
    <w:p>
      <w:pPr>
        <w:spacing w:after="0" w:line="2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895" w:right="259" w:bottom="1440" w:gutter="0" w:footer="0" w:header="0"/>
          <w:type w:val="continuous"/>
        </w:sectPr>
      </w:pPr>
    </w:p>
    <w:bookmarkStart w:id="1" w:name="page2"/>
    <w:bookmarkEnd w:id="1"/>
    <w:p>
      <w:pPr>
        <w:ind w:left="980" w:right="740" w:hanging="971"/>
        <w:spacing w:after="0" w:line="267" w:lineRule="auto"/>
        <w:tabs>
          <w:tab w:leader="none" w:pos="96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previously disclosed by BWX Technologies, Inc. (“BWXT” or the “Company”) in a Current Report on Form 8-K filed with the Securities and Exchange Commission (the “SEC”) on April 23, 2018, Joseph G. Henry, President of BWXT Nuclear Operations Group, Inc. (“BWXT NOG”), a subsidiary of the Company, announced his intention to retire.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May 9, 2018, Joel W. Duling (age 55) was appointed President of BWXT NOG, effective June 22, 2018. Mr. Duling has served as President of Nuclear Fuel Services, Inc., a subsidiary of the Company, since 2014. A copy of the Company’s press release, dated May 10, 2018, is attached hereto and incorporated herein as Exhibit 99.1.</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connection with his appointment as President of BWXT NOG, Mr. Duling will receive an annual base salary of $450,000 and participate in the Company’s Executive Incentive Compensation Plan with a total annual cash target bonus opportunity of 65% of his base salary, effective May 1, 2018. He also received a one-time promotional long-term equity award of performance restricted stock units (60%) and restricted stock units (40%) with an award value equal to $300,000, which is subject to the terms and conditions of the applicable grant agreements and the Company’s 2010 Long-Term Incentive Plan, as amended. Mr. Duling will be offered the opportunity to enter into a new change in control agreement with the Company providing for a cash severance upon a qualifying termination following a change in control (as defined in the change in control agreement) equal to two times (2x) the sum of his base salary and target bonus, subject to non-competition and non-solicitation provisions for two years. A copy of the form of change in control agreement is attached as Exhibit 10.7 to the Company’s Annual Report on Form 10-K for the year ended December 31, 2017 filed with the SEC on February 27, 2018. In addition, Mr. Duling will be eligible to receive benefits under the Company’s relocation plan. Additional information about these and other benefit plans and programs generally available to the Company’s executive officers is included in the Company’s 2018 Proxy Statement for the annual meeting of stockholders filed with the SEC on March 23, 2018.</w:t>
      </w:r>
    </w:p>
    <w:p>
      <w:pPr>
        <w:spacing w:after="0" w:line="19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Additionally, there are no arrangements or understandings between Mr. Duling and any other person pursuant to which he was appointed to his position, nor does he have an interest in any transactions requiring disclosure under Item 404(a) of Regulation S-K.</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As previously disclosed by the Company in a Current Report on Form 8-K filed with the SEC on March 12, 2018, James D. Canafax, Senior Vice President, General Counsel, Chief Compliance Officer and Corporate Secretary, notified the Company of his intention to resign his position, which became effective May 8, 2018. Ronald O. Whitford, Jr., Deputy General Counsel, Corporate Governance, Securities and Compliance, and Assistant Secretary will serve as the Acting General Counsel and Secretary until a permanent successor is named.</w:t>
      </w:r>
    </w:p>
    <w:p>
      <w:pPr>
        <w:spacing w:after="0" w:line="175"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i w:val="1"/>
          <w:iCs w:val="1"/>
          <w:color w:val="auto"/>
        </w:rPr>
        <w:t>The Company cautions that this report contains forward-looking statements, including, without limitation, statements relating to the planned transition of the BWXT NOG’s President and the Company’s General Counsel. These forward-looking statements involve a number of risks and uncertainties, including, among other things, unforeseen personnel changes, changes in our business plan or the industries in which we operate. If one or more of these or other risks materialize, actual results may vary materially from those expected. For a more complete discussion of these and other risk factors, please see our annual report on Form 10-K for the year ended December 31, 2017 and subsequent quarterly reports on Form 10-Q filed with the Securities and Exchange Commission. The Company cautions you not to place undue reliance on these forward-looking statements, which speak only as of the date hereof, and undertakes no obligation to update or revise any forward-looking statement, except to the extent required by applicable law.</w:t>
      </w:r>
    </w:p>
    <w:p>
      <w:pPr>
        <w:sectPr>
          <w:pgSz w:w="11900" w:h="16838" w:orient="portrait"/>
          <w:cols w:equalWidth="0" w:num="1">
            <w:col w:w="11420"/>
          </w:cols>
          <w:pgMar w:left="240" w:top="832"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980" w:hanging="432"/>
        <w:spacing w:after="0"/>
        <w:tabs>
          <w:tab w:leader="none" w:pos="980" w:val="left"/>
        </w:tabs>
        <w:numPr>
          <w:ilvl w:val="0"/>
          <w:numId w:val="1"/>
        </w:numPr>
        <w:rPr>
          <w:rFonts w:ascii="Arial" w:cs="Arial" w:eastAsia="Arial" w:hAnsi="Arial"/>
          <w:sz w:val="20"/>
          <w:szCs w:val="20"/>
          <w:color w:val="auto"/>
        </w:rPr>
      </w:pPr>
      <w:r>
        <w:rPr>
          <w:rFonts w:ascii="Arial" w:cs="Arial" w:eastAsia="Arial" w:hAnsi="Arial"/>
          <w:sz w:val="20"/>
          <w:szCs w:val="20"/>
          <w:color w:val="auto"/>
        </w:rPr>
        <w:t>Exhibits</w:t>
      </w:r>
    </w:p>
    <w:p>
      <w:pPr>
        <w:spacing w:after="0" w:line="229" w:lineRule="exact"/>
        <w:rPr>
          <w:sz w:val="20"/>
          <w:szCs w:val="20"/>
          <w:color w:val="auto"/>
        </w:rPr>
      </w:pPr>
    </w:p>
    <w:p>
      <w:pPr>
        <w:jc w:val="right"/>
        <w:ind w:right="5979"/>
        <w:spacing w:after="0"/>
        <w:tabs>
          <w:tab w:leader="none" w:pos="276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5">
        <w:r>
          <w:rPr>
            <w:rFonts w:ascii="Arial" w:cs="Arial" w:eastAsia="Arial" w:hAnsi="Arial"/>
            <w:sz w:val="16"/>
            <w:szCs w:val="16"/>
            <w:u w:val="single" w:color="auto"/>
            <w:color w:val="0000FF"/>
          </w:rPr>
          <w:t>Press Release dated May 10, 2018</w:t>
        </w:r>
      </w:hyperlink>
      <w:r>
        <w:rPr>
          <w:rFonts w:ascii="Arial" w:cs="Arial" w:eastAsia="Arial" w:hAnsi="Arial"/>
          <w:sz w:val="16"/>
          <w:szCs w:val="16"/>
          <w:color w:val="000000"/>
        </w:rPr>
        <w:t>.</w:t>
      </w:r>
    </w:p>
    <w:p>
      <w:pPr>
        <w:sectPr>
          <w:pgSz w:w="11900" w:h="16838" w:orient="portrait"/>
          <w:cols w:equalWidth="0" w:num="1">
            <w:col w:w="10219"/>
          </w:cols>
          <w:pgMar w:left="240" w:top="72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BWX TECHNOLOGIES, INC.</w:t>
      </w:r>
    </w:p>
    <w:p>
      <w:pPr>
        <w:spacing w:after="0" w:line="235"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Jason S.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27305</wp:posOffset>
            </wp:positionV>
            <wp:extent cx="2546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47"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Jason S. Kerr</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Vice President and Chief Accounting Officer</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Date: May 10, 2018</w:t>
      </w:r>
    </w:p>
    <w:p>
      <w:pPr>
        <w:sectPr>
          <w:pgSz w:w="11900" w:h="16838" w:orient="portrait"/>
          <w:cols w:equalWidth="0" w:num="1">
            <w:col w:w="11420"/>
          </w:cols>
          <w:pgMar w:left="240" w:top="72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11430</wp:posOffset>
            </wp:positionV>
            <wp:extent cx="5848985" cy="969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BWXT Names Joel W. Duling</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President of Nuclear Operations Group Subsidiary</w:t>
      </w:r>
    </w:p>
    <w:p>
      <w:pPr>
        <w:spacing w:after="0" w:line="242" w:lineRule="exact"/>
        <w:rPr>
          <w:sz w:val="20"/>
          <w:szCs w:val="20"/>
          <w:color w:val="auto"/>
        </w:rPr>
      </w:pPr>
    </w:p>
    <w:p>
      <w:pPr>
        <w:ind w:right="340"/>
        <w:spacing w:after="0" w:line="343" w:lineRule="auto"/>
        <w:rPr>
          <w:sz w:val="20"/>
          <w:szCs w:val="20"/>
          <w:color w:val="auto"/>
        </w:rPr>
      </w:pPr>
      <w:r>
        <w:rPr>
          <w:rFonts w:ascii="Arial" w:cs="Arial" w:eastAsia="Arial" w:hAnsi="Arial"/>
          <w:sz w:val="19"/>
          <w:szCs w:val="19"/>
          <w:color w:val="auto"/>
        </w:rPr>
        <w:t>(LYNCHBURG, Va. - May 10, 2018) - BWX Technologies, Inc. (NYSE:BWXT) announced today that Joel W. Duling has been appointed to succeed retiring BWXT Nuclear Operations Group, Inc. President Joseph G. Henry effective June 22, 2018.</w:t>
      </w:r>
    </w:p>
    <w:p>
      <w:pPr>
        <w:spacing w:after="0" w:line="145" w:lineRule="exact"/>
        <w:rPr>
          <w:sz w:val="20"/>
          <w:szCs w:val="20"/>
          <w:color w:val="auto"/>
        </w:rPr>
      </w:pPr>
    </w:p>
    <w:p>
      <w:pPr>
        <w:jc w:val="both"/>
        <w:ind w:right="60"/>
        <w:spacing w:after="0" w:line="271" w:lineRule="auto"/>
        <w:rPr>
          <w:sz w:val="20"/>
          <w:szCs w:val="20"/>
          <w:color w:val="auto"/>
        </w:rPr>
      </w:pPr>
      <w:r>
        <w:rPr>
          <w:rFonts w:ascii="Arial" w:cs="Arial" w:eastAsia="Arial" w:hAnsi="Arial"/>
          <w:sz w:val="21"/>
          <w:szCs w:val="21"/>
          <w:color w:val="auto"/>
        </w:rPr>
        <w:t>Currently, Duling serves as President of BWXT subsidiary Nuclear Fuel Services, Inc. in Erwin, Tennessee. He has nearly 30 years of leadership and management experience in the manufacturing and nuclear industries including reactor operations, nuclear facility operations, armor and steel manufacturing, safety, environmental compliance and remediation.</w:t>
      </w:r>
    </w:p>
    <w:p>
      <w:pPr>
        <w:spacing w:after="0" w:line="208"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rPr>
        <w:t>"I am exceedingly pleased that Joel has agreed to step up and take on a new and very crucial role for our company," said Rex D. Geveden, BWXT’s President and Chief Executive Officer. "Joel is intimately familiar with our nuclear operations and brings exceptional credentials into this job.</w:t>
      </w:r>
    </w:p>
    <w:p>
      <w:pPr>
        <w:spacing w:after="0" w:line="226"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"We also wish Joe Henry all the best in retirement. As a retired Two-Star Admiral with the U.S. Navy, Joe brought tremendous operational discipline and leadership to BWXT. He will be missed."</w:t>
      </w:r>
    </w:p>
    <w:p>
      <w:pPr>
        <w:spacing w:after="0" w:line="215" w:lineRule="exact"/>
        <w:rPr>
          <w:sz w:val="20"/>
          <w:szCs w:val="20"/>
          <w:color w:val="auto"/>
        </w:rPr>
      </w:pPr>
    </w:p>
    <w:p>
      <w:pPr>
        <w:ind w:right="480"/>
        <w:spacing w:after="0" w:line="343" w:lineRule="auto"/>
        <w:rPr>
          <w:sz w:val="20"/>
          <w:szCs w:val="20"/>
          <w:color w:val="auto"/>
        </w:rPr>
      </w:pPr>
      <w:r>
        <w:rPr>
          <w:rFonts w:ascii="Arial" w:cs="Arial" w:eastAsia="Arial" w:hAnsi="Arial"/>
          <w:sz w:val="19"/>
          <w:szCs w:val="19"/>
          <w:color w:val="auto"/>
        </w:rPr>
        <w:t>Prior to joining NFS in 2013 as Director of Operations, Duling was Vice President of Production at the Y-12 National Security Complex where he was responsible for the refurbishment of nuclear weapons components for the nation’s nuclear deterrent.</w:t>
      </w:r>
    </w:p>
    <w:p>
      <w:pPr>
        <w:spacing w:after="0" w:line="145" w:lineRule="exact"/>
        <w:rPr>
          <w:sz w:val="20"/>
          <w:szCs w:val="20"/>
          <w:color w:val="auto"/>
        </w:rPr>
      </w:pPr>
    </w:p>
    <w:p>
      <w:pPr>
        <w:ind w:right="260"/>
        <w:spacing w:after="0" w:line="312" w:lineRule="auto"/>
        <w:rPr>
          <w:sz w:val="20"/>
          <w:szCs w:val="20"/>
          <w:color w:val="auto"/>
        </w:rPr>
      </w:pPr>
      <w:r>
        <w:rPr>
          <w:rFonts w:ascii="Arial" w:cs="Arial" w:eastAsia="Arial" w:hAnsi="Arial"/>
          <w:sz w:val="19"/>
          <w:szCs w:val="19"/>
          <w:color w:val="auto"/>
        </w:rPr>
        <w:t>Other nuclear leadership roles include serving as Director of the Specific Manufacturing Capability Project at Idaho National Laboratory, Babcock &amp; Wilcox Site Manager of the Naval Reactors Facility decommissioning project, and Program Manager for uranium and waste storage, treatment and disposal at Fernald Environmental Management Project.</w:t>
      </w:r>
    </w:p>
    <w:p>
      <w:pPr>
        <w:spacing w:after="0" w:line="17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Duling earned a bachelor’s of science degree in biophysical systems/chemistry from Northern Michigan University and a graduate certificate in applied nuclear energy from Idaho State University. He holds several recognitions and awards including the Lockheed Martin President’s Award, Idaho National Laboratory Director’s Award in Operational Excellence and B&amp;W leadership recognition awards.</w:t>
      </w:r>
    </w:p>
    <w:p>
      <w:pPr>
        <w:sectPr>
          <w:pgSz w:w="11900" w:h="16838" w:orient="portrait"/>
          <w:cols w:equalWidth="0" w:num="1">
            <w:col w:w="11420"/>
          </w:cols>
          <w:pgMar w:left="240" w:top="625"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BWXT</w:t>
      </w:r>
    </w:p>
    <w:p>
      <w:pPr>
        <w:spacing w:after="0" w:line="28" w:lineRule="exact"/>
        <w:rPr>
          <w:sz w:val="20"/>
          <w:szCs w:val="20"/>
          <w:color w:val="auto"/>
        </w:rPr>
      </w:pPr>
    </w:p>
    <w:p>
      <w:pPr>
        <w:spacing w:after="0" w:line="290" w:lineRule="auto"/>
        <w:rPr>
          <w:sz w:val="20"/>
          <w:szCs w:val="20"/>
          <w:color w:val="auto"/>
        </w:rPr>
      </w:pPr>
      <w:r>
        <w:rPr>
          <w:rFonts w:ascii="Arial" w:cs="Arial" w:eastAsia="Arial" w:hAnsi="Arial"/>
          <w:sz w:val="19"/>
          <w:szCs w:val="19"/>
          <w:i w:val="1"/>
          <w:iCs w:val="1"/>
          <w:color w:val="auto"/>
        </w:rPr>
        <w:t xml:space="preserve">Headquartered in Lynchburg, Va., BWX Technologies, Inc. (NYSE:BWXT) is a leading supplier of nuclear components and fuel to the U.S. government; provides technical and management services to support the U.S. government in the operation of complex facilities and environmental remediation activities; and supplies precision manufactured components, services and fuel for the commercial nuclear power industry. With approximately 6,100 employees, BWXT has nine major operating sites in the U.S. and Canada. In addition, BWXT joint ventures provide management and operations at more than a dozen U.S. Department of Energy and two NASA facilities. Follow us on Twitter @BWXTech and learn more at </w:t>
      </w:r>
      <w:r>
        <w:rPr>
          <w:rFonts w:ascii="Arial" w:cs="Arial" w:eastAsia="Arial" w:hAnsi="Arial"/>
          <w:sz w:val="19"/>
          <w:szCs w:val="19"/>
          <w:i w:val="1"/>
          <w:iCs w:val="1"/>
          <w:u w:val="single" w:color="auto"/>
          <w:color w:val="0000FF"/>
        </w:rPr>
        <w:t>www.bwxt.com</w:t>
      </w:r>
      <w:r>
        <w:rPr>
          <w:rFonts w:ascii="Arial" w:cs="Arial" w:eastAsia="Arial" w:hAnsi="Arial"/>
          <w:sz w:val="19"/>
          <w:szCs w:val="19"/>
          <w:i w:val="1"/>
          <w:iCs w:val="1"/>
          <w:color w:val="auto"/>
        </w:rPr>
        <w:t>.</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c>
          <w:tcPr>
            <w:tcW w:w="4700" w:type="dxa"/>
            <w:vAlign w:val="bottom"/>
            <w:gridSpan w:val="3"/>
          </w:tcPr>
          <w:p>
            <w:pPr>
              <w:ind w:left="980"/>
              <w:spacing w:after="0"/>
              <w:rPr>
                <w:sz w:val="20"/>
                <w:szCs w:val="20"/>
                <w:color w:val="auto"/>
              </w:rPr>
            </w:pPr>
            <w:r>
              <w:rPr>
                <w:rFonts w:ascii="Arial" w:cs="Arial" w:eastAsia="Arial" w:hAnsi="Arial"/>
                <w:sz w:val="18"/>
                <w:szCs w:val="18"/>
                <w:b w:val="1"/>
                <w:bCs w:val="1"/>
                <w:color w:val="auto"/>
              </w:rPr>
              <w:t>Investor Contact:</w:t>
            </w: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Jud Simmons</w:t>
            </w:r>
          </w:p>
        </w:tc>
        <w:tc>
          <w:tcPr>
            <w:tcW w:w="4700" w:type="dxa"/>
            <w:vAlign w:val="bottom"/>
            <w:gridSpan w:val="3"/>
          </w:tcPr>
          <w:p>
            <w:pPr>
              <w:ind w:left="980"/>
              <w:spacing w:after="0"/>
              <w:rPr>
                <w:sz w:val="20"/>
                <w:szCs w:val="20"/>
                <w:color w:val="auto"/>
              </w:rPr>
            </w:pPr>
            <w:r>
              <w:rPr>
                <w:rFonts w:ascii="Arial" w:cs="Arial" w:eastAsia="Arial" w:hAnsi="Arial"/>
                <w:sz w:val="18"/>
                <w:szCs w:val="18"/>
                <w:color w:val="auto"/>
              </w:rPr>
              <w:t>Alan Nethery</w:t>
            </w: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Director, Media and Public Relations</w:t>
            </w:r>
          </w:p>
        </w:tc>
        <w:tc>
          <w:tcPr>
            <w:tcW w:w="4700" w:type="dxa"/>
            <w:vAlign w:val="bottom"/>
            <w:gridSpan w:val="3"/>
          </w:tcPr>
          <w:p>
            <w:pPr>
              <w:ind w:left="980"/>
              <w:spacing w:after="0"/>
              <w:rPr>
                <w:sz w:val="20"/>
                <w:szCs w:val="20"/>
                <w:color w:val="auto"/>
              </w:rPr>
            </w:pPr>
            <w:r>
              <w:rPr>
                <w:rFonts w:ascii="Arial" w:cs="Arial" w:eastAsia="Arial" w:hAnsi="Arial"/>
                <w:sz w:val="18"/>
                <w:szCs w:val="18"/>
                <w:color w:val="auto"/>
                <w:w w:val="91"/>
              </w:rPr>
              <w:t>Vice President and Chief Investor Relations Officer</w:t>
            </w:r>
          </w:p>
        </w:tc>
      </w:tr>
      <w:tr>
        <w:trPr>
          <w:trHeight w:val="270"/>
        </w:trPr>
        <w:tc>
          <w:tcPr>
            <w:tcW w:w="1660" w:type="dxa"/>
            <w:vAlign w:val="bottom"/>
          </w:tcPr>
          <w:p>
            <w:pPr>
              <w:spacing w:after="0"/>
              <w:rPr>
                <w:sz w:val="20"/>
                <w:szCs w:val="20"/>
                <w:color w:val="auto"/>
              </w:rPr>
            </w:pPr>
            <w:r>
              <w:rPr>
                <w:rFonts w:ascii="Arial" w:cs="Arial" w:eastAsia="Arial" w:hAnsi="Arial"/>
                <w:sz w:val="18"/>
                <w:szCs w:val="18"/>
                <w:color w:val="auto"/>
              </w:rPr>
              <w:t>434-522-6462</w:t>
            </w:r>
          </w:p>
        </w:tc>
        <w:tc>
          <w:tcPr>
            <w:tcW w:w="2020" w:type="dxa"/>
            <w:vAlign w:val="bottom"/>
          </w:tcPr>
          <w:p>
            <w:pPr>
              <w:spacing w:after="0"/>
              <w:rPr>
                <w:sz w:val="23"/>
                <w:szCs w:val="23"/>
                <w:color w:val="auto"/>
              </w:rPr>
            </w:pPr>
          </w:p>
        </w:tc>
        <w:tc>
          <w:tcPr>
            <w:tcW w:w="2520" w:type="dxa"/>
            <w:vAlign w:val="bottom"/>
            <w:gridSpan w:val="2"/>
          </w:tcPr>
          <w:p>
            <w:pPr>
              <w:ind w:left="980"/>
              <w:spacing w:after="0"/>
              <w:rPr>
                <w:sz w:val="20"/>
                <w:szCs w:val="20"/>
                <w:color w:val="auto"/>
              </w:rPr>
            </w:pPr>
            <w:r>
              <w:rPr>
                <w:rFonts w:ascii="Arial" w:cs="Arial" w:eastAsia="Arial" w:hAnsi="Arial"/>
                <w:sz w:val="18"/>
                <w:szCs w:val="18"/>
                <w:color w:val="auto"/>
              </w:rPr>
              <w:t>980-365-4300</w:t>
            </w:r>
          </w:p>
        </w:tc>
        <w:tc>
          <w:tcPr>
            <w:tcW w:w="2180" w:type="dxa"/>
            <w:vAlign w:val="bottom"/>
          </w:tcPr>
          <w:p>
            <w:pPr>
              <w:spacing w:after="0"/>
              <w:rPr>
                <w:sz w:val="23"/>
                <w:szCs w:val="23"/>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0000FF"/>
              </w:rPr>
              <w:t>hjsimmons@bwxt.com</w:t>
            </w:r>
          </w:p>
        </w:tc>
        <w:tc>
          <w:tcPr>
            <w:tcW w:w="4700" w:type="dxa"/>
            <w:vAlign w:val="bottom"/>
            <w:gridSpan w:val="3"/>
          </w:tcPr>
          <w:p>
            <w:pPr>
              <w:ind w:left="980"/>
              <w:spacing w:after="0"/>
              <w:rPr>
                <w:sz w:val="20"/>
                <w:szCs w:val="20"/>
                <w:color w:val="auto"/>
              </w:rPr>
            </w:pPr>
            <w:r>
              <w:rPr>
                <w:rFonts w:ascii="Arial" w:cs="Arial" w:eastAsia="Arial" w:hAnsi="Arial"/>
                <w:sz w:val="18"/>
                <w:szCs w:val="18"/>
                <w:color w:val="0000FF"/>
              </w:rPr>
              <w:t>investors@bwxt.com</w:t>
            </w:r>
          </w:p>
        </w:tc>
      </w:tr>
      <w:tr>
        <w:trPr>
          <w:trHeight w:val="20"/>
        </w:trPr>
        <w:tc>
          <w:tcPr>
            <w:tcW w:w="16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240" w:top="6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2020-01-15T09:18:45Z</dcterms:created>
  <dcterms:modified xsi:type="dcterms:W3CDTF">2020-01-15T09:18:45Z</dcterms:modified>
</cp:coreProperties>
</file>