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_________________________________________________________________________________________________________________________________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_________________________________________________________________________________________________________________________________ </w:t>
      </w:r>
    </w:p>
    <w:tbl>
      <w:tblPr>
        <w:tblW w:w="9936" w:type="dxa"/>
        <w:jc w:val="center"/>
        <w:tblInd w:w="0" w:type="dxa"/>
        <w:tblLayout w:type="fixed"/>
        <w:tblCellMar>
          <w:top w:w="28" w:type="dxa"/>
          <w:left w:w="28" w:type="dxa"/>
          <w:bottom w:w="28" w:type="dxa"/>
          <w:right w:w="28" w:type="dxa"/>
        </w:tblCellMar>
      </w:tblPr>
      <w:tblGrid>
        <w:gridCol w:w="187"/>
        <w:gridCol w:w="165"/>
        <w:gridCol w:w="165"/>
        <w:gridCol w:w="2759"/>
        <w:gridCol w:w="2759"/>
        <w:gridCol w:w="3901"/>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u w:val="single"/>
        </w:rPr>
        <w:t>.</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No. 001-34658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BWX TECHNOLOGIES, INC.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w:t>
      </w:r>
    </w:p>
    <w:tbl>
      <w:tblPr>
        <w:tblW w:w="7623" w:type="dxa"/>
        <w:jc w:val="center"/>
        <w:tblInd w:w="0" w:type="dxa"/>
        <w:tblLayout w:type="fixed"/>
        <w:tblCellMar>
          <w:top w:w="28" w:type="dxa"/>
          <w:left w:w="28" w:type="dxa"/>
          <w:bottom w:w="28" w:type="dxa"/>
          <w:right w:w="28" w:type="dxa"/>
        </w:tblCellMar>
      </w:tblPr>
      <w:tblGrid>
        <w:gridCol w:w="427"/>
        <w:gridCol w:w="375"/>
        <w:gridCol w:w="375"/>
        <w:gridCol w:w="375"/>
        <w:gridCol w:w="375"/>
        <w:gridCol w:w="375"/>
        <w:gridCol w:w="375"/>
        <w:gridCol w:w="375"/>
        <w:gridCol w:w="375"/>
        <w:gridCol w:w="375"/>
        <w:gridCol w:w="375"/>
        <w:gridCol w:w="375"/>
        <w:gridCol w:w="109"/>
        <w:gridCol w:w="109"/>
        <w:gridCol w:w="109"/>
        <w:gridCol w:w="799"/>
        <w:gridCol w:w="799"/>
        <w:gridCol w:w="1146"/>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80-0558025</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800 Main Street, 4th 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Lynchburg,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Virginia</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24504</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(980) 365-4300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w:t>
      </w:r>
    </w:p>
    <w:tbl>
      <w:tblPr>
        <w:tblW w:w="7139" w:type="dxa"/>
        <w:jc w:val="center"/>
        <w:tblInd w:w="0" w:type="dxa"/>
        <w:tblLayout w:type="fixed"/>
        <w:tblCellMar>
          <w:top w:w="28" w:type="dxa"/>
          <w:left w:w="28" w:type="dxa"/>
          <w:bottom w:w="28" w:type="dxa"/>
          <w:right w:w="28" w:type="dxa"/>
        </w:tblCellMar>
      </w:tblPr>
      <w:tblGrid>
        <w:gridCol w:w="874"/>
        <w:gridCol w:w="770"/>
        <w:gridCol w:w="770"/>
        <w:gridCol w:w="485"/>
        <w:gridCol w:w="485"/>
        <w:gridCol w:w="485"/>
        <w:gridCol w:w="959"/>
        <w:gridCol w:w="959"/>
        <w:gridCol w:w="1352"/>
      </w:tblGrid>
      <w:tr>
        <w:trPr/>
        <w:tc>
          <w:tcPr>
            <w:tcW w:w="87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139"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BWXT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60"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8"/>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at October 30, 2025 was 91,426,744.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INDEX – FORM 10-Q</w:t>
      </w:r>
    </w:p>
    <w:tbl>
      <w:tblPr>
        <w:tblW w:w="9820" w:type="dxa"/>
        <w:jc w:val="left"/>
        <w:tblInd w:w="0" w:type="dxa"/>
        <w:tblLayout w:type="fixed"/>
        <w:tblCellMar>
          <w:top w:w="28" w:type="dxa"/>
          <w:left w:w="28" w:type="dxa"/>
          <w:bottom w:w="28" w:type="dxa"/>
          <w:right w:w="28" w:type="dxa"/>
        </w:tblCellMar>
      </w:tblPr>
      <w:tblGrid>
        <w:gridCol w:w="331"/>
        <w:gridCol w:w="291"/>
        <w:gridCol w:w="291"/>
        <w:gridCol w:w="2443"/>
        <w:gridCol w:w="2443"/>
        <w:gridCol w:w="2449"/>
        <w:gridCol w:w="456"/>
        <w:gridCol w:w="456"/>
        <w:gridCol w:w="660"/>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982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e3e89906d414e8284c902221799be70_10">
              <w:r>
                <w:rPr>
                  <w:rStyle w:val="InternetLink"/>
                  <w:rFonts w:ascii="Times New Roman;serif" w:hAnsi="Times New Roman;serif"/>
                  <w:b w:val="false"/>
                  <w:color w:val="0000FF"/>
                  <w:sz w:val="20"/>
                  <w:u w:val="single"/>
                </w:rPr>
                <w:t>PART I – FINANCIAL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3">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3">
              <w:r>
                <w:rPr>
                  <w:rStyle w:val="InternetLink"/>
                  <w:rFonts w:ascii="Times New Roman;serif" w:hAnsi="Times New Roman;serif"/>
                  <w:b w:val="false"/>
                  <w:color w:val="0000FF"/>
                  <w:sz w:val="20"/>
                  <w:u w:val="single"/>
                </w:rPr>
                <w:t>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3">
              <w:r>
                <w:rPr>
                  <w:rStyle w:val="InternetLink"/>
                  <w:rFonts w:ascii="Times New Roman;serif" w:hAnsi="Times New Roman;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6">
              <w:r>
                <w:rPr>
                  <w:rStyle w:val="InternetLink"/>
                  <w:rFonts w:ascii="Times New Roman;serif" w:hAnsi="Times New Roman;serif"/>
                  <w:b w:val="false"/>
                  <w:color w:val="0000FF"/>
                  <w:sz w:val="20"/>
                  <w:u w:val="single"/>
                </w:rPr>
                <w:t>Condensed Consolidated Statements of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and Nine Months Ended September 30, 2025 and 2024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6">
              <w:r>
                <w:rPr>
                  <w:rStyle w:val="InternetLink"/>
                  <w:rFonts w:ascii="Times New Roman;serif" w:hAnsi="Times New Roman;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9">
              <w:r>
                <w:rPr>
                  <w:rStyle w:val="InternetLink"/>
                  <w:rFonts w:ascii="Times New Roman;serif" w:hAnsi="Times New Roman;serif"/>
                  <w:b w:val="false"/>
                  <w:color w:val="0000FF"/>
                  <w:sz w:val="20"/>
                  <w:u w:val="single"/>
                </w:rPr>
                <w:t>Condensed Consolidated Statements of Comprehensive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and Nine Months Ended September 30, 2025 and 2024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9">
              <w:r>
                <w:rPr>
                  <w:rStyle w:val="InternetLink"/>
                  <w:rFonts w:ascii="Times New Roman;serif" w:hAnsi="Times New Roman;serif"/>
                  <w:b w:val="false"/>
                  <w:color w:val="0000FF"/>
                  <w:sz w:val="20"/>
                  <w:u w:val="single"/>
                </w:rPr>
                <w:t>3</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22">
              <w:r>
                <w:rPr>
                  <w:rStyle w:val="InternetLink"/>
                  <w:rFonts w:ascii="Times New Roman;serif" w:hAnsi="Times New Roman;serif"/>
                  <w:b w:val="false"/>
                  <w:color w:val="0000FF"/>
                  <w:sz w:val="20"/>
                  <w:u w:val="single"/>
                </w:rPr>
                <w:t>Condensed Consolidated Balance Sheets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September 30, 2025 and December 31, 2024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22">
              <w:r>
                <w:rPr>
                  <w:rStyle w:val="InternetLink"/>
                  <w:rFonts w:ascii="Times New Roman;serif" w:hAnsi="Times New Roman;serif"/>
                  <w:b w:val="false"/>
                  <w:color w:val="0000FF"/>
                  <w:sz w:val="20"/>
                  <w:u w:val="single"/>
                </w:rPr>
                <w:t>4</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28">
              <w:r>
                <w:rPr>
                  <w:rStyle w:val="InternetLink"/>
                  <w:rFonts w:ascii="Times New Roman;serif" w:hAnsi="Times New Roman;serif"/>
                  <w:b w:val="false"/>
                  <w:color w:val="0000FF"/>
                  <w:sz w:val="20"/>
                  <w:u w:val="single"/>
                </w:rPr>
                <w:t>Condensed Consolidated Statements of Stockholders' Equity</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Months Ended March 31, June 30 and September 30, 2025 and 2024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28">
              <w:r>
                <w:rPr>
                  <w:rStyle w:val="InternetLink"/>
                  <w:rFonts w:ascii="Times New Roman;serif" w:hAnsi="Times New Roman;serif"/>
                  <w:b w:val="false"/>
                  <w:color w:val="0000FF"/>
                  <w:sz w:val="20"/>
                  <w:u w:val="single"/>
                </w:rPr>
                <w:t>6</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31">
              <w:r>
                <w:rPr>
                  <w:rStyle w:val="InternetLink"/>
                  <w:rFonts w:ascii="Times New Roman;serif" w:hAnsi="Times New Roman;serif"/>
                  <w:b w:val="false"/>
                  <w:color w:val="0000FF"/>
                  <w:sz w:val="20"/>
                  <w:u w:val="single"/>
                </w:rPr>
                <w:t>Condensed Consolidated Statements of Cash Flows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Nine Months Ended September 30, 2025 and 2024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31">
              <w:r>
                <w:rPr>
                  <w:rStyle w:val="InternetLink"/>
                  <w:rFonts w:ascii="Times New Roman;serif" w:hAnsi="Times New Roman;serif"/>
                  <w:b w:val="false"/>
                  <w:color w:val="0000FF"/>
                  <w:sz w:val="20"/>
                  <w:u w:val="single"/>
                </w:rPr>
                <w:t>8</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34">
              <w:r>
                <w:rPr>
                  <w:rStyle w:val="InternetLink"/>
                  <w:rFonts w:ascii="Times New Roman;serif" w:hAnsi="Times New Roman;serif"/>
                  <w:b w:val="false"/>
                  <w:color w:val="0000FF"/>
                  <w:sz w:val="20"/>
                  <w:u w:val="single"/>
                </w:rPr>
                <w:t>Notes to 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34">
              <w:r>
                <w:rPr>
                  <w:rStyle w:val="InternetLink"/>
                  <w:rFonts w:ascii="Times New Roman;serif" w:hAnsi="Times New Roman;serif"/>
                  <w:b w:val="false"/>
                  <w:color w:val="0000FF"/>
                  <w:sz w:val="20"/>
                  <w:u w:val="single"/>
                </w:rPr>
                <w:t>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70">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70">
              <w:r>
                <w:rPr>
                  <w:rStyle w:val="InternetLink"/>
                  <w:rFonts w:ascii="Times New Roman;serif" w:hAnsi="Times New Roman;serif"/>
                  <w:b w:val="false"/>
                  <w:color w:val="0000FF"/>
                  <w:sz w:val="20"/>
                  <w:u w:val="single"/>
                </w:rPr>
                <w:t>23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12">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12">
              <w:r>
                <w:rPr>
                  <w:rStyle w:val="InternetLink"/>
                  <w:rFonts w:ascii="Times New Roman;serif" w:hAnsi="Times New Roman;serif"/>
                  <w:b w:val="false"/>
                  <w:color w:val="0000FF"/>
                  <w:sz w:val="20"/>
                  <w:u w:val="single"/>
                </w:rPr>
                <w:t>Quantitative and Qualitative Disclosures About Market Risk</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12">
              <w:r>
                <w:rPr>
                  <w:rStyle w:val="InternetLink"/>
                  <w:rFonts w:ascii="Times New Roman;serif" w:hAnsi="Times New Roman;serif"/>
                  <w:b w:val="false"/>
                  <w:color w:val="0000FF"/>
                  <w:sz w:val="20"/>
                  <w:u w:val="single"/>
                </w:rPr>
                <w:t>32</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1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15">
              <w:r>
                <w:rPr>
                  <w:rStyle w:val="InternetLink"/>
                  <w:rFonts w:ascii="Times New Roman;serif" w:hAnsi="Times New Roman;serif"/>
                  <w:b w:val="false"/>
                  <w:color w:val="0000FF"/>
                  <w:sz w:val="20"/>
                  <w:u w:val="single"/>
                </w:rPr>
                <w:t>Controls and Procedures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15">
              <w:r>
                <w:rPr>
                  <w:rStyle w:val="InternetLink"/>
                  <w:rFonts w:ascii="Times New Roman;serif" w:hAnsi="Times New Roman;serif"/>
                  <w:b w:val="false"/>
                  <w:color w:val="0000FF"/>
                  <w:sz w:val="20"/>
                  <w:u w:val="single"/>
                </w:rPr>
                <w:t>32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5e3e89906d414e8284c902221799be70_118">
              <w:r>
                <w:rPr>
                  <w:rStyle w:val="InternetLink"/>
                  <w:rFonts w:ascii="Times New Roman;serif" w:hAnsi="Times New Roman;serif"/>
                  <w:b w:val="false"/>
                  <w:color w:val="0000FF"/>
                  <w:sz w:val="20"/>
                  <w:u w:val="single"/>
                </w:rPr>
                <w:t>PART II – OTHER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21">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21">
              <w:r>
                <w:rPr>
                  <w:rStyle w:val="InternetLink"/>
                  <w:rFonts w:ascii="Times New Roman;serif" w:hAnsi="Times New Roman;serif"/>
                  <w:b w:val="false"/>
                  <w:color w:val="0000FF"/>
                  <w:sz w:val="20"/>
                  <w:u w:val="single"/>
                </w:rPr>
                <w:t>Legal Proceedings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21">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24">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24">
              <w:r>
                <w:rPr>
                  <w:rStyle w:val="InternetLink"/>
                  <w:rFonts w:ascii="Times New Roman;serif" w:hAnsi="Times New Roman;serif"/>
                  <w:b w:val="false"/>
                  <w:color w:val="0000FF"/>
                  <w:sz w:val="20"/>
                  <w:u w:val="single"/>
                </w:rPr>
                <w:t>Risk Factors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24">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27">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27">
              <w:r>
                <w:rPr>
                  <w:rStyle w:val="InternetLink"/>
                  <w:rFonts w:ascii="Times New Roman;serif" w:hAnsi="Times New Roman;serif"/>
                  <w:b w:val="false"/>
                  <w:color w:val="0000FF"/>
                  <w:sz w:val="20"/>
                  <w:u w:val="single"/>
                </w:rPr>
                <w:t>Unregistered Sales of Equity Securities and Use of Proceeds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27">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30">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30">
              <w:r>
                <w:rPr>
                  <w:rStyle w:val="InternetLink"/>
                  <w:rFonts w:ascii="Times New Roman;serif" w:hAnsi="Times New Roman;serif"/>
                  <w:b w:val="false"/>
                  <w:color w:val="0000FF"/>
                  <w:sz w:val="20"/>
                  <w:u w:val="single"/>
                </w:rPr>
                <w:t>Other Information</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30">
              <w:r>
                <w:rPr>
                  <w:rStyle w:val="InternetLink"/>
                  <w:rFonts w:ascii="Times New Roman;serif" w:hAnsi="Times New Roman;serif"/>
                  <w:b w:val="false"/>
                  <w:color w:val="0000FF"/>
                  <w:sz w:val="20"/>
                  <w:u w:val="single"/>
                </w:rPr>
                <w:t>29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33">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33">
              <w:r>
                <w:rPr>
                  <w:rStyle w:val="InternetLink"/>
                  <w:rFonts w:ascii="Times New Roman;serif" w:hAnsi="Times New Roman;serif"/>
                  <w:b w:val="false"/>
                  <w:color w:val="0000FF"/>
                  <w:sz w:val="20"/>
                  <w:u w:val="single"/>
                </w:rPr>
                <w:t>Exhibits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33">
              <w:r>
                <w:rPr>
                  <w:rStyle w:val="InternetLink"/>
                  <w:rFonts w:ascii="Times New Roman;serif" w:hAnsi="Times New Roman;serif"/>
                  <w:b w:val="false"/>
                  <w:color w:val="0000FF"/>
                  <w:sz w:val="20"/>
                  <w:u w:val="single"/>
                </w:rPr>
                <w:t>34</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e3e89906d414e8284c902221799be70_136">
              <w:r>
                <w:rPr>
                  <w:rStyle w:val="InternetLink"/>
                  <w:rFonts w:ascii="Times New Roman;serif" w:hAnsi="Times New Roman;serif"/>
                  <w:b w:val="false"/>
                  <w:color w:val="0000FF"/>
                  <w:sz w:val="20"/>
                  <w:u w:val="single"/>
                </w:rPr>
                <w:t>Signatures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3e89906d414e8284c902221799be70_136">
              <w:r>
                <w:rPr>
                  <w:rStyle w:val="InternetLink"/>
                  <w:rFonts w:ascii="Times New Roman;serif" w:hAnsi="Times New Roman;serif"/>
                  <w:b w:val="false"/>
                  <w:color w:val="0000FF"/>
                  <w:sz w:val="20"/>
                  <w:u w:val="single"/>
                </w:rPr>
                <w:t>35</w:t>
              </w:r>
            </w:hyperlink>
          </w:p>
        </w:tc>
      </w:tr>
    </w:tbl>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center"/>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tbl>
      <w:tblPr>
        <w:tblW w:w="10205" w:type="dxa"/>
        <w:jc w:val="left"/>
        <w:tblInd w:w="0" w:type="dxa"/>
        <w:tblLayout w:type="fixed"/>
        <w:tblCellMar>
          <w:top w:w="28" w:type="dxa"/>
          <w:left w:w="28" w:type="dxa"/>
          <w:bottom w:w="28" w:type="dxa"/>
          <w:right w:w="28" w:type="dxa"/>
        </w:tblCellMar>
      </w:tblPr>
      <w:tblGrid>
        <w:gridCol w:w="1503"/>
        <w:gridCol w:w="1181"/>
        <w:gridCol w:w="1189"/>
        <w:gridCol w:w="109"/>
        <w:gridCol w:w="109"/>
        <w:gridCol w:w="109"/>
        <w:gridCol w:w="219"/>
        <w:gridCol w:w="862"/>
        <w:gridCol w:w="110"/>
        <w:gridCol w:w="110"/>
        <w:gridCol w:w="110"/>
        <w:gridCol w:w="110"/>
        <w:gridCol w:w="219"/>
        <w:gridCol w:w="862"/>
        <w:gridCol w:w="110"/>
        <w:gridCol w:w="109"/>
        <w:gridCol w:w="109"/>
        <w:gridCol w:w="109"/>
        <w:gridCol w:w="211"/>
        <w:gridCol w:w="976"/>
        <w:gridCol w:w="109"/>
        <w:gridCol w:w="109"/>
        <w:gridCol w:w="109"/>
        <w:gridCol w:w="109"/>
        <w:gridCol w:w="211"/>
        <w:gridCol w:w="976"/>
        <w:gridCol w:w="156"/>
      </w:tblGrid>
      <w:tr>
        <w:trPr/>
        <w:tc>
          <w:tcPr>
            <w:tcW w:w="150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 except share and per share amounts)</w:t>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1,709,361 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91,565,095 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91,574,531 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91,564,726 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91,787,602 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91,886,710 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91,849,724 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INCOME</w:t>
      </w:r>
    </w:p>
    <w:tbl>
      <w:tblPr>
        <w:tblW w:w="10205" w:type="dxa"/>
        <w:jc w:val="left"/>
        <w:tblInd w:w="0" w:type="dxa"/>
        <w:tblLayout w:type="fixed"/>
        <w:tblCellMar>
          <w:top w:w="28" w:type="dxa"/>
          <w:left w:w="28" w:type="dxa"/>
          <w:bottom w:w="28" w:type="dxa"/>
          <w:right w:w="28" w:type="dxa"/>
        </w:tblCellMar>
      </w:tblPr>
      <w:tblGrid>
        <w:gridCol w:w="1618"/>
        <w:gridCol w:w="1382"/>
        <w:gridCol w:w="1398"/>
        <w:gridCol w:w="109"/>
        <w:gridCol w:w="109"/>
        <w:gridCol w:w="109"/>
        <w:gridCol w:w="217"/>
        <w:gridCol w:w="744"/>
        <w:gridCol w:w="112"/>
        <w:gridCol w:w="112"/>
        <w:gridCol w:w="112"/>
        <w:gridCol w:w="112"/>
        <w:gridCol w:w="217"/>
        <w:gridCol w:w="744"/>
        <w:gridCol w:w="112"/>
        <w:gridCol w:w="109"/>
        <w:gridCol w:w="109"/>
        <w:gridCol w:w="109"/>
        <w:gridCol w:w="211"/>
        <w:gridCol w:w="826"/>
        <w:gridCol w:w="109"/>
        <w:gridCol w:w="109"/>
        <w:gridCol w:w="109"/>
        <w:gridCol w:w="109"/>
        <w:gridCol w:w="211"/>
        <w:gridCol w:w="826"/>
        <w:gridCol w:w="161"/>
      </w:tblGrid>
      <w:tr>
        <w:trPr/>
        <w:tc>
          <w:tcPr>
            <w:tcW w:w="161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3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w:t>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Unrealized (losses) gains arising during the period, net of tax (provision) benefit of $(155), $(118), $(94), and $52,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included in net income, net of tax (benefit) provision of $(108), $80, $(13), and $84,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Amortization of benefit plan costs, net of tax benefit of $(158), $(161), $(473), and $(485),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Unrealized gains (losses) arising during the period, net of tax provision of $—, $—, $(85), and $(12),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gains included in net income, net of tax provision of $—, $—, $80, and $—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203,459 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ASSETS</w:t>
      </w:r>
    </w:p>
    <w:tbl>
      <w:tblPr>
        <w:tblW w:w="6726" w:type="dxa"/>
        <w:jc w:val="left"/>
        <w:tblInd w:w="0" w:type="dxa"/>
        <w:tblLayout w:type="fixed"/>
        <w:tblCellMar>
          <w:top w:w="28" w:type="dxa"/>
          <w:left w:w="28" w:type="dxa"/>
          <w:bottom w:w="28" w:type="dxa"/>
          <w:right w:w="28" w:type="dxa"/>
        </w:tblCellMar>
      </w:tblPr>
      <w:tblGrid>
        <w:gridCol w:w="1242"/>
        <w:gridCol w:w="1092"/>
        <w:gridCol w:w="1101"/>
        <w:gridCol w:w="109"/>
        <w:gridCol w:w="109"/>
        <w:gridCol w:w="109"/>
        <w:gridCol w:w="211"/>
        <w:gridCol w:w="976"/>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trade,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2,869,924 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bl>
      <w:tblPr>
        <w:tblW w:w="10205" w:type="dxa"/>
        <w:jc w:val="left"/>
        <w:tblInd w:w="0" w:type="dxa"/>
        <w:tblLayout w:type="fixed"/>
        <w:tblCellMar>
          <w:top w:w="28" w:type="dxa"/>
          <w:left w:w="28" w:type="dxa"/>
          <w:bottom w:w="28" w:type="dxa"/>
          <w:right w:w="28" w:type="dxa"/>
        </w:tblCellMar>
      </w:tblPr>
      <w:tblGrid>
        <w:gridCol w:w="2769"/>
        <w:gridCol w:w="2068"/>
        <w:gridCol w:w="2075"/>
        <w:gridCol w:w="109"/>
        <w:gridCol w:w="109"/>
        <w:gridCol w:w="109"/>
        <w:gridCol w:w="211"/>
        <w:gridCol w:w="976"/>
        <w:gridCol w:w="109"/>
        <w:gridCol w:w="109"/>
        <w:gridCol w:w="109"/>
        <w:gridCol w:w="109"/>
        <w:gridCol w:w="211"/>
        <w:gridCol w:w="976"/>
        <w:gridCol w:w="156"/>
      </w:tblGrid>
      <w:tr>
        <w:trPr/>
        <w:tc>
          <w:tcPr>
            <w:tcW w:w="276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 except share</w:t>
              <w:br/>
              <w:t>and per share amounts)</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Postretirement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authorized 325,000,000 shares; issued 128,708,443 and 128,320,295 shares at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authorized 75,000,000 shares; No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Treasury stock at cost, 37,286,948 and 36,869,498 shares at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(1,388,432)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1,080,404 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2,869,924 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tbl>
      <w:tblPr>
        <w:tblW w:w="12909"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435"/>
        <w:gridCol w:w="436"/>
        <w:gridCol w:w="161"/>
        <w:gridCol w:w="109"/>
        <w:gridCol w:w="109"/>
        <w:gridCol w:w="109"/>
        <w:gridCol w:w="181"/>
        <w:gridCol w:w="466"/>
        <w:gridCol w:w="109"/>
        <w:gridCol w:w="109"/>
        <w:gridCol w:w="109"/>
        <w:gridCol w:w="109"/>
        <w:gridCol w:w="181"/>
        <w:gridCol w:w="61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181"/>
        <w:gridCol w:w="721"/>
        <w:gridCol w:w="109"/>
        <w:gridCol w:w="109"/>
        <w:gridCol w:w="109"/>
        <w:gridCol w:w="109"/>
        <w:gridCol w:w="273"/>
        <w:gridCol w:w="567"/>
        <w:gridCol w:w="166"/>
        <w:gridCol w:w="109"/>
        <w:gridCol w:w="109"/>
        <w:gridCol w:w="109"/>
        <w:gridCol w:w="181"/>
        <w:gridCol w:w="7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BWX TECHNOLOGIES, INC.</w:t>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br/>
              <w:t>Stockholders'</w:t>
              <w:br/>
              <w:t>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6"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(Unaudited) (In thousands, except share and per share amounts)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128,320,295 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128,644,088 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2,339,531 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(43,314)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(1,431,532)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78,462 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128,680,180 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2,394,737 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(23,385)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1,183,906 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82,191 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September 30, 2025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128,708,443 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2,453,696 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(32,523)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(1,432,633)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1,241,744 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1,241,485 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tbl>
      <w:tblPr>
        <w:tblW w:w="12909"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435"/>
        <w:gridCol w:w="436"/>
        <w:gridCol w:w="161"/>
        <w:gridCol w:w="109"/>
        <w:gridCol w:w="109"/>
        <w:gridCol w:w="109"/>
        <w:gridCol w:w="181"/>
        <w:gridCol w:w="466"/>
        <w:gridCol w:w="109"/>
        <w:gridCol w:w="109"/>
        <w:gridCol w:w="109"/>
        <w:gridCol w:w="109"/>
        <w:gridCol w:w="181"/>
        <w:gridCol w:w="61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181"/>
        <w:gridCol w:w="721"/>
        <w:gridCol w:w="109"/>
        <w:gridCol w:w="109"/>
        <w:gridCol w:w="109"/>
        <w:gridCol w:w="109"/>
        <w:gridCol w:w="273"/>
        <w:gridCol w:w="567"/>
        <w:gridCol w:w="166"/>
        <w:gridCol w:w="109"/>
        <w:gridCol w:w="109"/>
        <w:gridCol w:w="109"/>
        <w:gridCol w:w="181"/>
        <w:gridCol w:w="7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BWX TECHNOLOGIES, INC.</w:t>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br/>
              <w:t>Stockholders'</w:t>
              <w:br/>
              <w:t>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6"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(Unaudited) (In thousands, except share and per share amounts)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128,065,521 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199,991 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2024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128,272,806 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2,140,235 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(18,519)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(1,387,768)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946,222 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946,066 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73,045 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2024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128,282,125 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(23,044)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(1,387,803)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998,251 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69,641 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September 30, 2024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128,307,682 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2,238,437 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(14,927)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(1,388,106)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1,058,749 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1,058,671 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27"/>
        <w:gridCol w:w="2284"/>
        <w:gridCol w:w="2289"/>
        <w:gridCol w:w="109"/>
        <w:gridCol w:w="109"/>
        <w:gridCol w:w="109"/>
        <w:gridCol w:w="205"/>
        <w:gridCol w:w="773"/>
        <w:gridCol w:w="114"/>
        <w:gridCol w:w="114"/>
        <w:gridCol w:w="114"/>
        <w:gridCol w:w="114"/>
        <w:gridCol w:w="205"/>
        <w:gridCol w:w="773"/>
        <w:gridCol w:w="166"/>
      </w:tblGrid>
      <w:tr>
        <w:trPr/>
        <w:tc>
          <w:tcPr>
            <w:tcW w:w="272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(In thousands)</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of investees, net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asset disposals and impairments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losses for 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Contracts in progress and 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liabilities, accrued postretirement benefit obligations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131,548 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(114,365)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net of return of capital,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(673,893)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(100,925)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871,600 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shares withheld to satisfy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forward contracts,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(69,895)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TOTAL INCREASE (DECREASE) IN CASH AND CASH EQUIVALENTS AND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80,571 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81,615 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SCHEDULE OF NON-CASH INVESTING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SEPTEMBER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presented the condensed consolidated financial statements of BWX Technologies, Inc. ("BWXT" or the "Company") in U.S. dollars in accordance with the interim reporting requirements of Form 10-Q, Rule 10-01 of Regulation S-X and accounting principles generally accepted in the United States ("GAAP"). Certain financial information and disclosures normally included in our financial statements prepared annually in accordance with GAAP have been condensed or omitted. Readers of these financial statements should, therefore, refer to the consolidated financial statements and notes in our annual report on Form 10-K for the year ended December 31, 2024 (our "2024 10-K"). We have included all adjustments, in the opinion of management, consisting only of normal recurring adjustments, necessary for a fair presentation.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have recast certain amounts previously reported in our condensed consolidated balance sheets and statements of cash flows to conform to the presentation at September 30, 2025. We present the notes to our condensed consolidated financial statements on the basis of continuing operations, unless otherwise stated.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"we," "us" and "our" mean BWXT and its consolidated subsidiaries.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two reportable segments: Government Operations and Commercial Operations. Our reportable segments are further described as follows:</w:t>
      </w:r>
    </w:p>
    <w:p>
      <w:pPr>
        <w:pStyle w:val="TextBody"/>
        <w:bidi w:val="0"/>
        <w:spacing w:lineRule="auto" w:line="288" w:before="240" w:after="283"/>
        <w:ind w:left="0" w:right="0" w:hanging="270"/>
        <w:jc w:val="left"/>
        <w:rPr/>
      </w:pPr>
      <w:r>
        <w:rPr>
          <w:color w:val="000000"/>
        </w:rPr>
        <w:t>•</w:t>
      </w:r>
      <w:r>
        <w:rPr>
          <w:rFonts w:ascii="Times New Roman;serif" w:hAnsi="Times New Roman;serif"/>
          <w:b w:val="false"/>
          <w:color w:val="000000"/>
          <w:sz w:val="20"/>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downblend Cold War-era government stockpiles of high-enriched uranium and develop and manufacture advanced materials and products for commercial, military and space applications.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and Canadian Governments including nuclear materials management and operation, environmental management and administrative and operating services for various Government-owned facilities. These services are primarily provided to the U.S. Department of Energy ("DOE"), including the National Nuclear Security Administration, the Office of Nuclear Energy, the Office of Science and the Office of Environmental Management, the Department of Defense and Canadian Nuclear Labs.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 xml:space="preserve">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have supplied the nuclear industry with more than 1,300 large, heavy components worldwide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offers a broad suite of nuclear power plant lifecycle support and management services for the global industry and transmission and distribution markets. This segment also manufactures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radioisotopes, radiopharmaceuticals and medical devices, and partners with life science and pharmaceutical companies developing new drugs.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and Note 8 for financial information about our segments. Operating results for the three and nine months ended September 30, 2025 are not necessarily indicative of the results that may be expected for the year ending December 31, 2025. For further information, refer to the consolidated financial statements and notes included in our 2024 10-K.</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accounting standards adopted during the nine months ended September 30, 2025 that had a significant impact on our financial position, results of operations, cash flows or disclosures.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Contracts and Revenue Recognition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generally recognize contract revenues and related costs over time for individual performance obligations based on a cost-to-cost method in accordance with Financial Accounting Standards Board ("FASB") Topic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for a further discussion of revenue recognition.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federal income tax in the U.S., Canada and various other foreign jurisdictions,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changes in our mix of income within these jurisdictions, can contribute to shifts in our effective tax rate from period to period.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September 30, 2025 was 23.6% as compared to 23.2% for the three months ended September 30, 2024. Our effective tax rate for the nine months ended September 30, 2025 was 20.5% as compared to 22.0% for the nine months ended September 30, 2024. The effective tax rates for the three and nine months ended September 30, 2025 differed from the U.S. corporate federal income tax rate of 21% primarily due to state income taxes within the U.S. and the unfavorable rate differential associated with our foreign earnings. The effective tax rates for the three and nine months ended September 30, 2024 were higher than the U.S. corporate federal income tax rate of 21% due to state income taxes within the U.S. and the unfavorable rate differential associated with our foreign earnings.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an act commonly referred to as the “One Big Beautiful Bill Act”. This bill includes a number of tax provisions including extending existing provisions that were set to expire, substantive changes in international tax rules and the repeal or phase outs of certain energy tax credits. We are currently evaluating the impact of this legislation on our results of operations, financial position and cash flows.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Cash and Cash Equivalents and Restricted Cash and Cash Equivalents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restricted cash and cash equivalents totaling $7.4 million, $4.3 million of which was held for future decommissioning of facilities (which is included in Other Assets on our condensed consolidated balance sheets) and $3.1 million of which was held to meet reinsurance reserve requirements of our captive insurer.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and cash equivalents on our condensed consolidated balance sheets to the totals presented on our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683"/>
        <w:gridCol w:w="2319"/>
        <w:gridCol w:w="2331"/>
        <w:gridCol w:w="109"/>
        <w:gridCol w:w="109"/>
        <w:gridCol w:w="109"/>
        <w:gridCol w:w="222"/>
        <w:gridCol w:w="761"/>
        <w:gridCol w:w="114"/>
        <w:gridCol w:w="109"/>
        <w:gridCol w:w="109"/>
        <w:gridCol w:w="109"/>
        <w:gridCol w:w="216"/>
        <w:gridCol w:w="742"/>
        <w:gridCol w:w="163"/>
      </w:tblGrid>
      <w:tr>
        <w:trPr/>
        <w:tc>
          <w:tcPr>
            <w:tcW w:w="2683"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3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and cash equivalents as presented on our condensed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we had inventories totaling $57.8 million and $40.3 million, respectively, consisting almost entirely of raw materials and supplies.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is stated at cost and is set forth below:</w:t>
      </w:r>
    </w:p>
    <w:tbl>
      <w:tblPr>
        <w:tblW w:w="6275" w:type="dxa"/>
        <w:jc w:val="left"/>
        <w:tblInd w:w="0" w:type="dxa"/>
        <w:tblLayout w:type="fixed"/>
        <w:tblCellMar>
          <w:top w:w="28" w:type="dxa"/>
          <w:left w:w="28" w:type="dxa"/>
          <w:bottom w:w="28" w:type="dxa"/>
          <w:right w:w="28" w:type="dxa"/>
        </w:tblCellMar>
      </w:tblPr>
      <w:tblGrid>
        <w:gridCol w:w="1080"/>
        <w:gridCol w:w="943"/>
        <w:gridCol w:w="961"/>
        <w:gridCol w:w="109"/>
        <w:gridCol w:w="109"/>
        <w:gridCol w:w="109"/>
        <w:gridCol w:w="211"/>
        <w:gridCol w:w="976"/>
        <w:gridCol w:w="109"/>
        <w:gridCol w:w="109"/>
        <w:gridCol w:w="109"/>
        <w:gridCol w:w="109"/>
        <w:gridCol w:w="211"/>
        <w:gridCol w:w="97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included in Stockholders' Equity are as follows:</w:t>
      </w:r>
    </w:p>
    <w:tbl>
      <w:tblPr>
        <w:tblW w:w="7874" w:type="dxa"/>
        <w:jc w:val="left"/>
        <w:tblInd w:w="0" w:type="dxa"/>
        <w:tblLayout w:type="fixed"/>
        <w:tblCellMar>
          <w:top w:w="28" w:type="dxa"/>
          <w:left w:w="28" w:type="dxa"/>
          <w:bottom w:w="28" w:type="dxa"/>
          <w:right w:w="28" w:type="dxa"/>
        </w:tblCellMar>
      </w:tblPr>
      <w:tblGrid>
        <w:gridCol w:w="1782"/>
        <w:gridCol w:w="1566"/>
        <w:gridCol w:w="1572"/>
        <w:gridCol w:w="109"/>
        <w:gridCol w:w="109"/>
        <w:gridCol w:w="109"/>
        <w:gridCol w:w="215"/>
        <w:gridCol w:w="813"/>
        <w:gridCol w:w="111"/>
        <w:gridCol w:w="109"/>
        <w:gridCol w:w="109"/>
        <w:gridCol w:w="109"/>
        <w:gridCol w:w="211"/>
        <w:gridCol w:w="796"/>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prior service cost on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(32,523)</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amounts reclassified out of Accumulated other comprehensive income (loss) by component and the affected condensed consolidated statements of income line items are as follows:</w:t>
      </w:r>
    </w:p>
    <w:tbl>
      <w:tblPr>
        <w:tblW w:w="10205" w:type="dxa"/>
        <w:jc w:val="left"/>
        <w:tblInd w:w="0" w:type="dxa"/>
        <w:tblLayout w:type="fixed"/>
        <w:tblCellMar>
          <w:top w:w="28" w:type="dxa"/>
          <w:left w:w="28" w:type="dxa"/>
          <w:bottom w:w="28" w:type="dxa"/>
          <w:right w:w="28" w:type="dxa"/>
        </w:tblCellMar>
      </w:tblPr>
      <w:tblGrid>
        <w:gridCol w:w="953"/>
        <w:gridCol w:w="757"/>
        <w:gridCol w:w="759"/>
        <w:gridCol w:w="109"/>
        <w:gridCol w:w="109"/>
        <w:gridCol w:w="109"/>
        <w:gridCol w:w="211"/>
        <w:gridCol w:w="649"/>
        <w:gridCol w:w="109"/>
        <w:gridCol w:w="109"/>
        <w:gridCol w:w="109"/>
        <w:gridCol w:w="109"/>
        <w:gridCol w:w="211"/>
        <w:gridCol w:w="499"/>
        <w:gridCol w:w="109"/>
        <w:gridCol w:w="109"/>
        <w:gridCol w:w="109"/>
        <w:gridCol w:w="109"/>
        <w:gridCol w:w="211"/>
        <w:gridCol w:w="649"/>
        <w:gridCol w:w="109"/>
        <w:gridCol w:w="109"/>
        <w:gridCol w:w="109"/>
        <w:gridCol w:w="109"/>
        <w:gridCol w:w="211"/>
        <w:gridCol w:w="649"/>
        <w:gridCol w:w="109"/>
        <w:gridCol w:w="109"/>
        <w:gridCol w:w="109"/>
        <w:gridCol w:w="109"/>
        <w:gridCol w:w="694"/>
        <w:gridCol w:w="694"/>
        <w:gridCol w:w="987"/>
      </w:tblGrid>
      <w:tr>
        <w:trPr/>
        <w:tc>
          <w:tcPr>
            <w:tcW w:w="9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6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16"/>
              </w:rPr>
            </w:pPr>
            <w:r>
              <w:rPr>
                <w:rFonts w:ascii="Times New Roman;serif" w:hAnsi="Times New Roman;serif"/>
                <w:b/>
                <w:color w:val="000000"/>
                <w:sz w:val="16"/>
              </w:rPr>
              <w:t>Accumulated Other Comprehensive Income (Loss) Component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Line Item Presented</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Realized gain (loss)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on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reclassification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enter into derivative financial instruments primarily as hedges of certain firm purchase and sale commitments and loans between domestic and foreign subsidiaries denominated in foreign currencies. We record these contracts at fair value on our condensed consolidated balance sheets. Based on the hedge designation at the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condensed consolidated statements of income and are recorded in our condensed consolidated statements of cash flows based on the nature and use of the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September 30, 2025, we had deferred approximately $0.8 million of net gains on these derivative financial instruments. Assuming market conditions continue, we expect to recognize the majority of this amount in the next 12 months. For the three months ended September 30, 2025 and 2024, we recognized losses (gains) of $(0.6) million and $3.6 million, respectively, and for the nine months ended September 30, 2025 and 2024, we recognized gains of $(22.7) million and $(11.2) million, respectively, in Other – net on our condensed consolidated statements of income associated with FX forward contracts not designated as hedging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our derivative financial instruments consisted of FX forward contracts with a total notional value of $785.7 million with maturities extending to April 2028. These instruments consist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New Accounting and Disclosure Standards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In December 2023, the FASB issued updates to Topic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to provide, on an annual basis, disaggregated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disclosures with respect to the reconciliation of our effective tax rate, as well as a disaggregation of income taxes paid, net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refunds received. The new standard is effective on a prospective basis for annual periods beginning after December 15, 2024. We will adopt this update for the period ending December 31, 2025. The adoption will result in additional disclosures and will have no impact on our results of operations, financial condition or cash flows. </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November 2024, the FASB issued updates to Topic </w:t>
      </w:r>
      <w:r>
        <w:rPr>
          <w:rFonts w:ascii="Times New Roman;serif" w:hAnsi="Times New Roman;serif"/>
          <w:b w:val="false"/>
          <w:i/>
          <w:color w:val="000000"/>
          <w:sz w:val="20"/>
        </w:rPr>
        <w:t>Income Statement – Reporting Comprehensive Income – Expense Disaggregation Disclosures: Disaggregation of Income Statement Expenses</w:t>
      </w:r>
      <w:r>
        <w:rPr>
          <w:rFonts w:ascii="Times New Roman;serif" w:hAnsi="Times New Roman;serif"/>
          <w:b w:val="false"/>
          <w:color w:val="000000"/>
          <w:sz w:val="20"/>
        </w:rPr>
        <w:t>. These updates require a public entity to disclose additional information about specific expense categories in 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September 2025, the FASB issued updates to Topic </w:t>
      </w:r>
      <w:r>
        <w:rPr>
          <w:rFonts w:ascii="Times New Roman;serif" w:hAnsi="Times New Roman;serif"/>
          <w:b w:val="false"/>
          <w:i/>
          <w:color w:val="000000"/>
          <w:sz w:val="20"/>
        </w:rPr>
        <w:t xml:space="preserve">Intangibles – Goodwill and Other – Internal-Use Software: Targeted Improvements to the Accounting for Internal-Use Software. </w:t>
      </w:r>
      <w:r>
        <w:rPr>
          <w:rFonts w:ascii="Times New Roman;serif" w:hAnsi="Times New Roman;serif"/>
          <w:b w:val="false"/>
          <w:color w:val="000000"/>
          <w:sz w:val="20"/>
        </w:rPr>
        <w:t>These updates modernize the accounting for internal-use software by eliminating the sequential development stages currently in use, and modify when an entity is required to begin capitalizing software costs. Furthermore, disclosures for property, plant and equipment will be required for all capitalized software costs. The updates are effective for annual reporting periods beginning after December 15, 2027 and interim reporting periods within those annual reporting periods. Early adoption is permitted. Upon adoption, the updates may be applied prospectively, retrospectively or using a modified transition approach. We are currently evaluating the impact of the adoption of this standard on our financial condition, results of operations, cash flows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 ACQUISITIONS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Aerojet Ordnance Tennessee,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3, 2025, we acquired all of the equity interests of Aerojet Ordnance Tennessee, Inc. ("A.O.T."), a subsidiary of L3Harris Technologies, Inc. for approximately $101.1 million, subject to certain working capital adjustments, which reflects a $2.2 million reduction in the initial purchase price. A.O.T. is a leading provider of advanced special materials which will further enhance our capabilities to develop and manufacture advanced materials and products for commercial, military and space applications. A.O.T. is reported as part of our Government Operations segment. Our preliminary purchase price allocation resulted in the recognition of $59.7 million of Goodwill, $25.1 million of Intangible Assets and $12.7 million of Property, Plant and Equipment. The assets acquired and liabilities assumed have been recorded at preliminary estimates of fair value as determined by management, based on information currently available and on current assumptions of future operations, and are subject to change upon completion of acquisition accounting.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intangible assets included above consist of the following (dollar amounts in thousands):</w:t>
      </w:r>
    </w:p>
    <w:tbl>
      <w:tblPr>
        <w:tblW w:w="5339"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11"/>
        <w:gridCol w:w="721"/>
        <w:gridCol w:w="109"/>
        <w:gridCol w:w="109"/>
        <w:gridCol w:w="109"/>
        <w:gridCol w:w="109"/>
        <w:gridCol w:w="482"/>
        <w:gridCol w:w="482"/>
        <w:gridCol w:w="68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Kinectrics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acquired all of the equity interests of Kinectrics Holdings Inc., the parent company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Kinectrics Inc. ("Kinectrics") for CAD $782.7 million, subject to certain working capital and other adjustments. This resulted in purchase consideration of CAD $615.7 million ($441.4 million U.S. dollar equivalent) which is net of assumed pension liabilities, other postretirement benefit obligations and indebtedness.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Kinectrics is a leader in providing lifecycle management services for the global nuclear power and transmission and distribution markets and in the production and supply of isotopes for the radiopharmaceutical industry and employs over 1,300 employees located across 20 sites worldwide. Kinectrics is reported as part of our Commercial Operations segment.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fair value assessment of the Kinectrics acquisition is in process as of the filing date of this Form 10-Q. The amounts allocated to the assets acquired and liabilities assumed have been determined by management, using provisional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estimates of fair value based on information currently available and on current assumptions of future operations. These provisional fair values are subject to change upon completion of purchase accounting, the impact of which may be material.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provisional estimates of fair value resulted in the recognition of $175.0 million of Property, Plant and Equipment, $149.7 million of Goodwill, $151.3 million of Intangible Assets, $39.5 million of Investments in Unconsolidated Affiliates and $24.9 million of net working capital, net of acquired Pension Liabilities and Other Postretirement Obligations totaling $90.3 million. These estimates reflect a reallocation of the purchase price during the three months ended September 30, 2025 which primarily resulted in an increase to Intangible Assets of $17.2 million with the principal offset to Property, Plant and Equipment.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intangible assets included above consist of the following (dollar amounts in thousands):</w:t>
      </w:r>
    </w:p>
    <w:tbl>
      <w:tblPr>
        <w:tblW w:w="5445"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211"/>
        <w:gridCol w:w="826"/>
        <w:gridCol w:w="109"/>
        <w:gridCol w:w="109"/>
        <w:gridCol w:w="109"/>
        <w:gridCol w:w="109"/>
        <w:gridCol w:w="482"/>
        <w:gridCol w:w="482"/>
        <w:gridCol w:w="68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REVENUE RECOGNITION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described in Note 1, our operations are assessed based on two reportable segments.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Disaggregated Revenues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by geographic area and customer type were as follows:</w:t>
      </w:r>
    </w:p>
    <w:tbl>
      <w:tblPr>
        <w:tblW w:w="1085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5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188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1,621,854 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Revenues by timing of transfer of goods or services were as follows:</w:t>
      </w:r>
    </w:p>
    <w:tbl>
      <w:tblPr>
        <w:tblW w:w="1052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12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18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by contract type were as follows:</w:t>
      </w:r>
    </w:p>
    <w:tbl>
      <w:tblPr>
        <w:tblW w:w="1104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64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188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revenues and operating income as follows:</w:t>
      </w:r>
    </w:p>
    <w:tbl>
      <w:tblPr>
        <w:tblW w:w="6764"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16"/>
        <w:gridCol w:w="109"/>
        <w:gridCol w:w="109"/>
        <w:gridCol w:w="109"/>
        <w:gridCol w:w="109"/>
        <w:gridCol w:w="211"/>
        <w:gridCol w:w="721"/>
        <w:gridCol w:w="109"/>
        <w:gridCol w:w="211"/>
        <w:gridCol w:w="721"/>
        <w:gridCol w:w="109"/>
        <w:gridCol w:w="109"/>
        <w:gridCol w:w="109"/>
        <w:gridCol w:w="109"/>
        <w:gridCol w:w="211"/>
        <w:gridCol w:w="61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(1)During the three months ended September 30, 2025, no adjustments to any one contract had a material impact on our consolidated financial statements. During the nine months ended September 30, 2025, our Government Operations segment results were favorably impacted by material contract adjustments related to a nuclear operations contract. The material adjustments resulted in an increase in revenue and operating income of $29.4 million during the nine months ended September 30, 2025. During the three and nine months ended September 30, 2024, no adjustments to any one contract had a material impact on our consolidated financial statements.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 billings that exceed accumulated contract costs and revenues recognized over time. Amounts that are withheld on our fixed-price incentive fee contracts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Our fixed-price incentive fee contracts for our Government Operations segment include provisions that result in an increase in retainages on contracts during the first and third quarters of the year, with larger payments received during the second and fourth quarters. Retainages also vary as a result of timing differences between incurring costs and achieving milestones that allow us to recover these amounts.</w:t>
      </w:r>
    </w:p>
    <w:tbl>
      <w:tblPr>
        <w:tblW w:w="5855"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211"/>
        <w:gridCol w:w="826"/>
        <w:gridCol w:w="109"/>
        <w:gridCol w:w="109"/>
        <w:gridCol w:w="109"/>
        <w:gridCol w:w="109"/>
        <w:gridCol w:w="211"/>
        <w:gridCol w:w="82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and 2024, we recognized $14.7 million and $5.8 million, respectively, of revenues that were in Advance billings on contracts at the beginning of each year. During the nine months ended September 30, 2025 and 2024, we recognized $138.3 million and $92.2 million, respectively, of revenues that were in Advance billings on contracts at the beginning of each year.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dollar amount of revenue we expect to recognize in the future from performance obligations on contracts previously awarded and in progress. At September 30, 2025, our remaining performance obligations were $7,389.1 million. We expect to recognize approximately 35% of the revenue associated with our remaining performance obligations by the end of 2026, with the remainder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 PENSION PLANS AND POSTRETIREMENT BENEFITS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record the service cost component of net periodic benefit cost within Operating income on our condensed consolidated statements of income. For the three months ended September 30, 2025 and 2024, these amounts were $5.2 million and $2.0 million, respectively. For the nine months ended September 30, 2025 and 2024, these amounts were $10.3 million and $5.9 million, respectively. All other components of net periodic benefit cost are included in Other – net within the condensed consolidated statements of income. For the three months ended September 30, 2025 and 2024, these amounts were $(2.4) million and $(2.8) million, respectively. For the nine months ended September 30, 2025 and 2024, these amounts were $(6.1) million and $(8.5) million, respectively. Components of net periodic benefit cost included in net income were as follows:</w:t>
      </w:r>
    </w:p>
    <w:tbl>
      <w:tblPr>
        <w:tblW w:w="11065" w:type="dxa"/>
        <w:jc w:val="left"/>
        <w:tblInd w:w="0" w:type="dxa"/>
        <w:tblLayout w:type="fixed"/>
        <w:tblCellMar>
          <w:top w:w="28" w:type="dxa"/>
          <w:left w:w="28" w:type="dxa"/>
          <w:bottom w:w="28" w:type="dxa"/>
          <w:right w:w="28" w:type="dxa"/>
        </w:tblCellMar>
      </w:tblPr>
      <w:tblGrid>
        <w:gridCol w:w="741"/>
        <w:gridCol w:w="229"/>
        <w:gridCol w:w="23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COMMITMENTS AND CONTINGENCIES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material contingencies during the period covered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measured at fair value at September 30, 2025:</w:t>
      </w:r>
    </w:p>
    <w:tbl>
      <w:tblPr>
        <w:tblW w:w="7449"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Unclassified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measured at fair value at December 31, 2024:</w:t>
      </w:r>
    </w:p>
    <w:tbl>
      <w:tblPr>
        <w:tblW w:w="8710" w:type="dxa"/>
        <w:jc w:val="left"/>
        <w:tblInd w:w="0" w:type="dxa"/>
        <w:tblLayout w:type="fixed"/>
        <w:tblCellMar>
          <w:top w:w="28" w:type="dxa"/>
          <w:left w:w="28" w:type="dxa"/>
          <w:bottom w:w="28" w:type="dxa"/>
          <w:right w:w="28" w:type="dxa"/>
        </w:tblCellMar>
      </w:tblPr>
      <w:tblGrid>
        <w:gridCol w:w="879"/>
        <w:gridCol w:w="773"/>
        <w:gridCol w:w="778"/>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Unclassified</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investments based on quoted market prices. For investments for which there are no quoted market prices, we derive fair values from available yield curves for investments of similar quality and terms.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September 30, 2025 and December 31, 2024, we had FX forward contracts outstanding to purchase or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foreign currencies, primarily Canadian dollars and Euros, with a total fair value of $8.2 million. Derivative assets and liabilities are included in Accounts receivable – other and Accounts payable, respectively, on our condensed consolidated balance sheets.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used the following methods and assumptions in estimating our fair value disclosures for our other financial instruments, as follows:</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Cash and cash equivalents and restricted cash and cash equivalents</w:t>
      </w:r>
      <w:r>
        <w:rPr>
          <w:rFonts w:ascii="Times New Roman;serif" w:hAnsi="Times New Roman;serif"/>
          <w:b w:val="false"/>
          <w:color w:val="000000"/>
          <w:sz w:val="20"/>
        </w:rPr>
        <w:t>. The carrying amounts that we have reported in the accompanying condensed consolidated balance sheets for Cash and cash equivalents and Restricted cash and cash equivalents approximate their fair values due to their highly liquid nature.</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Long-term and short-term debt</w:t>
      </w:r>
      <w:r>
        <w:rPr>
          <w:rFonts w:ascii="Times New Roman;serif" w:hAnsi="Times New Roman;serif"/>
          <w:b w:val="false"/>
          <w:color w:val="000000"/>
          <w:sz w:val="20"/>
        </w:rPr>
        <w:t>. We base the fair values of debt instruments, including our 4.125% senior notes due 2028 (the "Senior Notes due 2028") and our 4.125% senior notes due 2029 (the "Senior Notes due 2029"), on quoted market prices. Where quoted prices are not available, we base the fair values on the present value of future cash flows discounted at estimated borrowing rates for similar debt instruments or on estimated prices based on current yields for debt issues of similar quality and terms. At September 30, 2025 and December 31, 2024, the fair value of the Senior Notes due 2028 was $377.7 million and $374.6 million, respectively, and the fair value of the Senior Notes due 2029 was $372.8 million and $371.9 million, respectively. The fair value of our remaining debt instruments approximated their carrying values at September 30, 2025 and December 31, 2024.</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Note receivable.</w:t>
      </w:r>
      <w:r>
        <w:rPr>
          <w:color w:val="000000"/>
        </w:rPr>
        <w:t xml:space="preserve"> </w:t>
      </w:r>
      <w:r>
        <w:rPr>
          <w:rFonts w:ascii="Times New Roman;serif" w:hAnsi="Times New Roman;serif"/>
          <w:b w:val="false"/>
          <w:color w:val="000000"/>
          <w:sz w:val="20"/>
        </w:rPr>
        <w:t>Included in Other current assets is a note receivable related to a third-party loan. We base the fair value of this level 2 note receivable instrument on the present value of future cash flows discounted at market interest rates for financial instruments with similar quality and terms. At September 30, 2025 and December 31, 2024, the carrying value of our note receivable was $6.4 million and $6.5 million, respectively, and approximated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 STOCK-BASED COMPENSATION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Stock-based compensation recognized for all of our plans for the three months ended September 30, 2025 and 2024 totaled $7.0 million and $4.6 million, respectively, with associated tax benefit totaling $1.3 million and $0.7 million, respectively. Stock-based compensation recognized for all of our plans for the nine months ended September 30, 2025 and 2024 totaled $20.3 million and $15.0 million, respectively, with associated tax benefit totaling $4.0 million and $2.5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 SEGMENT REPORTING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described in Note 1, our operations are assessed based on two reportable segments. An analysis of our operations by reportable segment is as follows:</w:t>
      </w:r>
    </w:p>
    <w:tbl>
      <w:tblPr>
        <w:tblW w:w="10205" w:type="dxa"/>
        <w:jc w:val="left"/>
        <w:tblInd w:w="0" w:type="dxa"/>
        <w:tblLayout w:type="fixed"/>
        <w:tblCellMar>
          <w:top w:w="28" w:type="dxa"/>
          <w:left w:w="28" w:type="dxa"/>
          <w:bottom w:w="28" w:type="dxa"/>
          <w:right w:w="28" w:type="dxa"/>
        </w:tblCellMar>
      </w:tblPr>
      <w:tblGrid>
        <w:gridCol w:w="1449"/>
        <w:gridCol w:w="1256"/>
        <w:gridCol w:w="1262"/>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4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Asset Disposals and Impairments,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1,348,545 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1,688,239 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Corporate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Operating Income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270,630 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(1)Other segment expenses include the total cost of operations and selling, general, and administrative expenses.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(2)Unallocated Corporate includes general corporate overhead not allocated to segments in addition to losses on asset disposals and impairments, net.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following amounts are included in Operating Income:</w:t>
      </w:r>
    </w:p>
    <w:p>
      <w:pPr>
        <w:pStyle w:val="TextBody"/>
        <w:bidi w:val="0"/>
        <w:spacing w:before="0" w:after="0"/>
        <w:jc w:val="left"/>
        <w:rPr/>
      </w:pPr>
      <w:r>
        <w:rPr/>
      </w:r>
    </w:p>
    <w:tbl>
      <w:tblPr>
        <w:tblW w:w="8111" w:type="dxa"/>
        <w:jc w:val="left"/>
        <w:tblInd w:w="0" w:type="dxa"/>
        <w:tblLayout w:type="fixed"/>
        <w:tblCellMar>
          <w:top w:w="28" w:type="dxa"/>
          <w:left w:w="28" w:type="dxa"/>
          <w:bottom w:w="28" w:type="dxa"/>
          <w:right w:w="28" w:type="dxa"/>
        </w:tblCellMar>
      </w:tblPr>
      <w:tblGrid>
        <w:gridCol w:w="938"/>
        <w:gridCol w:w="825"/>
        <w:gridCol w:w="83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Equity in Income of Investees</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tbl>
      <w:tblPr>
        <w:tblW w:w="9266" w:type="dxa"/>
        <w:jc w:val="left"/>
        <w:tblInd w:w="0" w:type="dxa"/>
        <w:tblLayout w:type="fixed"/>
        <w:tblCellMar>
          <w:top w:w="28" w:type="dxa"/>
          <w:left w:w="28" w:type="dxa"/>
          <w:bottom w:w="28" w:type="dxa"/>
          <w:right w:w="28" w:type="dxa"/>
        </w:tblCellMar>
      </w:tblPr>
      <w:tblGrid>
        <w:gridCol w:w="1283"/>
        <w:gridCol w:w="1126"/>
        <w:gridCol w:w="113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Information about our Product and Service Lines:</w:t>
      </w:r>
    </w:p>
    <w:tbl>
      <w:tblPr>
        <w:tblW w:w="9867"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Components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Uranium Processing and Nuclear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Reactor Design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Services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Information about our Consolidated Operations in Different Geographic Areas:</w:t>
      </w:r>
    </w:p>
    <w:tbl>
      <w:tblPr>
        <w:tblW w:w="7191" w:type="dxa"/>
        <w:jc w:val="left"/>
        <w:tblInd w:w="0" w:type="dxa"/>
        <w:tblLayout w:type="fixed"/>
        <w:tblCellMar>
          <w:top w:w="28" w:type="dxa"/>
          <w:left w:w="28" w:type="dxa"/>
          <w:bottom w:w="28" w:type="dxa"/>
          <w:right w:w="28" w:type="dxa"/>
        </w:tblCellMar>
      </w:tblPr>
      <w:tblGrid>
        <w:gridCol w:w="1413"/>
        <w:gridCol w:w="1242"/>
        <w:gridCol w:w="1245"/>
        <w:gridCol w:w="109"/>
        <w:gridCol w:w="109"/>
        <w:gridCol w:w="109"/>
        <w:gridCol w:w="211"/>
        <w:gridCol w:w="976"/>
        <w:gridCol w:w="109"/>
        <w:gridCol w:w="109"/>
        <w:gridCol w:w="109"/>
        <w:gridCol w:w="109"/>
        <w:gridCol w:w="211"/>
        <w:gridCol w:w="97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for revenues by geographic area for each of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Information about our Major Customers:</w:t>
      </w:r>
    </w:p>
    <w:p>
      <w:pPr>
        <w:pStyle w:val="TextBody"/>
        <w:bidi w:val="0"/>
        <w:spacing w:lineRule="auto" w:line="27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and 2024, sales to the U.S. Government accounted for approximately 91% and 92% of our Government Operations segment revenues, respectively. In the nine months ended September 30, 2025 and 2024, sales to the U.S. Government accounted for approximately 90% and 93% of our Government Operations segment revenues, respectively. In the three months ended September 30, 2025 and 2024, sales to large utility customers accounted for approximately 45% and 75% of our Commercial Operations segment revenues, respectively. In the nine months ended September 30, 2025 and 2024, sales to large utility customers accounted for approximately 56% and 75% of our Commercial Operations segment revenues, respectively.</w:t>
      </w:r>
    </w:p>
    <w:p>
      <w:pPr>
        <w:pStyle w:val="TextBody"/>
        <w:bidi w:val="0"/>
        <w:spacing w:lineRule="auto" w:line="276" w:before="30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Evaluation of segment performance:</w:t>
      </w:r>
    </w:p>
    <w:p>
      <w:pPr>
        <w:pStyle w:val="TextBody"/>
        <w:bidi w:val="0"/>
        <w:spacing w:lineRule="auto" w:line="27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measures the performance of each segment based on several metrics, including revenue and 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 EARNINGS PER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541"/>
        <w:gridCol w:w="1267"/>
        <w:gridCol w:w="1282"/>
        <w:gridCol w:w="109"/>
        <w:gridCol w:w="109"/>
        <w:gridCol w:w="109"/>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56"/>
      </w:tblGrid>
      <w:tr>
        <w:trPr/>
        <w:tc>
          <w:tcPr>
            <w:tcW w:w="154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91,565,095 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91,574,531 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91,567,382 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91,564,726 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91,565,095 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91,574,531 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91,567,382 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91,564,726 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 xml:space="preserve">Stock options, restricted stock units and performance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91,886,710 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91,849,724 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(1)At September 30, 2025 and 2024, we excluded 12,297 and 109,146 shares, respectively, from our diluted share calculation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should be read in conjunction with the unaudited condensed consolidated financial statements and the notes thereto included in Item 1 in Part I of this quarterly report on Form 10-Q ("Report"), as well as the audited consolidated financial statements and the related notes and Item 7 of our annual report on Form 10-K for the year ended December 31, 2024 (our "2024 10-K").</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this Report, unless the context otherwise indicates, "we," "us" and "our" mean BWX Technologies, Inc. ("BWXT" or the "Company") and its consolidated subsidiaries.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Cautionary Statement Concerning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our management or persons acting on our behalf make forward-looking statements to inform existing and potential security holders about our Company. Forward-looking statements include those statements that express a belief, expectation or intention, as well as those that are not statements of historical fact, within the meaning of Section 27A of the Securities Act of 1933 and Section 21E of the Securities Exchange Act of 1934, as amended (the "Exchange Act").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information currently available to us and our current expectations, estimates and projections about our Company, industries and business environment.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Item 1A of our 2024 10-K,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potential for government shutdowns and changing funding and acquisition priorities. On October 1, 2025, the U.S. Government entered a partial shutdown, the duration of which is uncertain. If this shutdown were to continue for an extended period, we could be at risk of program cancellations, schedule delays, production halts and other disruptions and nonpayment, which could adversely affect our results of operations. Additionally, we may experience delays in new awards of our products and services which could also adversely affect our results of operations. Accordingly, our actual results may differ materially from the future performance that we have expressed or forecast in our forward-looking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discussed many of these factors in more detail elsewhere in this Report. These factors are not necessarily all the factors that could affect us. Unpredictable or unanticipated factors we have not discussed in this Report or in our 2024 10-K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two reportable segments: Government Operations and Commercial Operations. In general, we operate in capital-intensive industries and rely on large contracts for a substantial amount of our revenues. We are currently exploring growth strategies across our segments to expand and complement our existing businesses. We would expect to fund these opportunities with cash generated from operations or by raising additional capital through debt, equity or some combination thereof.</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revenues of our Government Operations segment are largely a function of defense spending by the U.S. Government. Through this segment, we engineer, design and manufacture precision naval nuclear components, reactors and nuclear fuel for the U.S. Department of Energy ("DOE")/National Nuclear Safety Administration's Naval Nuclear Propulsion Program. In addition, this segment downblends Cold War-era government stockpiles of high-enriched uranium, develops and manufactures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4"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advanced materials and products for commercial, military and space applications and supplies proprietary and sole-source valves, manifolds and fittings to global naval and commercial shipping customers. As a supplier of major nuclear components for certain U.S. Government programs, this segment is a significant participant in the defense industry.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segment also provides various services to the U.S. Government by managing and operating high-consequence operations at U.S. nuclear weapons sites, national laboratories and manufacturing complexes. The revenues and equity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this segment is well-positioned to continue participating in the ongoing cleanup, operation and management of critical government-owned nuclear sites, laboratories and manufacturing complexes maintained by the DOE and other federal agencies.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Additionally, this segment also develops technology for a variety of applications, including advanced nuclear power sources, and offers complete advanced nuclear fuel and reactor design and engineering, licensing and manufacturing services for new advanced nuclear reactors.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 this segment, we design and manufacture commercial nuclear steam generators, heat exchangers, pressure vessels, reactor components, as well as other auxiliary equipment, including containers for the storage of spent nuclear fuel and other high-level nuclear waste. This segment is a leading supplier of nuclear fuel, fuel handling systems, tooling delivery systems, nuclear-grade materials and precisely machined components, and related services for CANDU nuclear power plants. This segment also provides a variety of engineering and in-plant services and offers a broad suite of lifecycle support and management services for the global nuclear power industry, transmission and distribution markets. This segment is a significant supplier to nuclear power utilities undergoing major refurbishment and plant life extension projects and is a global manufacturer and supplier of critical medical radioisotopes and radiopharmaceuticals.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Commercial Operations segment's overall activity primarily depends on the demand and competitiveness of nuclear energy and the demand for critical radioisotopes and radiopharmaceuticals. A significant portion of our Commercial Operations segment's operations depends on the timing of maintenance outages, the cyclical nature of capital expenditures and major refurbishment and life extension projects, as well as the demand for nuclear fuel and fuel handling equipment and engineering services primarily in the Canadian market, which could cause variability in our financial results.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Aerojet Ordnance Tennessee,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3, 2025, we completed the acquisition of Aerojet Ordnance Tennessee, Inc. ("A.O.T."), a subsidiary of L3Harris Technologies, Inc.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Kinectrics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acquired all of the equity interests of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which will enable us to expand our portfolio of products and services in the global nuclear market. Kinectrics is reported as part of our Commercial Operations segment.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2 to our condensed consolidated financial statements for additional information about our recent acquisition activity.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a summary of the critical accounting policies and estimates that we use in the preparation of our unaudited condensed consolidated financial statements, see Item 7 of our 2024 10-K. There have been no material changes to our critical accounting policies and estimates during the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5"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Contracts &amp; Revenue Recognition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recognize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we progress on our contracts and the underlying performance obligations,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revenues and operating income as follows:</w:t>
      </w:r>
    </w:p>
    <w:tbl>
      <w:tblPr>
        <w:tblW w:w="6764"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16"/>
        <w:gridCol w:w="109"/>
        <w:gridCol w:w="109"/>
        <w:gridCol w:w="109"/>
        <w:gridCol w:w="109"/>
        <w:gridCol w:w="211"/>
        <w:gridCol w:w="721"/>
        <w:gridCol w:w="109"/>
        <w:gridCol w:w="211"/>
        <w:gridCol w:w="721"/>
        <w:gridCol w:w="109"/>
        <w:gridCol w:w="109"/>
        <w:gridCol w:w="109"/>
        <w:gridCol w:w="109"/>
        <w:gridCol w:w="211"/>
        <w:gridCol w:w="61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(1)During the three months ended September 30, 2025, no adjustments to any one contract had a material impact on our consolidated financial statements. During the nine months ended September 30, 2025, our Government Operations segment results were favorably impacted by material contract adjustments related to a nuclear operations contract. The material adjustments resulted in an increase in revenue and operating income of $29.4 million during the nine months ended September 30, 2025. During the three and nine months ended September 30, 2024, no adjustments to any one contract had a material impact on our consolidated financial statements.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95"/>
        <w:jc w:val="left"/>
        <w:rPr>
          <w:rFonts w:ascii="Times New Roman;serif" w:hAnsi="Times New Roman;serif"/>
          <w:b/>
          <w:i/>
          <w:color w:val="000000"/>
          <w:sz w:val="20"/>
        </w:rPr>
      </w:pPr>
      <w:r>
        <w:rPr>
          <w:rFonts w:ascii="Times New Roman;serif" w:hAnsi="Times New Roman;serif"/>
          <w:b/>
          <w:i/>
          <w:color w:val="000000"/>
          <w:sz w:val="20"/>
        </w:rPr>
        <w:t>Results of Operations – Three and Nine Months Ended September 30, 2025 vs. Three and Nine Months Ended September 30,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Selected financial highlights are presented in the table below:</w:t>
      </w:r>
    </w:p>
    <w:tbl>
      <w:tblPr>
        <w:tblW w:w="10384" w:type="dxa"/>
        <w:jc w:val="left"/>
        <w:tblInd w:w="0" w:type="dxa"/>
        <w:tblLayout w:type="fixed"/>
        <w:tblCellMar>
          <w:top w:w="28" w:type="dxa"/>
          <w:left w:w="28" w:type="dxa"/>
          <w:bottom w:w="28" w:type="dxa"/>
          <w:right w:w="28" w:type="dxa"/>
        </w:tblCellMar>
      </w:tblPr>
      <w:tblGrid>
        <w:gridCol w:w="483"/>
        <w:gridCol w:w="358"/>
        <w:gridCol w:w="36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6"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Results of Operations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revenues increased 28.9%, or $194.3 million, to $866.3 million in the three months ended September 30, 2025 compared to $672.0 million for the corresponding period of 2024, due to increases in our Government Operations and Commercial Operations segments of $56.6 million and $137.9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$16.8 million to $113.3 million in the three months ended September 30, 2025 compared to $96.6 million for the corresponding period of 2024. Operating income in our Commercial Operations segment increased $17.2 million which was partially offset by a decrease in operating income in our Government Operations segment of $4.2 million when compared to the corresponding period in the prior year. Operating income also increased as a result of lower Unallocated Corporate expenses of $3.8 million when compared to the corresponding period in the prior year.</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Nine months ended</w:t>
      </w:r>
      <w:r>
        <w:rPr>
          <w:color w:val="000000"/>
        </w:rPr>
        <w:t xml:space="preserve"> </w:t>
      </w:r>
      <w:r>
        <w:rPr>
          <w:rFonts w:ascii="Times New Roman;serif" w:hAnsi="Times New Roman;serif"/>
          <w:b w:val="false"/>
          <w:i/>
          <w:color w:val="000000"/>
          <w:sz w:val="20"/>
        </w:rPr>
        <w:t>September 30, 2025 vs. 2024</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revenues increased 18.1%, or $355.2 million, to $2,312.6 million in the nine months ended September 30, 2025 compared to $1,957.4 million for the corresponding period of 2024, due to increases in our Government Operations and Commercial Operations segments of $172.9 million and $183.8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$24.1 million to $312.4 million in the nine months ended September 30, 2025 compared to $288.3 million for the corresponding period of 2024. Operating income in our Government Operations and Commercial Operations segments increased $24.7 million and 5.4 million, respectively, when compared to the corresponding period in the prior year. These increases were partially offset by an increase in Unallocated Corporate expenses of $6.0 million when compared to the corresponding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Operations</w:t>
      </w:r>
    </w:p>
    <w:tbl>
      <w:tblPr>
        <w:tblW w:w="10205" w:type="dxa"/>
        <w:jc w:val="left"/>
        <w:tblInd w:w="0" w:type="dxa"/>
        <w:tblLayout w:type="fixed"/>
        <w:tblCellMar>
          <w:top w:w="28" w:type="dxa"/>
          <w:left w:w="28" w:type="dxa"/>
          <w:bottom w:w="28" w:type="dxa"/>
          <w:right w:w="28" w:type="dxa"/>
        </w:tblCellMar>
      </w:tblPr>
      <w:tblGrid>
        <w:gridCol w:w="407"/>
        <w:gridCol w:w="357"/>
        <w:gridCol w:w="362"/>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Revenues increased $56.6 million, or 10.1%, to $616.7 million in the three months ended September 30, 2025 compared to $560.1 million for the corresponding period of 2024. The increase was primarily driven by the timing of long-lead material procurements of $53.3 million, increases in uranium processing and downblending operations of $12.2 million and an increase in revenues of $16.7 million associated with the acquisition of A.O.T., which was completed on January 3, 2025. These increases were partially offset by a decrease in revenues associated with our advanced technologies business.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decreased $4.2 million to $97.4 million in the three months ended September 30, 2025 compared to $101.6 million for the corresponding period of 2024. The operating income impact of the changes in revenues noted above were more than offset by expenses associated with the integration of the A.O.T. acquisition.</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Nine months ended</w:t>
      </w:r>
      <w:r>
        <w:rPr>
          <w:color w:val="000000"/>
        </w:rPr>
        <w:t xml:space="preserve"> </w:t>
      </w:r>
      <w:r>
        <w:rPr>
          <w:rFonts w:ascii="Times New Roman;serif" w:hAnsi="Times New Roman;serif"/>
          <w:b w:val="false"/>
          <w:i/>
          <w:color w:val="000000"/>
          <w:sz w:val="20"/>
        </w:rPr>
        <w:t>September 30, 2025 vs. 2024</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Revenues increased $172.9 million, or 10.9%, to $1,760.9 million in the nine months ended September 30, 2025 compared to $1,588.0 million for the corresponding period of 2024. The increase was primarily driven by the timing of long-lead material procurements of $115.3 million, increases in uranium processing and downblending operations of $56.7 million and an increase in revenues of $36.3 million associated with the acquisition of A.O.T., which was completed on January 3, 2025. These increases were partially offset by a decrease in revenues associated with our advanced technologies business.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increased $24.7 million to $304.5 million in the nine months ended September 30, 2025 compared to $279.8 million for the corresponding period of 2024, primarily driven by the operating income impact of the changes in revenues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7"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Operations</w:t>
      </w:r>
    </w:p>
    <w:tbl>
      <w:tblPr>
        <w:tblW w:w="10205" w:type="dxa"/>
        <w:jc w:val="left"/>
        <w:tblInd w:w="0" w:type="dxa"/>
        <w:tblLayout w:type="fixed"/>
        <w:tblCellMar>
          <w:top w:w="28" w:type="dxa"/>
          <w:left w:w="28" w:type="dxa"/>
          <w:bottom w:w="28" w:type="dxa"/>
          <w:right w:w="28" w:type="dxa"/>
        </w:tblCellMar>
      </w:tblPr>
      <w:tblGrid>
        <w:gridCol w:w="478"/>
        <w:gridCol w:w="418"/>
        <w:gridCol w:w="42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Revenues increased 121.9%, or $137.9 million, to $251.0 million in the three months ended September 30, 2025 compared to $113.1 million for the corresponding period of 2024. The increase was primarily related to the acquisition of Kinectrics, completed on May 20, 2025, which resulted in an increase in revenues of $94.6 million as well as an increase in revenues related to components manufacturing of $20.6 million when compared to the corresponding period in the prior year.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increased $17.2 million to $24.0 million in the three months ended September 30, 2025 compared to $6.7 million for the corresponding period of 2024. The increase was primarily related to the operating income impact of the changes in revenues noted above as well as a favorable shift in our product mix when compared to the corresponding period of the prior year. These increases were partially offset by a $2.7 million increase in expenses associated with the Kinectrics acquisition and restructuring-related activities.</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Nine months ended</w:t>
      </w:r>
      <w:r>
        <w:rPr>
          <w:color w:val="000000"/>
        </w:rPr>
        <w:t xml:space="preserve"> </w:t>
      </w:r>
      <w:r>
        <w:rPr>
          <w:rFonts w:ascii="Times New Roman;serif" w:hAnsi="Times New Roman;serif"/>
          <w:b w:val="false"/>
          <w:i/>
          <w:color w:val="000000"/>
          <w:sz w:val="20"/>
        </w:rPr>
        <w:t>September 30, 2025 vs. 2024</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Revenues increased 49.5%, or $183.8 million to $555.4 million in the nine months ended September 30, 2025 compared to $371.6 million for the corresponding period of 2024. The increase was primarily related to the acquisition of Kinectrics, completed on May 20, 2025, which resulted in an increase in revenues of $133.6 million as well as an increase in revenues related to components manufacturing of $67.4 million. These increases were partially offset by a $30.5 million decrease in revenues related to on-site inspection, maintenance, modification and refurbishment work when compared to the corresponding period in the prior year.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increased $5.4 million to $37.3 million in the nine months ended September 30, 2025 compared to $31.9 million for the corresponding period of 2024. The increase was primarily related to the operating income impact of the changes in revenues noted above which was partially offset by a $7.5 million increase in expenses associated with the Kinectrics acquisition and restructuring-related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Unallocated Corporate</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vs.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decreased $3.8 million in the three months ended September 30, 2025 compared to the corresponding period of 2024. The decrease was primarily related to a reduction in expenditures related to the transformation of our information technology infrastructure of $1.3 million as well as a decrease in legal and consulting costs associated with merger and acquisition related activities of $0.9 million when compared to the corresponding period of the prior year. We also experienced a reduction in healthcare costs due to the timing of claims when compared to the prior year.</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Nine months ended</w:t>
      </w:r>
      <w:r>
        <w:rPr>
          <w:color w:val="000000"/>
        </w:rPr>
        <w:t xml:space="preserve"> </w:t>
      </w:r>
      <w:r>
        <w:rPr>
          <w:rFonts w:ascii="Times New Roman;serif" w:hAnsi="Times New Roman;serif"/>
          <w:b w:val="false"/>
          <w:i/>
          <w:color w:val="000000"/>
          <w:sz w:val="20"/>
        </w:rPr>
        <w:t>September 30, 2025 vs.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increased $6.0 million in the nine months ended September 30, 2025 compared to the corresponding period of 2024. The increase was due to higher healthcare costs of $2.9 million related to the timing of claims in addition to an increase in legal and consulting costs associated with merger and acquisition related activities of $2.9 million when compared to the corresponding period in the prior year. We also experienced a $3.5 million increase in restructuring-related expenditures. These increases were partially offset by a decrease in expenditures related to the transformation of our information technology infrastructure of $2.4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8"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592"/>
        <w:gridCol w:w="521"/>
        <w:gridCol w:w="523"/>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5"/>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primarily operate in the U.S. and Canada and we recognize our U.S. income tax provision based on the U.S. federal statutory rate of 21%, our Canadian tax provision based on the Canadian local statutory rate of approximately 25%, and other foreign jurisdictions at various enacted rates.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September 30, 2025 was 23.6% as compared to 23.2% for the three months ended September 30, 2024. Our effective tax rate for the nine months ended September 30, 2025 was 20.5% as compared to 22.0% for the nine months ended September 30, 2024. The effective tax rates for the three and nine months ended September 30, 2025 differed from the U.S. corporate federal income tax rate of 21% primarily due to state income taxes within the U.S. and the unfavorable rate differential associated with our foreign earnings. The effective tax rates for the three and nine months ended September 30, 2024 were higher than the U.S. corporate federal income tax rate of 21% due to state income taxes within the U.S. and the unfavorable rate differential associated with our foreign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pStyle w:val="TextBody"/>
        <w:bidi w:val="0"/>
        <w:spacing w:lineRule="auto" w:line="288" w:before="240" w:after="283"/>
        <w:ind w:left="0" w:right="0" w:firstLine="495"/>
        <w:jc w:val="left"/>
        <w:rPr/>
      </w:pPr>
      <w:r>
        <w:rPr>
          <w:rFonts w:ascii="Times New Roman;serif" w:hAnsi="Times New Roman;serif"/>
          <w:b w:val="false"/>
          <w:color w:val="000000"/>
          <w:sz w:val="20"/>
        </w:rPr>
        <w:t xml:space="preserve">Our backlog is equal to our remaining performance obligations under contracts that meet the criteria in Financial Accounting Standards Board Topic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as discussed in Note 3 to our condensed consolidated financial statements included in this Report. It is possible that our methodology for determining backlog may not be comparable to methods used by other companies.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tbl>
      <w:tblPr>
        <w:tblW w:w="4987" w:type="dxa"/>
        <w:jc w:val="left"/>
        <w:tblInd w:w="0" w:type="dxa"/>
        <w:tblLayout w:type="fixed"/>
        <w:tblCellMar>
          <w:top w:w="28" w:type="dxa"/>
          <w:left w:w="28" w:type="dxa"/>
          <w:bottom w:w="28" w:type="dxa"/>
          <w:right w:w="28" w:type="dxa"/>
        </w:tblCellMar>
      </w:tblPr>
      <w:tblGrid>
        <w:gridCol w:w="744"/>
        <w:gridCol w:w="653"/>
        <w:gridCol w:w="657"/>
        <w:gridCol w:w="109"/>
        <w:gridCol w:w="109"/>
        <w:gridCol w:w="109"/>
        <w:gridCol w:w="257"/>
        <w:gridCol w:w="750"/>
        <w:gridCol w:w="132"/>
        <w:gridCol w:w="109"/>
        <w:gridCol w:w="109"/>
        <w:gridCol w:w="109"/>
        <w:gridCol w:w="245"/>
        <w:gridCol w:w="716"/>
        <w:gridCol w:w="17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approximate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do not include the value of our unconsolidated joint venture contracts in backlog.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ending backlog was $7,389.1 million, which included $2,172.2 million of unfunded backlog related to U.S. Government contracts. We expect to recognize approximately 35% of the revenue associated with our backlog by the end of 2026, with the remainder to be recognized thereafter.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Major new awards from the U.S. Government are typically received following Congressional approval of the budget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value of unexercised options excluded from backlog as of September 30, 2025, including previous awards, was approximately $2,800 million. We expect $1,400 million to be awarded in 2026, $900 million to be awarded in 2030 and $500 million to be awarded in 2035, subject to annual Congressional appropriations.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9"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October 12, 2022, we entered into an Amended and Restated Credit Agreement (the "Credit Facility") with Wells Fargo Bank, National Association, as administrative agent, and the other lenders party thereto. The Credit Facility consists of a $750 million senior secured revolving credit facility (the "Revolving Credit Facility") and a $250 million senior secured term A loan (the "Term Loan"). The Revolving Credit Facility and the Term Loan are scheduled to mature on October 12, 2027. The proceeds of loans under the Credit Facility are available for working capital needs, permitted acquisitions and other general corporate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Credit Facility allows for additional parties to become lenders and, subject to certain conditions, for the increase of the commitments under the Credit Facility, subject to an aggregate maximum for all additional commitments of (1) the greater of (a) $400 million and (b) 100% of EBITDA, as defined in the Credit Facility, for the last four full fiscal quarters, plus (2) all voluntary prepayments of the Term Loan, plus (3) additional amounts provided the Company is in compliance with a pro forma first lien net leverage ratio test of less than or equal to 2.50 to 1.00.</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Credit Facility are guaranteed, subject to certain exceptions, by substantially all of the Company's present and future wholly owned domestic restricted subsidiaries. The Credit Facility is secured by first-priority liens on certain assets owned by the Company and its subsidiary guarantors (other than its subsidiaries comprising a portion of its Government Operations segment).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Facility requires interest payments on outstanding loans on a periodic basis until maturity. We are required to make quarterly amortization payments on the Term Loan in an amount equal to 1.25% of the initial aggregate principal amount of the Term Loan on the last business day of each quarter, with the balance of the Term Loan due at maturity. We may prepay all loans under the Credit Facility at any time without premium or penalty (other than customary Term SOFR breakage costs), subject to notice requirements.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Credit Facility includes financial covenants that are evaluated on a quarterly basis, based on the rolling four-quarter period that ends on the last day of each fiscal quarter. The maximum permitted total net leverage ratio is 4.00 to 1.00, which may be increased to 4.50 to 1.00 for up to four consecutive fiscal quarters after a material acquisition. The minimum consolidated interest coverage ratio is 3.00 to 1.00. In addition, the Credit Facility contains various restrictive covenants, including with respect to debt, liens, investments, mergers, acquisitions, dividends, equity repurchases and asset sales. As of September 30, 2025, we were in compliance with all covenants set forth in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Outstanding loans under the Credit Facility bear interest at our option at either (1) the Term SOFR plus a credit spread adjustment of 0.10% plus a margin ranging from 1.0% to 1.75% per year or (2) the base rate plus a margin ranging from 0.0% to 0.75% per year. We are charged a commitment fee on the unused portion of the Revolving Credit Facility, and that fee ranges from 0.15% to 0.225% per year. Additionally, we are charged a letter of credit fee of between 1.0% and 1.75% per year with respect to the amount of each financial letter of credit issued under the Revolving Credit Facility, and a letter of credit fee of between 0.75% and 1.05% per year with respect to the amount of each performance letter of credit issued under the Revolving Credit Facility. The applicable margin for loans, the commitment fee and the letter of credit fees set forth above will vary quarterly based on our total net leverage ratio. Based on the total net leverage ratio applicable at September 30, 2025, the margin for Term SOFR and base rate loans was 1.25% and 0.25%, respectively, the letter of credit fee for financial letters of credit and performance letters of credit was 1.25% and 0.825%, respectively, and the commitment fee for the unused portion of the Revolving Credit Facility was 0.175%.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borrowings under the Term Loan totaled $228.1 million, borrowings and letters of credit issued under the Revolving Credit Facility totaled $485.0 million and $1.4 million, respectively, and we had $263.6 million available under the Revolving Credit Facility for borrowings and to meet letter of credit requirements. As of September 30, 2025, the weighted-average interest rate on outstanding borrowings under the Credit Facility was 5.75%.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Credit Facility generally includes customary events of default for a secured credit facility. Under the Credit Facility, (1) if an event of default relating to bankruptcy or other insolvency events occurs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any default occurs under the Credit Facility, or if we are unable to make any of the representations and warranties in the Credit Facility, we will be unable to borrow funds or have letters of credit issued under the Credit Facility.</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 due 2028</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may redeem the Senior Notes due 2028, in whole or in part, at any time at a redemption price equal to 100.0% of the principal amount to be redeemed plus accrued and unpaid interest, if any, to, but excluding, the redemption date.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September 30, 2025, we were in compliance with all covenants set forth in the 2020 Indenture and the Senior Notes due 2028.</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 due 2029</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may redeem the Senior Notes due 2029, in whole or in part, at any time at a redemption price equal to (i) 101.031% of the principal amount to be redeemed if the redemption occurs during the 12-month period beginning on April 15, 2025 and (ii) 100.0% of the principal amount to be redeemed if the redemption occurs on or after April 15, 2026, in each case plus accrued and unpaid interest, if any, to, but excluding, the redemption date.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September 30, 2025, we were in compliance with all covenants set forth in the 2021 Indenture and the Senior Notes due 2029.</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September 30, 2025, surety bonds issued and outstanding under these arrangements totaled approximately $321.6 million.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Similarly, we have provided letters of credit and bank guarantees to governmental agencies and contractual counterparties to support regulatory and contractual obligations for certain decommissioning responsibilities, projects and legal matters. We utilize our Revolving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benefit of the collateral under our Credit Facility. On May 14, 2025 we amended our Credit Facility to increase the maximum aggregate amount of the bilateral letter of credit facility to $75 million. Although there can be no assurance that we will maintain our bilateral letter of credit facility capacity, we believe our current capacity, together with capacity under our Revolving Credit Facility, is adequate to support our existing requirements for the next 12 months. As of September 30, 2025, letters of credit and bank guarantees issued and outstanding under our bilateral letter of credit facility totaled approximately $53.5 million, and such letters of credit and bank guarantees are secured by the collateral under our Credit Facility.</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Long-term Benefit Obligations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underfunded defined benefit pension and postretirement benefit plans with obligations totaling approximately $184.1 million. These long-term liabilities are expected to require use of our resources to satisfy future funding obligations. Based largely on statutory funding requirements, we expect to make contributions of approximately $7.2 million for the remainder of 2025 related to our pension and postretirement plans. We may also make additional contributions based on a variety of factors including, but not limited to, tax planning, evaluation of funded status and risk mitigation strategies.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Restricted Cash and 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domestic and foreign cash and cash equivalents, restricted cash and cash equivalents and investments as of September 30, 2025 and December 31, 2024 were as follows:</w:t>
      </w:r>
    </w:p>
    <w:tbl>
      <w:tblPr>
        <w:tblW w:w="3819"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31"/>
        <w:gridCol w:w="790"/>
        <w:gridCol w:w="119"/>
        <w:gridCol w:w="109"/>
        <w:gridCol w:w="109"/>
        <w:gridCol w:w="109"/>
        <w:gridCol w:w="221"/>
        <w:gridCol w:w="757"/>
        <w:gridCol w:w="16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working capital increased by $1.7 million to $457.5 million at September 30, 2025 from $455.8 million at December 31, 2024, primarily due to net changes in contracts in progress and advance billings on contracts due to the timing of project cash flows, as well as increases in accounts receivable and retainages which were offset by increases in accounts payable and accrued liabilities.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increased by $221.3 million to $352.9 million in the nine months ended September 30, 2025, compared to cash provided by operating activities of $131.5 million in the nine months ended September 30, 2024. The increase in cash provided by operating activities was primarily attributable to the timing of project cash flows as well as increases in income taxes payable and accrued liabilities.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increased by $573.0 million to $673.9 million in the nine months ended September 30, 2025, compared to cash used in investing activities $100.9 million in the nine months ended September 30, 2024. The increase in cash used in investing activities was primarily attributable to the acquisitions of A.O.T. and Kinectrics for $101.1 million and $434.9 million, respectively, net of cash acquired. We also experienced an increase in investments in equity method investees of $31.0 million.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provided by financing activities increased by $409.5 million to $339.6 million in the nine months ended September 30, 2025, compared to cash used in financing activities of $69.9 million in the nine months ended September 30, 2024. The increase in cash used in financing activities was primarily due to an increase in net borrowings of long-term debt of $430.3 million which was partially offset by a $10.0 million increase in repurchases of common stock when compared to the corresponding period of the prior year.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restricted cash and cash equivalents totaling $7.4 million, $4.3 million of which was held for future decommissioning of facilities (which is included in Other Assets on our condensed consolidated balance sheets) and $3.1 million of which was held to meet reinsurance reserve requirements of our captive insurer.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long-term investments with a fair value of $8.0 million and our investment portfolio consisted entirely of mutual funds. These equity securities are carried at fair value with the unrealized gains and losses reported in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32"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Cash Requirements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we have sufficient cash and cash equivalents and borrowing capacity, along with cash generated from operations and continued access to capital markets, to satisfy our cash requirements for the next 12 months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exposures to market risks have not changed materially from those disclosed in Item 7A of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carried out an evaluation of the effectiveness of the design and operation of our disclosure controls and procedures (as that term is defined in Rules 13a-15(e) and 15d-15(e) adopted by the Securities and Exchange Commission ("SEC") under the Exchange Act). This evaluation was conducted under the supervision and with the participation of management, including our Chief Executive Officer and Chief Financial Officer.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the evaluation referred to above, our Chief Executive Officer and Chief Financial Officer concluded that the design and operation of our disclosure controls and procedures are effective as of September 30, 2025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as appropriate to allow timely decisions regarding disclosure.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completed the acquisition of Kinectrics and started the process of integrating Kinectrics into our operations and internal control structure. Certain internal controls over financial reporting related to Kinectrics have been impacted by changes made to conform to existing controls and procedures of BWXT. Other than the changes resulting from the Kinectrics acquisition, there have been no changes in our internal control over financial reporting that have materially affected, or are reasonably likely to materially affect, our internal control over financial reporting. The integration of Kinectrics is expected to continue into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3"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information regarding ongoing investigations and litigation, see Note 5 to our unaudited condensed consolidated financial statements in Part I of this Report, which we incorporate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in this Report, the other factors presented in Item 1A of our 2024 10-K are some of the factors that could materially affect our business, financial condition or future results. There have been no material changes to our risk factors from those disclosed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November 2012, we have periodically announced that our Board of Directors has authorized share repurchase programs. The following table provides information on our purchases of equity securities during the three months ended September 30, 2025. Any shares purchased that were not part of a publicly announced plan or program are related to repurchases of common stock pursuant to the provisions of employee benefit plans that permit the repurchase of shares to satisfy statutory tax withholding obligations.</w:t>
      </w:r>
    </w:p>
    <w:tbl>
      <w:tblPr>
        <w:tblW w:w="10205" w:type="dxa"/>
        <w:jc w:val="left"/>
        <w:tblInd w:w="0" w:type="dxa"/>
        <w:tblLayout w:type="fixed"/>
        <w:tblCellMar>
          <w:top w:w="28" w:type="dxa"/>
          <w:left w:w="28" w:type="dxa"/>
          <w:bottom w:w="28" w:type="dxa"/>
          <w:right w:w="28" w:type="dxa"/>
        </w:tblCellMar>
      </w:tblPr>
      <w:tblGrid>
        <w:gridCol w:w="836"/>
        <w:gridCol w:w="425"/>
        <w:gridCol w:w="429"/>
        <w:gridCol w:w="109"/>
        <w:gridCol w:w="109"/>
        <w:gridCol w:w="109"/>
        <w:gridCol w:w="425"/>
        <w:gridCol w:w="425"/>
        <w:gridCol w:w="426"/>
        <w:gridCol w:w="109"/>
        <w:gridCol w:w="109"/>
        <w:gridCol w:w="109"/>
        <w:gridCol w:w="211"/>
        <w:gridCol w:w="721"/>
        <w:gridCol w:w="109"/>
        <w:gridCol w:w="109"/>
        <w:gridCol w:w="109"/>
        <w:gridCol w:w="109"/>
        <w:gridCol w:w="1008"/>
        <w:gridCol w:w="1008"/>
        <w:gridCol w:w="1010"/>
        <w:gridCol w:w="109"/>
        <w:gridCol w:w="109"/>
        <w:gridCol w:w="109"/>
        <w:gridCol w:w="400"/>
        <w:gridCol w:w="1168"/>
        <w:gridCol w:w="296"/>
      </w:tblGrid>
      <w:tr>
        <w:trPr/>
        <w:tc>
          <w:tcPr>
            <w:tcW w:w="8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shares</w:t>
            </w:r>
          </w:p>
          <w:p>
            <w:pPr>
              <w:pStyle w:val="TableContents"/>
              <w:bidi w:val="0"/>
              <w:spacing w:lineRule="auto" w:line="240" w:before="0" w:after="0"/>
              <w:jc w:val="center"/>
              <w:rPr/>
            </w:pPr>
            <w:r>
              <w:rPr>
                <w:rFonts w:ascii="Times New Roman;serif" w:hAnsi="Times New Roman;serif"/>
                <w:b/>
                <w:color w:val="000000"/>
                <w:sz w:val="20"/>
              </w:rPr>
              <w:t xml:space="preserve">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 dollar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 of shares that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may yet be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under the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 or programs</w:t>
            </w:r>
          </w:p>
          <w:p>
            <w:pPr>
              <w:pStyle w:val="TableContents"/>
              <w:bidi w:val="0"/>
              <w:spacing w:lineRule="auto" w:line="240" w:before="0" w:after="0"/>
              <w:jc w:val="center"/>
              <w:rPr/>
            </w:pPr>
            <w:r>
              <w:rPr>
                <w:rFonts w:ascii="Times New Roman;serif" w:hAnsi="Times New Roman;serif"/>
                <w:b/>
                <w:color w:val="000000"/>
                <w:sz w:val="20"/>
              </w:rPr>
              <w:t xml:space="preserve">(in millions) </w:t>
            </w:r>
            <w:r>
              <w:rPr>
                <w:rFonts w:ascii="Times New Roman;serif" w:hAnsi="Times New Roman;serif"/>
                <w:b/>
                <w:color w:val="000000"/>
                <w:sz w:val="12"/>
              </w:rPr>
              <w:t>(2)</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0, 5,356 and 152 shares repurchased during July, August and September, respectively, pursuant to the provisions of employee benefit plans that permit the repurchase of shares to satisfy statutory tax withholding obligations.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(2)On April 30, 2021, our Board of Directors authorized us to repurchase an indeterminate number of shares of our common stock at an aggregate market value of up to $500 million with no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officer of the Company adopted or terminated a "Rule 10b5-1 trading arrangement" or "non-Rule 10b5-1 trading arrangement," as each term is defined in Item 408(a) of Regulation S-K, except (i) on August 11, 2025, Rex Geveden, President and Chief Executive Officer and a director, entered into a trading plan (the "Geveden Plan") intended to satisfy the affirmative defense conditions of Rule 10b5-1(c) and (ii) on August 28, 2025, Kevin McCoy, Chief Nuclear Officer, entered into a trading plan (the "McCoy Plan") intended to satisfy the affirmative defense conditions of Rule 10b5-1(c). The Geveden Plan provides for the sale of an aggregate of up to 40,000 shares of common stock of the Company and terminates on August 14, 2026, unless terminated sooner in accordance with its terms. The McCoy Plan provides for the sale of an aggregate of up to 9,986 shares of common stock of the Company and terminates on August 31, 2026, unless terminated sooner in accordance with its terms.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Chief Accounting Officer Appointment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29, 2025, the Company appointed Kevin J. Gorman as Vice President &amp; Chief Accounting Officer of the Company, effective as of November 6, 2025. In connection with Mr. Gorman's appointment, Michael T. Fitzgerald, who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4"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currently serves as Chief Accounting Officer, will step down from this role as of November 6, 2025 but will remain employed as Senior Vice President and Chief Financial Officer of the Company.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Mr. Gorman has served as Corporate Controller of the Company since 2022. Prior to that, he served as Assistant Corporate Controller of the Company from 2015 to 2022 and in various controller roles within the Company's commercial nuclear energy business from 2011 to 2015. Prior to joining the Company, he worked for two years at The Shaw Group, Inc. in various accounting roles and 13 years at Deloitte &amp; Touche LLP, most recently as Audit Senior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5"/>
        <w:gridCol w:w="247"/>
        <w:gridCol w:w="109"/>
        <w:gridCol w:w="109"/>
        <w:gridCol w:w="109"/>
        <w:gridCol w:w="2676"/>
        <w:gridCol w:w="2649"/>
        <w:gridCol w:w="3783"/>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Amendment to Restated Certificate of Incorporation dated May 14, 2019 (incorporated by reference to Exhibit 3.1 to the Company's Current Report on Form 8-K filed with the SEC on May 17, 2019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Company (incorporated by reference to Exhibit 3.2 to the Company's Current Report on Form 8-K filed with the SEC on May 17, 2019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"https://www.sec.gov/ix?doc=/Archives/edgar/data/0001486957/000148695725000032/bwxt-20250502.htm" \l "ifabfe6a709cf4446811566db7e35ce82_226"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Certificate of Amendment to Restated Certificate of Incorporation of BWX Technologies, Inc. dated May 5, 2025 (incorporated by reference to Exhibit 3.1 to the Company’s Current Report on Form 8-K filed with the SEC on May 3, 2025 (File No. 1-34658)).</w:t>
            </w:r>
            <w:r>
              <w:rPr>
                <w:rStyle w:val="InternetLink"/>
                <w:sz w:val="20"/>
                <w:u w:val="single"/>
                <w:b w:val="false"/>
                <w:rFonts w:ascii="Times New Roman;serif" w:hAnsi="Times New Roman;serif"/>
                <w:color w:val="0000FF"/>
              </w:rPr>
              <w:fldChar w:fldCharType="end"/>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effective August 2, 2023 (incorporated by reference to Exhibit 3.3 to the Company's Quarterly Report on Form 10-Q for the quarter ended June 30, 2023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_9302025x10q.htm">
              <w:r>
                <w:rPr>
                  <w:rStyle w:val="InternetLink"/>
                  <w:rFonts w:ascii="Times New Roman;serif" w:hAnsi="Times New Roman;serif"/>
                  <w:b w:val="false"/>
                  <w:color w:val="000080"/>
                  <w:sz w:val="20"/>
                  <w:u w:val="single"/>
                </w:rPr>
                <w:t xml:space="preserve">Supplemental Indenture No. 3, dated as of August 28, 2025, between BWX Technologies, Inc., </w:t>
              </w:r>
            </w:hyperlink>
            <w:hyperlink w:anchor="exhibit101_9302025x10q.htm">
              <w:r>
                <w:rPr>
                  <w:rStyle w:val="InternetLink"/>
                  <w:rFonts w:ascii="Times New Roman;serif" w:hAnsi="Times New Roman;serif"/>
                  <w:b w:val="false"/>
                  <w:color w:val="000080"/>
                  <w:sz w:val="20"/>
                  <w:u w:val="single"/>
                </w:rPr>
                <w:t>certain</w:t>
              </w:r>
            </w:hyperlink>
            <w:hyperlink w:anchor="exhibit101_9302025x10q.htm">
              <w:r>
                <w:rPr>
                  <w:rStyle w:val="InternetLink"/>
                  <w:rFonts w:ascii="Times New Roman;serif" w:hAnsi="Times New Roman;serif"/>
                  <w:b w:val="false"/>
                  <w:color w:val="000080"/>
                  <w:sz w:val="20"/>
                  <w:u w:val="single"/>
                </w:rPr>
                <w:t xml:space="preserve"> of it</w:t>
              </w:r>
            </w:hyperlink>
            <w:hyperlink w:anchor="exhibit101_9302025x10q.htm">
              <w:r>
                <w:rPr>
                  <w:rStyle w:val="InternetLink"/>
                  <w:rFonts w:ascii="Times New Roman;serif" w:hAnsi="Times New Roman;serif"/>
                  <w:b w:val="false"/>
                  <w:color w:val="000080"/>
                  <w:sz w:val="20"/>
                  <w:u w:val="single"/>
                </w:rPr>
                <w:t>s consolidated</w:t>
              </w:r>
            </w:hyperlink>
            <w:hyperlink w:anchor="exhibit101_9302025x10q.htm">
              <w:r>
                <w:rPr>
                  <w:rStyle w:val="InternetLink"/>
                  <w:rFonts w:ascii="Times New Roman;serif" w:hAnsi="Times New Roman;serif"/>
                  <w:b w:val="false"/>
                  <w:color w:val="000080"/>
                  <w:sz w:val="20"/>
                  <w:u w:val="single"/>
                </w:rPr>
                <w:t xml:space="preserve"> subsidiaries, and U.S. Bank Trust Company, National Association, as a Trustee under the Indenture, dated as of April 13, 2021.</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_9302025x10q.htm">
              <w:r>
                <w:rPr>
                  <w:rStyle w:val="InternetLink"/>
                  <w:rFonts w:ascii="Times New Roman;serif" w:hAnsi="Times New Roman;serif"/>
                  <w:b w:val="false"/>
                  <w:color w:val="000080"/>
                  <w:sz w:val="20"/>
                  <w:u w:val="single"/>
                </w:rPr>
                <w:t xml:space="preserve">Supplemental Indenture No. 4, dated as of August 28, 2025, between BWX Technologies, Inc., </w:t>
              </w:r>
            </w:hyperlink>
            <w:hyperlink w:anchor="exhibit102_9302025x10q.htm">
              <w:r>
                <w:rPr>
                  <w:rStyle w:val="InternetLink"/>
                  <w:rFonts w:ascii="Times New Roman;serif" w:hAnsi="Times New Roman;serif"/>
                  <w:b w:val="false"/>
                  <w:color w:val="000080"/>
                  <w:sz w:val="20"/>
                  <w:u w:val="single"/>
                </w:rPr>
                <w:t>certain</w:t>
              </w:r>
            </w:hyperlink>
            <w:hyperlink w:anchor="exhibit102_9302025x10q.htm">
              <w:r>
                <w:rPr>
                  <w:rStyle w:val="InternetLink"/>
                  <w:rFonts w:ascii="Times New Roman;serif" w:hAnsi="Times New Roman;serif"/>
                  <w:b w:val="false"/>
                  <w:color w:val="000080"/>
                  <w:sz w:val="20"/>
                  <w:u w:val="single"/>
                </w:rPr>
                <w:t xml:space="preserve"> of its consolidated</w:t>
              </w:r>
            </w:hyperlink>
            <w:hyperlink w:anchor="exhibit102_9302025x10q.htm">
              <w:r>
                <w:rPr>
                  <w:rStyle w:val="InternetLink"/>
                  <w:rFonts w:ascii="Times New Roman;serif" w:hAnsi="Times New Roman;serif"/>
                  <w:b w:val="false"/>
                  <w:color w:val="000080"/>
                  <w:sz w:val="20"/>
                  <w:u w:val="single"/>
                </w:rPr>
                <w:t xml:space="preserve"> subsidiaries, and U.S. Bank Trust Company, National Association, as a trustee under the Indenture, dated as of June 12, 2020</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93025x10q.htm">
              <w:r>
                <w:rPr>
                  <w:rStyle w:val="InternetLink"/>
                  <w:rFonts w:ascii="Times New Roman;serif" w:hAnsi="Times New Roman;serif"/>
                  <w:b w:val="false"/>
                  <w:color w:val="0000FF"/>
                  <w:sz w:val="20"/>
                  <w:u w:val="single"/>
                </w:rPr>
                <w:t>Rule 13a-14(a)/15d-14(a) certification of Chief Executive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93025x10q.htm">
              <w:r>
                <w:rPr>
                  <w:rStyle w:val="InternetLink"/>
                  <w:rFonts w:ascii="Times New Roman;serif" w:hAnsi="Times New Roman;serif"/>
                  <w:b w:val="false"/>
                  <w:color w:val="0000FF"/>
                  <w:sz w:val="20"/>
                  <w:u w:val="single"/>
                </w:rPr>
                <w:t>Rule 13a-14(a)/15d-14(a) certification of Chief Financial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93025x10q.htm">
              <w:r>
                <w:rPr>
                  <w:rStyle w:val="InternetLink"/>
                  <w:rFonts w:ascii="Times New Roman;serif" w:hAnsi="Times New Roman;serif"/>
                  <w:b w:val="false"/>
                  <w:color w:val="0000FF"/>
                  <w:sz w:val="20"/>
                  <w:u w:val="single"/>
                </w:rPr>
                <w:t>Section 1350 certification of Chief Executive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93025x10q.htm">
              <w:r>
                <w:rPr>
                  <w:rStyle w:val="InternetLink"/>
                  <w:rFonts w:ascii="Times New Roman;serif" w:hAnsi="Times New Roman;serif"/>
                  <w:b w:val="false"/>
                  <w:color w:val="0000FF"/>
                  <w:sz w:val="20"/>
                  <w:u w:val="single"/>
                </w:rPr>
                <w:t>Section 1350 certification of Chief Financial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5e3e89906d414e8284c902221799be7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308" w:type="dxa"/>
        <w:jc w:val="left"/>
        <w:tblInd w:w="0" w:type="dxa"/>
        <w:tblLayout w:type="fixed"/>
        <w:tblCellMar>
          <w:top w:w="28" w:type="dxa"/>
          <w:left w:w="28" w:type="dxa"/>
          <w:bottom w:w="28" w:type="dxa"/>
          <w:right w:w="28" w:type="dxa"/>
        </w:tblCellMar>
      </w:tblPr>
      <w:tblGrid>
        <w:gridCol w:w="587"/>
        <w:gridCol w:w="516"/>
        <w:gridCol w:w="517"/>
        <w:gridCol w:w="134"/>
        <w:gridCol w:w="134"/>
        <w:gridCol w:w="136"/>
        <w:gridCol w:w="1838"/>
        <w:gridCol w:w="1838"/>
        <w:gridCol w:w="260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BWX TECHNOLOGIES, INC.</w:t>
            </w:r>
          </w:p>
        </w:tc>
      </w:tr>
      <w:tr>
        <w:trPr/>
        <w:tc>
          <w:tcPr>
            <w:tcW w:w="83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Chief Accounting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6"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SUPPLEMENTAL INDENTURE NO. 3</w:t>
      </w:r>
    </w:p>
    <w:p>
      <w:pPr>
        <w:pStyle w:val="TextBody"/>
        <w:bidi w:val="0"/>
        <w:spacing w:lineRule="auto" w:line="288" w:before="0" w:after="240"/>
        <w:ind w:left="0" w:right="0" w:firstLine="720"/>
        <w:jc w:val="both"/>
        <w:rPr/>
      </w:pPr>
      <w:r>
        <w:rPr>
          <w:rFonts w:ascii="Times New Roman;serif" w:hAnsi="Times New Roman;serif"/>
          <w:b w:val="false"/>
          <w:color w:val="000000"/>
          <w:sz w:val="24"/>
        </w:rPr>
        <w:t>SUPPLEMENTAL INDENTURE NO. 3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dated as of August 28, 2025, among BWX Technologies, Inc.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BWXT ENRICHMENT OPERATIONS, LLC, a Delaware limited liability company (“</w:t>
      </w:r>
      <w:r>
        <w:rPr>
          <w:rFonts w:ascii="Times New Roman;serif" w:hAnsi="Times New Roman;serif"/>
          <w:b w:val="false"/>
          <w:color w:val="000000"/>
          <w:sz w:val="24"/>
          <w:u w:val="single"/>
        </w:rPr>
        <w:t>Enrichment Operations</w:t>
      </w:r>
      <w:r>
        <w:rPr>
          <w:color w:val="000000"/>
        </w:rPr>
        <w:t>”</w:t>
      </w:r>
      <w:r>
        <w:rPr>
          <w:rFonts w:ascii="Times New Roman;serif" w:hAnsi="Times New Roman;serif"/>
          <w:b w:val="false"/>
          <w:color w:val="000000"/>
          <w:sz w:val="24"/>
        </w:rPr>
        <w:t>), BWXT ENRICHMENT SERVICES, LLC, a Delaware limited liability company (“</w:t>
      </w:r>
      <w:r>
        <w:rPr>
          <w:rFonts w:ascii="Times New Roman;serif" w:hAnsi="Times New Roman;serif"/>
          <w:b w:val="false"/>
          <w:color w:val="000000"/>
          <w:sz w:val="24"/>
          <w:u w:val="single"/>
        </w:rPr>
        <w:t>Enrichment Services</w:t>
      </w:r>
      <w:r>
        <w:rPr>
          <w:color w:val="000000"/>
        </w:rPr>
        <w:t>”</w:t>
      </w:r>
      <w:r>
        <w:rPr>
          <w:rFonts w:ascii="Times New Roman;serif" w:hAnsi="Times New Roman;serif"/>
          <w:b w:val="false"/>
          <w:color w:val="000000"/>
          <w:sz w:val="24"/>
        </w:rPr>
        <w:t>), KINECTRICS US INC., a Delaware corporation (“</w:t>
      </w:r>
      <w:r>
        <w:rPr>
          <w:rFonts w:ascii="Times New Roman;serif" w:hAnsi="Times New Roman;serif"/>
          <w:b w:val="false"/>
          <w:color w:val="000000"/>
          <w:sz w:val="24"/>
          <w:u w:val="single"/>
        </w:rPr>
        <w:t>Kinectrics US</w:t>
      </w:r>
      <w:r>
        <w:rPr>
          <w:color w:val="000000"/>
        </w:rPr>
        <w:t>”</w:t>
      </w:r>
      <w:r>
        <w:rPr>
          <w:rFonts w:ascii="Times New Roman;serif" w:hAnsi="Times New Roman;serif"/>
          <w:b w:val="false"/>
          <w:color w:val="000000"/>
          <w:sz w:val="24"/>
        </w:rPr>
        <w:t>), KINECTRICS AES INC., a Delaware corporation (“</w:t>
      </w:r>
      <w:r>
        <w:rPr>
          <w:rFonts w:ascii="Times New Roman;serif" w:hAnsi="Times New Roman;serif"/>
          <w:b w:val="false"/>
          <w:color w:val="000000"/>
          <w:sz w:val="24"/>
          <w:u w:val="single"/>
        </w:rPr>
        <w:t>Kinectrics AES</w:t>
      </w:r>
      <w:r>
        <w:rPr>
          <w:color w:val="000000"/>
        </w:rPr>
        <w:t>”</w:t>
      </w:r>
      <w:r>
        <w:rPr>
          <w:rFonts w:ascii="Times New Roman;serif" w:hAnsi="Times New Roman;serif"/>
          <w:b w:val="false"/>
          <w:color w:val="000000"/>
          <w:sz w:val="24"/>
        </w:rPr>
        <w:t>), BWXT ADVANCED FUELS, LLC, a Delaware limited liability company (“</w:t>
      </w:r>
      <w:r>
        <w:rPr>
          <w:rFonts w:ascii="Times New Roman;serif" w:hAnsi="Times New Roman;serif"/>
          <w:b w:val="false"/>
          <w:color w:val="000000"/>
          <w:sz w:val="24"/>
          <w:u w:val="single"/>
        </w:rPr>
        <w:t>Advanced Fuels</w:t>
      </w:r>
      <w:r>
        <w:rPr>
          <w:color w:val="000000"/>
        </w:rPr>
        <w:t>”</w:t>
      </w:r>
      <w:r>
        <w:rPr>
          <w:rFonts w:ascii="Times New Roman;serif" w:hAnsi="Times New Roman;serif"/>
          <w:b w:val="false"/>
          <w:color w:val="000000"/>
          <w:sz w:val="24"/>
        </w:rPr>
        <w:t>), BWXT ADVANCED FUELS HOLDINGS, LLC, a Delaware limited liability company (“</w:t>
      </w:r>
      <w:r>
        <w:rPr>
          <w:rFonts w:ascii="Times New Roman;serif" w:hAnsi="Times New Roman;serif"/>
          <w:b w:val="false"/>
          <w:color w:val="000000"/>
          <w:sz w:val="24"/>
          <w:u w:val="single"/>
        </w:rPr>
        <w:t>Advanced Fuels Holdings</w:t>
      </w:r>
      <w:r>
        <w:rPr>
          <w:color w:val="000000"/>
        </w:rPr>
        <w:t>”</w:t>
      </w:r>
      <w:r>
        <w:rPr>
          <w:rFonts w:ascii="Times New Roman;serif" w:hAnsi="Times New Roman;serif"/>
          <w:b w:val="false"/>
          <w:color w:val="000000"/>
          <w:sz w:val="24"/>
        </w:rPr>
        <w:t>, and together with Enrichment Operations, Enrichment Services, Kinectrics US, Kinectrics AES and Advanced Fuels, the “</w:t>
      </w:r>
      <w:r>
        <w:rPr>
          <w:rFonts w:ascii="Times New Roman;serif" w:hAnsi="Times New Roman;serif"/>
          <w:b w:val="false"/>
          <w:color w:val="000000"/>
          <w:sz w:val="24"/>
          <w:u w:val="single"/>
        </w:rPr>
        <w:t>Guaranteeing Subsidiaries</w:t>
      </w:r>
      <w:r>
        <w:rPr>
          <w:color w:val="000000"/>
        </w:rPr>
        <w:t>”</w:t>
      </w:r>
      <w:r>
        <w:rPr>
          <w:rFonts w:ascii="Times New Roman;serif" w:hAnsi="Times New Roman;serif"/>
          <w:b w:val="false"/>
          <w:color w:val="000000"/>
          <w:sz w:val="24"/>
        </w:rPr>
        <w:t>, each, a “</w:t>
      </w:r>
      <w:r>
        <w:rPr>
          <w:rFonts w:ascii="Times New Roman;serif" w:hAnsi="Times New Roman;serif"/>
          <w:b w:val="false"/>
          <w:color w:val="000000"/>
          <w:sz w:val="24"/>
          <w:u w:val="single"/>
        </w:rPr>
        <w:t>Guaranteeing Subsidiary</w:t>
      </w:r>
      <w:r>
        <w:rPr>
          <w:color w:val="000000"/>
        </w:rPr>
        <w:t>”</w:t>
      </w:r>
      <w:r>
        <w:rPr>
          <w:rFonts w:ascii="Times New Roman;serif" w:hAnsi="Times New Roman;serif"/>
          <w:b w:val="false"/>
          <w:color w:val="000000"/>
          <w:sz w:val="24"/>
        </w:rPr>
        <w:t>), each of which are subsidiaries of the Issuer, and U.S. Bank Trust Company, National Association (as successor to U.S. Bank National Association), as trustee under the Indenture referred to below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heretofore executed and delivered to the Trustee an indenture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dated as of April 13, 2021 providing for the issuance of 4.125% Senior Notes due 2029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(the “</w:t>
      </w:r>
      <w:r>
        <w:rPr>
          <w:rFonts w:ascii="Times New Roman;serif" w:hAnsi="Times New Roman;serif"/>
          <w:b w:val="false"/>
          <w:color w:val="000000"/>
          <w:sz w:val="24"/>
          <w:u w:val="single"/>
        </w:rPr>
        <w:t>Guarantee</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901 of the Indenture, the Trustee is authorized to execute and deliver this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each Guaranteeing Subsidiary and the Trustee mutually covenant and agree for the equal and ratable benefit of the Holders of the Notes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CAPITALIZED TERMS. Capitalized terms used herein without definition shall have the meanings assigned to them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AGREEMENT TO GUARANTEE. Each Guaranteeing Subsidiary hereby agrees to provide an unconditional Guarantee on the terms and subject to the conditions set forth in the Indenture including but not limited to Article 12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NO RECOURSE AGAINST OTHERS. No past, present or future director, officer, employee, incorporator, stockholder or agent of any Guaranteeing Subsidiary, as such, shall have any liability for any obligations of the Issuer or any Guaranteeing Subsidiary under the Notes, any Guarantees, the Indenture or this Supplemental Indenture or for any claim based on, in respect of, or by reason of, such obligations or their creation. Each Holder of the Notes by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130917318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130917318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GOVERNING LAW. THIS SUPPLEMENTAL INDENTURE SHALL BE GOVERNED BY AND CONSTRUED IN ACCORDANCE WITH THE LAWS OF THE STATE OF NEW YORK. THE PARTIES HERETO AGREE TO SUBMIT TO THE JURISDICTION OF ANY UNITED STATES FEDERAL OR STATE COURT LOCATED IN THE BOROUGH OF MANHATTAN, IN THE CITY OF NEW YORK IN ANY ACTION OR PROCEEDING ARISING OUT OF OR RELATING TO THIS SUPPLEMENTAL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COUNTERPARTS. The parties may sign any number of copies of this Supplemental Indenture. Each signed copy shall be an original, but all of them together represent the same agreement. The exchange of copies of the Supplemental Indenture and of signature pages by facsimile or PDF transmission shall constitute effective execution and delivery of the Supplemental Indenture as to the parties hereto and may be used in lieu of the original Supplemental Indenture for all purposes. Signatures of the parties hereto transmitted by facsimile or PDF shall be deemed to be their original signatures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EFFECT OF HEADINGS. The Section headings herein are for convenience or reference only and are not intended to be considered a part hereof and shall not affect the construction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THE TRUSTEE. The Trustee shall not be responsible in any manner whatsoever for or in respect of the validity or sufficiency of this Supplemental Indenture or for or in respect of the recitals contained herein, all of which recitals are made solely by each Guaranteeing Subsidiary and the Issuer.</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ind w:left="0" w:right="0" w:firstLine="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14960"/>
                <wp:effectExtent l="0" t="0" r="0" b="0"/>
                <wp:wrapNone/>
                <wp:docPr id="38" name="Frame3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130917318</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130917318</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all as of the date first above written.</w:t>
      </w:r>
    </w:p>
    <w:p>
      <w:pPr>
        <w:pStyle w:val="TextBody"/>
        <w:bidi w:val="0"/>
        <w:spacing w:before="0" w:after="24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 TECHNOLOGIES, INC.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Chief </w:t>
      </w:r>
    </w:p>
    <w:p>
      <w:pPr>
        <w:pStyle w:val="TextBody"/>
        <w:bidi w:val="0"/>
        <w:spacing w:lineRule="auto" w:line="288" w:before="0" w:after="0"/>
        <w:ind w:left="0" w:right="0" w:firstLine="252"/>
        <w:jc w:val="both"/>
        <w:rPr>
          <w:rFonts w:ascii="Times New Roman;serif" w:hAnsi="Times New Roman;serif"/>
          <w:b w:val="false"/>
          <w:color w:val="000000"/>
          <w:sz w:val="24"/>
        </w:rPr>
      </w:pPr>
      <w:r>
        <w:rPr>
          <w:rFonts w:ascii="Times New Roman;serif" w:hAnsi="Times New Roman;serif"/>
          <w:b w:val="false"/>
          <w:color w:val="000000"/>
          <w:sz w:val="24"/>
        </w:rPr>
        <w:t xml:space="preserve">Financial Officer and Chief </w:t>
      </w:r>
    </w:p>
    <w:p>
      <w:pPr>
        <w:pStyle w:val="TextBody"/>
        <w:bidi w:val="0"/>
        <w:spacing w:lineRule="auto" w:line="288" w:before="0" w:after="0"/>
        <w:ind w:left="0" w:right="0" w:firstLine="252"/>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0"/>
        <w:ind w:left="0" w:right="0" w:firstLine="252"/>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BWXT ENRICHMENT OPERATIONS, LLC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Vice President and Chief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BWXT ENRICHMENT SERVICES, LLC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Vice President and Chief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KINECTRICS US INC.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Title: Assistant Treasurer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KINECTRICS AES INC.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Title: Assistant Treasurer</w:t>
      </w:r>
    </w:p>
    <w:p>
      <w:pPr>
        <w:pStyle w:val="TextBody"/>
        <w:bidi w:val="0"/>
        <w:spacing w:before="0" w:after="4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3)</w:t>
                      </w:r>
                    </w:p>
                  </w:txbxContent>
                </v:textbox>
                <w10:wrap type="none"/>
              </v:rect>
            </w:pict>
          </mc:Fallback>
        </mc:AlternateContent>
      </w:r>
    </w:p>
    <w:p>
      <w:pPr>
        <w:pStyle w:val="TextBody"/>
        <w:bidi w:val="0"/>
        <w:spacing w:before="0" w:after="48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BWXT ADVANCED FUELS, LLC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Vice President and Chief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BWXT ADVANCED FUELS HOLDINGS, LLC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Vice President and Chief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4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14960"/>
                <wp:effectExtent l="0" t="0" r="0" b="0"/>
                <wp:wrapNone/>
                <wp:docPr id="40" name="Frame4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3)</w:t>
                      </w:r>
                    </w:p>
                    <w:p>
                      <w:pPr>
                        <w:pStyle w:val="TextBody"/>
                        <w:bidi w:val="0"/>
                        <w:spacing w:before="0" w:after="0"/>
                        <w:jc w:val="left"/>
                        <w:rPr/>
                      </w:pPr>
                      <w:r>
                        <w:rPr/>
                      </w:r>
                    </w:p>
                  </w:txbxContent>
                </v:textbox>
                <w10:wrap type="none"/>
              </v:rect>
            </w:pict>
          </mc:Fallback>
        </mc:AlternateContent>
      </w:r>
    </w:p>
    <w:p>
      <w:pPr>
        <w:pStyle w:val="TextBody"/>
        <w:bidi w:val="0"/>
        <w:spacing w:before="0" w:after="480"/>
        <w:jc w:val="both"/>
        <w:rPr/>
      </w:pPr>
      <w:r>
        <w:rPr/>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Melody M. Scott</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Melody M. Scott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Title: Assistant Vice President</w:t>
      </w:r>
    </w:p>
    <w:p>
      <w:pPr>
        <w:pStyle w:val="TextBody"/>
        <w:bidi w:val="0"/>
        <w:spacing w:before="0" w:after="4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14960"/>
                <wp:effectExtent l="0" t="0" r="0" b="0"/>
                <wp:wrapNone/>
                <wp:docPr id="41" name="Frame4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SUPPLEMENTAL INDENTURE NO. 4</w:t>
      </w:r>
    </w:p>
    <w:p>
      <w:pPr>
        <w:pStyle w:val="TextBody"/>
        <w:bidi w:val="0"/>
        <w:spacing w:lineRule="auto" w:line="288" w:before="0" w:after="240"/>
        <w:ind w:left="0" w:right="0" w:firstLine="720"/>
        <w:jc w:val="both"/>
        <w:rPr/>
      </w:pPr>
      <w:r>
        <w:rPr>
          <w:rFonts w:ascii="Times New Roman;serif" w:hAnsi="Times New Roman;serif"/>
          <w:b w:val="false"/>
          <w:color w:val="000000"/>
          <w:sz w:val="24"/>
        </w:rPr>
        <w:t>SUPPLEMENTAL INDENTURE NO. 4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dated as of August 28, 2025, among BWX Technologies, Inc.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BWXT ENRICHMENT OPERATIONS, LLC, a Delaware limited liability company (“</w:t>
      </w:r>
      <w:r>
        <w:rPr>
          <w:rFonts w:ascii="Times New Roman;serif" w:hAnsi="Times New Roman;serif"/>
          <w:b w:val="false"/>
          <w:color w:val="000000"/>
          <w:sz w:val="24"/>
          <w:u w:val="single"/>
        </w:rPr>
        <w:t>Enrichment Operations</w:t>
      </w:r>
      <w:r>
        <w:rPr>
          <w:color w:val="000000"/>
        </w:rPr>
        <w:t>”</w:t>
      </w:r>
      <w:r>
        <w:rPr>
          <w:rFonts w:ascii="Times New Roman;serif" w:hAnsi="Times New Roman;serif"/>
          <w:b w:val="false"/>
          <w:color w:val="000000"/>
          <w:sz w:val="24"/>
        </w:rPr>
        <w:t>), BWXT ENRICHMENT SERVICES, LLC, a Delaware limited liability company (“</w:t>
      </w:r>
      <w:r>
        <w:rPr>
          <w:rFonts w:ascii="Times New Roman;serif" w:hAnsi="Times New Roman;serif"/>
          <w:b w:val="false"/>
          <w:color w:val="000000"/>
          <w:sz w:val="24"/>
          <w:u w:val="single"/>
        </w:rPr>
        <w:t>Enrichment Services</w:t>
      </w:r>
      <w:r>
        <w:rPr>
          <w:color w:val="000000"/>
        </w:rPr>
        <w:t>”</w:t>
      </w:r>
      <w:r>
        <w:rPr>
          <w:rFonts w:ascii="Times New Roman;serif" w:hAnsi="Times New Roman;serif"/>
          <w:b w:val="false"/>
          <w:color w:val="000000"/>
          <w:sz w:val="24"/>
        </w:rPr>
        <w:t>), KINECTRICS US INC., a Delaware corporation (“</w:t>
      </w:r>
      <w:r>
        <w:rPr>
          <w:rFonts w:ascii="Times New Roman;serif" w:hAnsi="Times New Roman;serif"/>
          <w:b w:val="false"/>
          <w:color w:val="000000"/>
          <w:sz w:val="24"/>
          <w:u w:val="single"/>
        </w:rPr>
        <w:t>Kinectrics US</w:t>
      </w:r>
      <w:r>
        <w:rPr>
          <w:color w:val="000000"/>
        </w:rPr>
        <w:t>”</w:t>
      </w:r>
      <w:r>
        <w:rPr>
          <w:rFonts w:ascii="Times New Roman;serif" w:hAnsi="Times New Roman;serif"/>
          <w:b w:val="false"/>
          <w:color w:val="000000"/>
          <w:sz w:val="24"/>
        </w:rPr>
        <w:t>), KINECTRICS AES INC., a Delaware corporation (“</w:t>
      </w:r>
      <w:r>
        <w:rPr>
          <w:rFonts w:ascii="Times New Roman;serif" w:hAnsi="Times New Roman;serif"/>
          <w:b w:val="false"/>
          <w:color w:val="000000"/>
          <w:sz w:val="24"/>
          <w:u w:val="single"/>
        </w:rPr>
        <w:t>Kinectrics AES</w:t>
      </w:r>
      <w:r>
        <w:rPr>
          <w:color w:val="000000"/>
        </w:rPr>
        <w:t>”</w:t>
      </w:r>
      <w:r>
        <w:rPr>
          <w:rFonts w:ascii="Times New Roman;serif" w:hAnsi="Times New Roman;serif"/>
          <w:b w:val="false"/>
          <w:color w:val="000000"/>
          <w:sz w:val="24"/>
        </w:rPr>
        <w:t>), BWXT ADVANCED FUELS, LLC, a Delaware limited liability company (“</w:t>
      </w:r>
      <w:r>
        <w:rPr>
          <w:rFonts w:ascii="Times New Roman;serif" w:hAnsi="Times New Roman;serif"/>
          <w:b w:val="false"/>
          <w:color w:val="000000"/>
          <w:sz w:val="24"/>
          <w:u w:val="single"/>
        </w:rPr>
        <w:t>Advanced Fuels</w:t>
      </w:r>
      <w:r>
        <w:rPr>
          <w:color w:val="000000"/>
        </w:rPr>
        <w:t>”</w:t>
      </w:r>
      <w:r>
        <w:rPr>
          <w:rFonts w:ascii="Times New Roman;serif" w:hAnsi="Times New Roman;serif"/>
          <w:b w:val="false"/>
          <w:color w:val="000000"/>
          <w:sz w:val="24"/>
        </w:rPr>
        <w:t>), BWXT ADVANCED FUELS HOLDINGS, LLC, a Delaware limited liability company (“</w:t>
      </w:r>
      <w:r>
        <w:rPr>
          <w:rFonts w:ascii="Times New Roman;serif" w:hAnsi="Times New Roman;serif"/>
          <w:b w:val="false"/>
          <w:color w:val="000000"/>
          <w:sz w:val="24"/>
          <w:u w:val="single"/>
        </w:rPr>
        <w:t>Advanced Fuels Holdings</w:t>
      </w:r>
      <w:r>
        <w:rPr>
          <w:color w:val="000000"/>
        </w:rPr>
        <w:t>”</w:t>
      </w:r>
      <w:r>
        <w:rPr>
          <w:rFonts w:ascii="Times New Roman;serif" w:hAnsi="Times New Roman;serif"/>
          <w:b w:val="false"/>
          <w:color w:val="000000"/>
          <w:sz w:val="24"/>
        </w:rPr>
        <w:t>, and together with Enrichment Operations, Enrichment Services, Kinectrics US, Kinectrics AES and Advanced Fuels, the “</w:t>
      </w:r>
      <w:r>
        <w:rPr>
          <w:rFonts w:ascii="Times New Roman;serif" w:hAnsi="Times New Roman;serif"/>
          <w:b w:val="false"/>
          <w:color w:val="000000"/>
          <w:sz w:val="24"/>
          <w:u w:val="single"/>
        </w:rPr>
        <w:t>Guaranteeing Subsidiaries</w:t>
      </w:r>
      <w:r>
        <w:rPr>
          <w:color w:val="000000"/>
        </w:rPr>
        <w:t>”</w:t>
      </w:r>
      <w:r>
        <w:rPr>
          <w:rFonts w:ascii="Times New Roman;serif" w:hAnsi="Times New Roman;serif"/>
          <w:b w:val="false"/>
          <w:color w:val="000000"/>
          <w:sz w:val="24"/>
        </w:rPr>
        <w:t>, each, a “</w:t>
      </w:r>
      <w:r>
        <w:rPr>
          <w:rFonts w:ascii="Times New Roman;serif" w:hAnsi="Times New Roman;serif"/>
          <w:b w:val="false"/>
          <w:color w:val="000000"/>
          <w:sz w:val="24"/>
          <w:u w:val="single"/>
        </w:rPr>
        <w:t>Guaranteeing Subsidiary</w:t>
      </w:r>
      <w:r>
        <w:rPr>
          <w:color w:val="000000"/>
        </w:rPr>
        <w:t>”</w:t>
      </w:r>
      <w:r>
        <w:rPr>
          <w:rFonts w:ascii="Times New Roman;serif" w:hAnsi="Times New Roman;serif"/>
          <w:b w:val="false"/>
          <w:color w:val="000000"/>
          <w:sz w:val="24"/>
        </w:rPr>
        <w:t>), each of which are subsidiaries of the Issuer, and U.S. Bank Trust Company, National Association (as successor to U.S. Bank National Association), as trustee under the Indenture referred to below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heretofore executed and delivered to the Trustee an indenture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dated as of June 12, 2020 providing for the issuance of 4.125% Senior Notes due 2028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(the “</w:t>
      </w:r>
      <w:r>
        <w:rPr>
          <w:rFonts w:ascii="Times New Roman;serif" w:hAnsi="Times New Roman;serif"/>
          <w:b w:val="false"/>
          <w:color w:val="000000"/>
          <w:sz w:val="24"/>
          <w:u w:val="single"/>
        </w:rPr>
        <w:t>Guarantee</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901 of the Indenture, the Trustee is authorized to execute and deliver this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each Guaranteeing Subsidiary and the Trustee mutually covenant and agree for the equal and ratable benefit of the Holders of the Notes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AGREEMENT TO GUARANTEE. Each Guaranteeing Subsidiary hereby agrees to provide an unconditional Guarantee on the terms and subject to the conditions set forth in the Indenture including but not limited to Article 12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    NO RECOURSE AGAINST OTHERS. No past, present or future director, officer, employee, incorporator, stockholder or agent of any Guaranteeing Subsidiary, as such, shall have any liability for any obligations of the Issuer or any Guaranteeing Subsidiary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130916702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130916702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Notes, any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GOVERNING LAW. THIS SUPPLEMENTAL INDENTURE SHALL BE GOVERNED BY AND CONSTRUED IN ACCORDANCE WITH THE LAWS OF THE STATE OF NEW YORK. THE PARTIES HERETO AGREE TO SUBMIT TO THE JURISDICTION OF ANY UNITED STATES FEDERAL OR STATE COURT LOCATED IN THE BOROUGH OF MANHATTAN, IN THE CITY OF NEW YORK IN ANY ACTION OR PROCEEDING ARISING OUT OF OR RELATING TO THIS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COUNTERPARTS. The parties may sign any number of copies of this Supplemental Indenture. Each signed copy shall be an original, but all of them together represent the same agreement. The exchange of copies of the Supplemental Indenture and of signature pages by facsimile or PDF transmission shall constitute effective execution and delivery of the Supplemental Indenture as to the parties hereto and may be used in lieu of the original Supplemental Indenture for all purposes. Signatures of the parties hereto transmitted by facsimile or PDF shall be deemed to be their original signatures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EFFECT OF HEADINGS. The Section headings herein are for convenience or reference only and are not intended to be considered a part hereof and shall not affect the construction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THE TRUSTEE. The Trustee shall not be responsible in any manner whatsoever for or in respect of the validity or sufficiency of this Supplemental Indenture or for or in respect of the recitals contained herein, all of which recitals are made solely by each Guaranteeing Subsidiary and the Issuer.</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14960"/>
                <wp:effectExtent l="0" t="0" r="0" b="0"/>
                <wp:wrapNone/>
                <wp:docPr id="43" name="Frame4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130916702</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130916702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all as of the date first above written.</w:t>
      </w:r>
    </w:p>
    <w:p>
      <w:pPr>
        <w:pStyle w:val="TextBody"/>
        <w:bidi w:val="0"/>
        <w:spacing w:before="0" w:after="24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 TECHNOLOGIES, INC.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Chief </w:t>
      </w:r>
    </w:p>
    <w:p>
      <w:pPr>
        <w:pStyle w:val="TextBody"/>
        <w:bidi w:val="0"/>
        <w:spacing w:lineRule="auto" w:line="288" w:before="0" w:after="0"/>
        <w:ind w:left="0" w:right="0" w:firstLine="252"/>
        <w:jc w:val="both"/>
        <w:rPr>
          <w:rFonts w:ascii="Times New Roman;serif" w:hAnsi="Times New Roman;serif"/>
          <w:b w:val="false"/>
          <w:color w:val="000000"/>
          <w:sz w:val="24"/>
        </w:rPr>
      </w:pPr>
      <w:r>
        <w:rPr>
          <w:rFonts w:ascii="Times New Roman;serif" w:hAnsi="Times New Roman;serif"/>
          <w:b w:val="false"/>
          <w:color w:val="000000"/>
          <w:sz w:val="24"/>
        </w:rPr>
        <w:t xml:space="preserve">Financial Officer and Chief </w:t>
      </w:r>
    </w:p>
    <w:p>
      <w:pPr>
        <w:pStyle w:val="TextBody"/>
        <w:bidi w:val="0"/>
        <w:spacing w:lineRule="auto" w:line="288" w:before="0" w:after="0"/>
        <w:ind w:left="0" w:right="0" w:firstLine="252"/>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0"/>
        <w:ind w:left="0" w:right="0" w:firstLine="252"/>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BWXT ENRICHMENT OPERATIONS, LLC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Vice President and Chief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BWXT ENRICHMENT SERVICES, LLC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Vice President and Chief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KINECTRICS US INC.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Title: Assistant Treasurer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KINECTRICS AES INC.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Title: Assistant Treasurer</w:t>
      </w:r>
    </w:p>
    <w:p>
      <w:pPr>
        <w:pStyle w:val="TextBody"/>
        <w:bidi w:val="0"/>
        <w:spacing w:before="0" w:after="4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4)</w:t>
                      </w:r>
                    </w:p>
                  </w:txbxContent>
                </v:textbox>
                <w10:wrap type="none"/>
              </v:rect>
            </w:pict>
          </mc:Fallback>
        </mc:AlternateContent>
      </w:r>
    </w:p>
    <w:p>
      <w:pPr>
        <w:pStyle w:val="TextBody"/>
        <w:bidi w:val="0"/>
        <w:spacing w:before="0" w:after="48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BWXT ADVANCED FUELS, LLC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Vice President and Chief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BWXT ADVANCED FUELS HOLDINGS, LLC</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T. Fitzgerald</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T. Fitzgerald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Vice President and Chief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Accounting Officer</w:t>
      </w:r>
    </w:p>
    <w:p>
      <w:pPr>
        <w:pStyle w:val="TextBody"/>
        <w:bidi w:val="0"/>
        <w:spacing w:before="0" w:after="4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4)</w:t>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Melody M. Scott</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Melody M. Scott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Title: Assistant Vice President</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Supplemental Indenture No. 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Rex D. Geveden,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BWX Technologies, Inc. for the quarterly period ended September 30, 2025;</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November 3, 2025</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Mike T. Fitzgerald,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BWX Technologies, Inc. for the quarterly period ended September 30, 2025;</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pPr>
      <w:r>
        <w:rPr>
          <w:color w:val="000000"/>
        </w:rPr>
        <w:t> </w:t>
      </w:r>
      <w:r>
        <w:rPr>
          <w:rFonts w:ascii="Times New Roman;serif" w:hAnsi="Times New Roman;serif"/>
          <w:b w:val="false"/>
          <w:color w:val="000000"/>
          <w:sz w:val="20"/>
        </w:rPr>
        <w:t>November 3, 2025</w:t>
      </w:r>
    </w:p>
    <w:tbl>
      <w:tblPr>
        <w:tblW w:w="6626" w:type="dxa"/>
        <w:jc w:val="left"/>
        <w:tblInd w:w="0" w:type="dxa"/>
        <w:tblLayout w:type="fixed"/>
        <w:tblCellMar>
          <w:top w:w="28" w:type="dxa"/>
          <w:left w:w="28" w:type="dxa"/>
          <w:bottom w:w="28" w:type="dxa"/>
          <w:right w:w="28" w:type="dxa"/>
        </w:tblCellMar>
      </w:tblPr>
      <w:tblGrid>
        <w:gridCol w:w="124"/>
        <w:gridCol w:w="109"/>
        <w:gridCol w:w="109"/>
        <w:gridCol w:w="1835"/>
        <w:gridCol w:w="1835"/>
        <w:gridCol w:w="2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BWX TECHNOLOGIES,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September 30, 2025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w:t>
      </w:r>
    </w:p>
    <w:tbl>
      <w:tblPr>
        <w:tblW w:w="5741"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939"/>
        <w:gridCol w:w="939"/>
        <w:gridCol w:w="1332"/>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Rex D. Geveden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BWX TECHNOLOGIES,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Mike T. Fitzgerald, Senior Vice President and Chief Financial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September 30, 2025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w:t>
      </w:r>
    </w:p>
    <w:tbl>
      <w:tblPr>
        <w:tblW w:w="8815"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1835"/>
        <w:gridCol w:w="1835"/>
        <w:gridCol w:w="261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Chief Accounting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6957/000148695719000022/exhibit31_51419.htm" TargetMode="External"/><Relationship Id="rId3" Type="http://schemas.openxmlformats.org/officeDocument/2006/relationships/hyperlink" Target="https://www.sec.gov/Archives/edgar/data/1486957/000148695719000022/exhibit31_51419.htm" TargetMode="External"/><Relationship Id="rId4" Type="http://schemas.openxmlformats.org/officeDocument/2006/relationships/hyperlink" Target="https://www.sec.gov/Archives/edgar/data/1486957/000148695723000033/exhibit33-amendedandresta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19572</Words>
  <Characters>111081</Characters>
  <CharactersWithSpaces>129308</CharactersWithSpaces>
  <Paragraphs>3558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