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pPr>
      <w:r>
        <w:rPr>
          <w:color w:val="000000"/>
        </w:rPr>
        <w:t> </w:t>
      </w: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April 30, 2026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BWX TECHNOLOGIES,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w:t>
      </w:r>
    </w:p>
    <w:tbl>
      <w:tblPr>
        <w:tblW w:w="6313" w:type="dxa"/>
        <w:jc w:val="center"/>
        <w:tblInd w:w="0" w:type="dxa"/>
        <w:tblLayout w:type="fixed"/>
        <w:tblCellMar>
          <w:top w:w="28" w:type="dxa"/>
          <w:left w:w="28" w:type="dxa"/>
          <w:bottom w:w="28" w:type="dxa"/>
          <w:right w:w="28" w:type="dxa"/>
        </w:tblCellMar>
      </w:tblPr>
      <w:tblGrid>
        <w:gridCol w:w="221"/>
        <w:gridCol w:w="194"/>
        <w:gridCol w:w="194"/>
        <w:gridCol w:w="364"/>
        <w:gridCol w:w="364"/>
        <w:gridCol w:w="366"/>
        <w:gridCol w:w="275"/>
        <w:gridCol w:w="275"/>
        <w:gridCol w:w="276"/>
        <w:gridCol w:w="194"/>
        <w:gridCol w:w="194"/>
        <w:gridCol w:w="194"/>
        <w:gridCol w:w="109"/>
        <w:gridCol w:w="109"/>
        <w:gridCol w:w="109"/>
        <w:gridCol w:w="353"/>
        <w:gridCol w:w="353"/>
        <w:gridCol w:w="358"/>
        <w:gridCol w:w="109"/>
        <w:gridCol w:w="109"/>
        <w:gridCol w:w="109"/>
        <w:gridCol w:w="433"/>
        <w:gridCol w:w="433"/>
        <w:gridCol w:w="618"/>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001-34658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80-0558025</w:t>
            </w:r>
          </w:p>
        </w:tc>
      </w:tr>
      <w:tr>
        <w:trPr/>
        <w:tc>
          <w:tcPr>
            <w:tcW w:w="3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3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 Main Street, 4th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Lynchburg,</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24504</w:t>
            </w:r>
          </w:p>
        </w:tc>
      </w:tr>
      <w:tr>
        <w:trPr/>
        <w:tc>
          <w:tcPr>
            <w:tcW w:w="3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(980) 365-4300</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055" w:type="dxa"/>
        <w:jc w:val="center"/>
        <w:tblInd w:w="0" w:type="dxa"/>
        <w:tblLayout w:type="fixed"/>
        <w:tblCellMar>
          <w:top w:w="28" w:type="dxa"/>
          <w:left w:w="28" w:type="dxa"/>
          <w:bottom w:w="28" w:type="dxa"/>
          <w:right w:w="28" w:type="dxa"/>
        </w:tblCellMar>
      </w:tblPr>
      <w:tblGrid>
        <w:gridCol w:w="990"/>
        <w:gridCol w:w="870"/>
        <w:gridCol w:w="870"/>
        <w:gridCol w:w="540"/>
        <w:gridCol w:w="540"/>
        <w:gridCol w:w="540"/>
        <w:gridCol w:w="1085"/>
        <w:gridCol w:w="1085"/>
        <w:gridCol w:w="1535"/>
      </w:tblGrid>
      <w:tr>
        <w:trPr/>
        <w:tc>
          <w:tcPr>
            <w:tcW w:w="9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055" w:type="dxa"/>
            <w:gridSpan w:val="9"/>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BWXT</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center"/>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right"/>
              <w:rPr>
                <w:color w:val="000000"/>
              </w:rPr>
            </w:pPr>
            <w:r>
              <w:rPr>
                <w:color w:val="000000"/>
              </w:rPr>
              <w:t>☐</w:t>
            </w:r>
          </w:p>
        </w:tc>
      </w:tr>
    </w:tbl>
    <w:p>
      <w:pPr>
        <w:pStyle w:val="TextBody"/>
        <w:bidi w:val="0"/>
        <w:spacing w:lineRule="auto" w:line="288" w:before="18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80"/>
        <w:jc w:val="both"/>
        <w:rPr/>
      </w:pPr>
      <w:r>
        <w:rPr/>
      </w:r>
    </w:p>
    <w:p>
      <w:pPr>
        <w:pStyle w:val="TextBody"/>
        <w:bidi w:val="0"/>
        <w:spacing w:before="24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Annual Meeting on April 30, 2026, the Company's stockholders voted on three matters. A brief description of, and the final vote result for, each matter voted on at the Annual Meeting are set forth below. Each matter is described in more detail in our Definitive Proxy Statement filed with the U.S. Securities and Exchange Commission on March 18, 2026.</w:t>
      </w:r>
    </w:p>
    <w:p>
      <w:pPr>
        <w:pStyle w:val="TextBody"/>
        <w:bidi w:val="0"/>
        <w:spacing w:lineRule="auto" w:line="288" w:before="240" w:after="180"/>
        <w:jc w:val="both"/>
        <w:rPr/>
      </w:pPr>
      <w:r>
        <w:rPr>
          <w:rFonts w:ascii="Times New Roman;serif" w:hAnsi="Times New Roman;serif"/>
          <w:b w:val="false"/>
          <w:color w:val="000000"/>
          <w:sz w:val="20"/>
          <w:u w:val="single"/>
        </w:rPr>
        <w:t>Proposal 1</w:t>
      </w:r>
      <w:r>
        <w:rPr>
          <w:rFonts w:ascii="Times New Roman;serif" w:hAnsi="Times New Roman;serif"/>
          <w:b w:val="false"/>
          <w:color w:val="000000"/>
          <w:sz w:val="20"/>
        </w:rPr>
        <w:t>: Election of ten directors to serve a one-year term expiring at the 2027 annual meeting of stockholders and until their successors are duly elected and qualified:</w:t>
      </w:r>
    </w:p>
    <w:tbl>
      <w:tblPr>
        <w:tblW w:w="8719" w:type="dxa"/>
        <w:jc w:val="left"/>
        <w:tblInd w:w="0" w:type="dxa"/>
        <w:tblLayout w:type="fixed"/>
        <w:tblCellMar>
          <w:top w:w="28" w:type="dxa"/>
          <w:left w:w="28" w:type="dxa"/>
          <w:bottom w:w="28" w:type="dxa"/>
          <w:right w:w="28" w:type="dxa"/>
        </w:tblCellMar>
      </w:tblPr>
      <w:tblGrid>
        <w:gridCol w:w="635"/>
        <w:gridCol w:w="558"/>
        <w:gridCol w:w="562"/>
        <w:gridCol w:w="109"/>
        <w:gridCol w:w="109"/>
        <w:gridCol w:w="109"/>
        <w:gridCol w:w="540"/>
        <w:gridCol w:w="541"/>
        <w:gridCol w:w="311"/>
        <w:gridCol w:w="109"/>
        <w:gridCol w:w="109"/>
        <w:gridCol w:w="109"/>
        <w:gridCol w:w="495"/>
        <w:gridCol w:w="481"/>
        <w:gridCol w:w="421"/>
        <w:gridCol w:w="109"/>
        <w:gridCol w:w="109"/>
        <w:gridCol w:w="109"/>
        <w:gridCol w:w="413"/>
        <w:gridCol w:w="413"/>
        <w:gridCol w:w="361"/>
        <w:gridCol w:w="109"/>
        <w:gridCol w:w="109"/>
        <w:gridCol w:w="109"/>
        <w:gridCol w:w="492"/>
        <w:gridCol w:w="492"/>
        <w:gridCol w:w="696"/>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 A. Bertsch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74,212,190 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902,977 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139,832 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6,688,652 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Gerhard F. Burbach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74,476,706 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639,302 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6,688,652 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Rex D. Geveden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74,905,919 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287,195 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6,688,652 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L. Jablonsky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75,011,709 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103,844 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139,446 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6,688,652 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M. Jaska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74,567,324 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556,878 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130,797 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6,688,652 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J. Krieg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74,221,695 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902,329 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6,688,652 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Leland D. Melvin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74,696,227 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483,046 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6,688,652 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Barbara A. Niland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74,268,572 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840,840 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6,688,652 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Nicole W. Piasecki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68,316,115 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6,797,898 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140,986 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6,688,652 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 Richardson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74,615,088 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504,354 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135,557 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6,688,652 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both"/>
        <w:rPr/>
      </w:pPr>
      <w:r>
        <w:rPr>
          <w:rFonts w:ascii="Times New Roman;serif" w:hAnsi="Times New Roman;serif"/>
          <w:b w:val="false"/>
          <w:color w:val="000000"/>
          <w:sz w:val="20"/>
          <w:u w:val="single"/>
        </w:rPr>
        <w:t>Proposal 2</w:t>
      </w:r>
      <w:r>
        <w:rPr>
          <w:rFonts w:ascii="Times New Roman;serif" w:hAnsi="Times New Roman;serif"/>
          <w:b w:val="false"/>
          <w:color w:val="000000"/>
          <w:sz w:val="20"/>
        </w:rPr>
        <w:t>: Advisory vote to approve the 2025 compensation of our named executive officers:</w:t>
      </w:r>
    </w:p>
    <w:tbl>
      <w:tblPr>
        <w:tblW w:w="6052"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73,952,557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1,110,500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191,942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6,688,652</w:t>
            </w:r>
          </w:p>
        </w:tc>
      </w:tr>
    </w:tbl>
    <w:p>
      <w:pPr>
        <w:pStyle w:val="TextBody"/>
        <w:bidi w:val="0"/>
        <w:spacing w:lineRule="auto" w:line="288" w:before="240" w:after="180"/>
        <w:jc w:val="both"/>
        <w:rPr/>
      </w:pPr>
      <w:r>
        <w:rPr>
          <w:rFonts w:ascii="Times New Roman;serif" w:hAnsi="Times New Roman;serif"/>
          <w:b w:val="false"/>
          <w:color w:val="000000"/>
          <w:sz w:val="20"/>
          <w:u w:val="single"/>
        </w:rPr>
        <w:t>Proposal 3</w:t>
      </w:r>
      <w:r>
        <w:rPr>
          <w:rFonts w:ascii="Times New Roman;serif" w:hAnsi="Times New Roman;serif"/>
          <w:b w:val="false"/>
          <w:color w:val="000000"/>
          <w:sz w:val="20"/>
        </w:rPr>
        <w:t>: Ratification of the appointment of Deloitte &amp; Touche LLP as our independent registered public accounting firm for the year ending December 31, 2026:</w:t>
      </w:r>
    </w:p>
    <w:tbl>
      <w:tblPr>
        <w:tblW w:w="4090"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29"/>
        <w:gridCol w:w="329"/>
        <w:gridCol w:w="46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81,613,342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265,947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64,362</w:t>
            </w:r>
          </w:p>
        </w:tc>
      </w:tr>
    </w:tbl>
    <w:p>
      <w:pPr>
        <w:pStyle w:val="TextBody"/>
        <w:bidi w:val="0"/>
        <w:spacing w:before="100" w:after="283"/>
        <w:jc w:val="both"/>
        <w:rPr/>
      </w:pPr>
      <w:r>
        <w:rPr/>
      </w:r>
    </w:p>
    <w:p>
      <w:pPr>
        <w:pStyle w:val="TextBody"/>
        <w:bidi w:val="0"/>
        <w:spacing w:before="240" w:after="180"/>
        <w:jc w:val="both"/>
        <w:rPr/>
      </w:pPr>
      <w:r>
        <w:rPr/>
      </w:r>
    </w:p>
    <w:p>
      <w:pPr>
        <w:pStyle w:val="TextBody"/>
        <w:bidi w:val="0"/>
        <w:spacing w:before="24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9576" w:type="dxa"/>
        <w:jc w:val="center"/>
        <w:tblInd w:w="0" w:type="dxa"/>
        <w:tblLayout w:type="fixed"/>
        <w:tblCellMar>
          <w:top w:w="28" w:type="dxa"/>
          <w:left w:w="28" w:type="dxa"/>
          <w:bottom w:w="28" w:type="dxa"/>
          <w:right w:w="28" w:type="dxa"/>
        </w:tblCellMar>
      </w:tblPr>
      <w:tblGrid>
        <w:gridCol w:w="124"/>
        <w:gridCol w:w="109"/>
        <w:gridCol w:w="109"/>
        <w:gridCol w:w="289"/>
        <w:gridCol w:w="289"/>
        <w:gridCol w:w="289"/>
        <w:gridCol w:w="289"/>
        <w:gridCol w:w="289"/>
        <w:gridCol w:w="289"/>
        <w:gridCol w:w="2176"/>
        <w:gridCol w:w="2176"/>
        <w:gridCol w:w="31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BWX TECHNOLOGIES,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Toby W.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Toby W.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Chief Compliance Officer and Corporate Secretary</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590</Words>
  <Characters>3617</Characters>
  <CharactersWithSpaces>4140</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