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u w:val="single"/>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No. 001-34658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BWX TECHNOLOGIES,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w:t>
      </w:r>
    </w:p>
    <w:tbl>
      <w:tblPr>
        <w:tblW w:w="7623" w:type="dxa"/>
        <w:jc w:val="center"/>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 Main Street, 4th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(980) 365-4300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w:t>
      </w:r>
    </w:p>
    <w:tbl>
      <w:tblPr>
        <w:tblW w:w="7139" w:type="dxa"/>
        <w:jc w:val="center"/>
        <w:tblInd w:w="0" w:type="dxa"/>
        <w:tblLayout w:type="fixed"/>
        <w:tblCellMar>
          <w:top w:w="28" w:type="dxa"/>
          <w:left w:w="28" w:type="dxa"/>
          <w:bottom w:w="28" w:type="dxa"/>
          <w:right w:w="28" w:type="dxa"/>
        </w:tblCellMar>
      </w:tblPr>
      <w:tblGrid>
        <w:gridCol w:w="874"/>
        <w:gridCol w:w="770"/>
        <w:gridCol w:w="770"/>
        <w:gridCol w:w="485"/>
        <w:gridCol w:w="485"/>
        <w:gridCol w:w="485"/>
        <w:gridCol w:w="959"/>
        <w:gridCol w:w="959"/>
        <w:gridCol w:w="1352"/>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13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BWXT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60"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at April 30, 2026 was 91,614,649.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INDEX – FORM 10-Q</w:t>
      </w:r>
    </w:p>
    <w:tbl>
      <w:tblPr>
        <w:tblW w:w="9819" w:type="dxa"/>
        <w:jc w:val="left"/>
        <w:tblInd w:w="0" w:type="dxa"/>
        <w:tblLayout w:type="fixed"/>
        <w:tblCellMar>
          <w:top w:w="28" w:type="dxa"/>
          <w:left w:w="28" w:type="dxa"/>
          <w:bottom w:w="28" w:type="dxa"/>
          <w:right w:w="28" w:type="dxa"/>
        </w:tblCellMar>
      </w:tblPr>
      <w:tblGrid>
        <w:gridCol w:w="331"/>
        <w:gridCol w:w="291"/>
        <w:gridCol w:w="291"/>
        <w:gridCol w:w="2443"/>
        <w:gridCol w:w="2443"/>
        <w:gridCol w:w="2448"/>
        <w:gridCol w:w="456"/>
        <w:gridCol w:w="456"/>
        <w:gridCol w:w="66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19"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3cc3a41ec5d447db60ab887e79dd04f_10">
              <w:r>
                <w:rPr>
                  <w:rStyle w:val="InternetLink"/>
                  <w:rFonts w:ascii="Times New Roman;serif" w:hAnsi="Times New Roman;serif"/>
                  <w:b w:val="false"/>
                  <w:color w:val="0000FF"/>
                  <w:sz w:val="20"/>
                  <w:u w:val="single"/>
                </w:rPr>
                <w:t>PART I – FINANCIAL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
              <w:r>
                <w:rPr>
                  <w:rStyle w:val="InternetLink"/>
                  <w:rFonts w:ascii="Times New Roman;serif" w:hAnsi="Times New Roman;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
              <w:r>
                <w:rPr>
                  <w:rStyle w:val="InternetLink"/>
                  <w:rFonts w:ascii="Times New Roman;serif" w:hAnsi="Times New Roman;serif"/>
                  <w:b w:val="false"/>
                  <w:color w:val="0000FF"/>
                  <w:sz w:val="20"/>
                  <w:u w:val="single"/>
                </w:rPr>
                <w:t>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3">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6">
              <w:r>
                <w:rPr>
                  <w:rStyle w:val="InternetLink"/>
                  <w:rFonts w:ascii="Times New Roman;serif" w:hAnsi="Times New Roman;serif"/>
                  <w:b w:val="false"/>
                  <w:color w:val="0000FF"/>
                  <w:sz w:val="20"/>
                  <w:u w:val="single"/>
                </w:rPr>
                <w:t>Condensed Consolidated Statements of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6">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9">
              <w:r>
                <w:rPr>
                  <w:rStyle w:val="InternetLink"/>
                  <w:rFonts w:ascii="Times New Roman;serif" w:hAnsi="Times New Roman;serif"/>
                  <w:b w:val="false"/>
                  <w:color w:val="0000FF"/>
                  <w:sz w:val="20"/>
                  <w:u w:val="single"/>
                </w:rPr>
                <w:t>Condensed Consolidated Statements of Comprehensive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9">
              <w:r>
                <w:rPr>
                  <w:rStyle w:val="InternetLink"/>
                  <w:rFonts w:ascii="Times New Roman;serif" w:hAnsi="Times New Roman;serif"/>
                  <w:b w:val="false"/>
                  <w:color w:val="0000FF"/>
                  <w:sz w:val="20"/>
                  <w:u w:val="single"/>
                </w:rPr>
                <w:t>3</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22">
              <w:r>
                <w:rPr>
                  <w:rStyle w:val="InternetLink"/>
                  <w:rFonts w:ascii="Times New Roman;serif" w:hAnsi="Times New Roman;serif"/>
                  <w:b w:val="false"/>
                  <w:color w:val="0000FF"/>
                  <w:sz w:val="20"/>
                  <w:u w:val="single"/>
                </w:rPr>
                <w:t>Condensed Consolidated Balance Sheets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March 31, 2026 and December 31,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22">
              <w:r>
                <w:rPr>
                  <w:rStyle w:val="InternetLink"/>
                  <w:rFonts w:ascii="Times New Roman;serif" w:hAnsi="Times New Roman;serif"/>
                  <w:b w:val="false"/>
                  <w:color w:val="0000FF"/>
                  <w:sz w:val="20"/>
                  <w:u w:val="single"/>
                </w:rPr>
                <w:t>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28">
              <w:r>
                <w:rPr>
                  <w:rStyle w:val="InternetLink"/>
                  <w:rFonts w:ascii="Times New Roman;serif" w:hAnsi="Times New Roman;serif"/>
                  <w:b w:val="false"/>
                  <w:color w:val="0000FF"/>
                  <w:sz w:val="20"/>
                  <w:u w:val="single"/>
                </w:rPr>
                <w:t>Condensed Consolidated Statements of Stockholders' Equity</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28">
              <w:r>
                <w:rPr>
                  <w:rStyle w:val="InternetLink"/>
                  <w:rFonts w:ascii="Times New Roman;serif" w:hAnsi="Times New Roman;serif"/>
                  <w:b w:val="false"/>
                  <w:color w:val="0000FF"/>
                  <w:sz w:val="20"/>
                  <w:u w:val="single"/>
                </w:rPr>
                <w:t>6</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31">
              <w:r>
                <w:rPr>
                  <w:rStyle w:val="InternetLink"/>
                  <w:rFonts w:ascii="Times New Roman;serif" w:hAnsi="Times New Roman;serif"/>
                  <w:b w:val="false"/>
                  <w:color w:val="0000FF"/>
                  <w:sz w:val="20"/>
                  <w:u w:val="single"/>
                </w:rPr>
                <w:t>Condensed Consolidated Statements of Cash Flows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31">
              <w:r>
                <w:rPr>
                  <w:rStyle w:val="InternetLink"/>
                  <w:rFonts w:ascii="Times New Roman;serif" w:hAnsi="Times New Roman;serif"/>
                  <w:b w:val="false"/>
                  <w:color w:val="0000FF"/>
                  <w:sz w:val="20"/>
                  <w:u w:val="single"/>
                </w:rPr>
                <w:t>7</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34">
              <w:r>
                <w:rPr>
                  <w:rStyle w:val="InternetLink"/>
                  <w:rFonts w:ascii="Times New Roman;serif" w:hAnsi="Times New Roman;serif"/>
                  <w:b w:val="false"/>
                  <w:color w:val="0000FF"/>
                  <w:sz w:val="20"/>
                  <w:u w:val="single"/>
                </w:rPr>
                <w:t>Notes to 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34">
              <w:r>
                <w:rPr>
                  <w:rStyle w:val="InternetLink"/>
                  <w:rFonts w:ascii="Times New Roman;serif" w:hAnsi="Times New Roman;serif"/>
                  <w:b w:val="false"/>
                  <w:color w:val="0000FF"/>
                  <w:sz w:val="20"/>
                  <w:u w:val="single"/>
                </w:rPr>
                <w:t>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70">
              <w:r>
                <w:rPr>
                  <w:rStyle w:val="InternetLink"/>
                  <w:rFonts w:ascii="Times New Roman;serif" w:hAnsi="Times New Roman;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70">
              <w:r>
                <w:rPr>
                  <w:rStyle w:val="InternetLink"/>
                  <w:rFonts w:ascii="Times New Roman;serif" w:hAnsi="Times New Roman;serif"/>
                  <w:b w:val="false"/>
                  <w:color w:val="0000FF"/>
                  <w:sz w:val="20"/>
                  <w:u w:val="single"/>
                </w:rPr>
                <w:t>20</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12">
              <w:r>
                <w:rPr>
                  <w:rStyle w:val="InternetLink"/>
                  <w:rFonts w:ascii="Times New Roman;serif" w:hAnsi="Times New Roman;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12">
              <w:r>
                <w:rPr>
                  <w:rStyle w:val="InternetLink"/>
                  <w:rFonts w:ascii="Times New Roman;serif" w:hAnsi="Times New Roman;serif"/>
                  <w:b w:val="false"/>
                  <w:color w:val="0000FF"/>
                  <w:sz w:val="20"/>
                  <w:u w:val="single"/>
                </w:rPr>
                <w:t>Quantitative and Qualitative Disclosures About Market Risk</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12">
              <w:r>
                <w:rPr>
                  <w:rStyle w:val="InternetLink"/>
                  <w:rFonts w:ascii="Times New Roman;serif" w:hAnsi="Times New Roman;serif"/>
                  <w:b w:val="false"/>
                  <w:color w:val="0000FF"/>
                  <w:sz w:val="20"/>
                  <w:u w:val="single"/>
                </w:rPr>
                <w:t>30</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15">
              <w:r>
                <w:rPr>
                  <w:rStyle w:val="InternetLink"/>
                  <w:rFonts w:ascii="Times New Roman;serif" w:hAnsi="Times New Roman;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15">
              <w:r>
                <w:rPr>
                  <w:rStyle w:val="InternetLink"/>
                  <w:rFonts w:ascii="Times New Roman;serif" w:hAnsi="Times New Roman;serif"/>
                  <w:b w:val="false"/>
                  <w:color w:val="0000FF"/>
                  <w:sz w:val="20"/>
                  <w:u w:val="single"/>
                </w:rPr>
                <w:t>Controls and Procedures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15">
              <w:r>
                <w:rPr>
                  <w:rStyle w:val="InternetLink"/>
                  <w:rFonts w:ascii="Times New Roman;serif" w:hAnsi="Times New Roman;serif"/>
                  <w:b w:val="false"/>
                  <w:color w:val="0000FF"/>
                  <w:sz w:val="20"/>
                  <w:u w:val="single"/>
                </w:rPr>
                <w:t>30</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9"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3cc3a41ec5d447db60ab887e79dd04f_118">
              <w:r>
                <w:rPr>
                  <w:rStyle w:val="InternetLink"/>
                  <w:rFonts w:ascii="Times New Roman;serif" w:hAnsi="Times New Roman;serif"/>
                  <w:b w:val="false"/>
                  <w:color w:val="0000FF"/>
                  <w:sz w:val="20"/>
                  <w:u w:val="single"/>
                </w:rPr>
                <w:t>PART II – OTHER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21">
              <w:r>
                <w:rPr>
                  <w:rStyle w:val="InternetLink"/>
                  <w:rFonts w:ascii="Times New Roman;serif" w:hAnsi="Times New Roman;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21">
              <w:r>
                <w:rPr>
                  <w:rStyle w:val="InternetLink"/>
                  <w:rFonts w:ascii="Times New Roman;serif" w:hAnsi="Times New Roman;serif"/>
                  <w:b w:val="false"/>
                  <w:color w:val="0000FF"/>
                  <w:sz w:val="20"/>
                  <w:u w:val="single"/>
                </w:rPr>
                <w:t>Legal Proceedings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21">
              <w:r>
                <w:rPr>
                  <w:rStyle w:val="InternetLink"/>
                  <w:rFonts w:ascii="Times New Roman;serif" w:hAnsi="Times New Roman;serif"/>
                  <w:b w:val="false"/>
                  <w:color w:val="0000FF"/>
                  <w:sz w:val="20"/>
                  <w:u w:val="single"/>
                </w:rPr>
                <w:t>31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24">
              <w:r>
                <w:rPr>
                  <w:rStyle w:val="InternetLink"/>
                  <w:rFonts w:ascii="Times New Roman;serif" w:hAnsi="Times New Roman;serif"/>
                  <w:b w:val="false"/>
                  <w:color w:val="0000FF"/>
                  <w:sz w:val="20"/>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24">
              <w:r>
                <w:rPr>
                  <w:rStyle w:val="InternetLink"/>
                  <w:rFonts w:ascii="Times New Roman;serif" w:hAnsi="Times New Roman;serif"/>
                  <w:b w:val="false"/>
                  <w:color w:val="0000FF"/>
                  <w:sz w:val="20"/>
                  <w:u w:val="single"/>
                </w:rPr>
                <w:t>Risk Factors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24">
              <w:r>
                <w:rPr>
                  <w:rStyle w:val="InternetLink"/>
                  <w:rFonts w:ascii="Times New Roman;serif" w:hAnsi="Times New Roman;serif"/>
                  <w:b w:val="false"/>
                  <w:color w:val="0000FF"/>
                  <w:sz w:val="20"/>
                  <w:u w:val="single"/>
                </w:rPr>
                <w:t>31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27">
              <w:r>
                <w:rPr>
                  <w:rStyle w:val="InternetLink"/>
                  <w:rFonts w:ascii="Times New Roman;serif" w:hAnsi="Times New Roman;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27">
              <w:r>
                <w:rPr>
                  <w:rStyle w:val="InternetLink"/>
                  <w:rFonts w:ascii="Times New Roman;serif" w:hAnsi="Times New Roman;serif"/>
                  <w:b w:val="false"/>
                  <w:color w:val="0000FF"/>
                  <w:sz w:val="20"/>
                  <w:u w:val="single"/>
                </w:rPr>
                <w:t>Unregistered Sales of Equity Securities and Use of Proceeds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27">
              <w:r>
                <w:rPr>
                  <w:rStyle w:val="InternetLink"/>
                  <w:rFonts w:ascii="Times New Roman;serif" w:hAnsi="Times New Roman;serif"/>
                  <w:b w:val="false"/>
                  <w:color w:val="0000FF"/>
                  <w:sz w:val="20"/>
                  <w:u w:val="single"/>
                </w:rPr>
                <w:t>31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0">
              <w:r>
                <w:rPr>
                  <w:rStyle w:val="InternetLink"/>
                  <w:rFonts w:ascii="Times New Roman;serif" w:hAnsi="Times New Roman;serif"/>
                  <w:b w:val="false"/>
                  <w:color w:val="0000FF"/>
                  <w:sz w:val="20"/>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0">
              <w:r>
                <w:rPr>
                  <w:rStyle w:val="InternetLink"/>
                  <w:rFonts w:ascii="Times New Roman;serif" w:hAnsi="Times New Roman;serif"/>
                  <w:b w:val="false"/>
                  <w:color w:val="0000FF"/>
                  <w:sz w:val="20"/>
                  <w:u w:val="single"/>
                </w:rPr>
                <w:t>Other Information</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30">
              <w:r>
                <w:rPr>
                  <w:rStyle w:val="InternetLink"/>
                  <w:rFonts w:ascii="Times New Roman;serif" w:hAnsi="Times New Roman;serif"/>
                  <w:b w:val="false"/>
                  <w:color w:val="0000FF"/>
                  <w:sz w:val="20"/>
                  <w:u w:val="single"/>
                </w:rPr>
                <w:t>29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6">
              <w:r>
                <w:rPr>
                  <w:rStyle w:val="InternetLink"/>
                  <w:rFonts w:ascii="Times New Roman;serif" w:hAnsi="Times New Roman;serif"/>
                  <w:b w:val="false"/>
                  <w:color w:val="0000FF"/>
                  <w:sz w:val="20"/>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6">
              <w:r>
                <w:rPr>
                  <w:rStyle w:val="InternetLink"/>
                  <w:rFonts w:ascii="Times New Roman;serif" w:hAnsi="Times New Roman;serif"/>
                  <w:b w:val="false"/>
                  <w:color w:val="0000FF"/>
                  <w:sz w:val="20"/>
                  <w:u w:val="single"/>
                </w:rPr>
                <w:t>Exhibits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36">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3cc3a41ec5d447db60ab887e79dd04f_139">
              <w:r>
                <w:rPr>
                  <w:rStyle w:val="InternetLink"/>
                  <w:rFonts w:ascii="Times New Roman;serif" w:hAnsi="Times New Roman;serif"/>
                  <w:b w:val="false"/>
                  <w:color w:val="0000FF"/>
                  <w:sz w:val="20"/>
                  <w:u w:val="single"/>
                </w:rPr>
                <w:t>Signatures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c3a41ec5d447db60ab887e79dd04f_139">
              <w:r>
                <w:rPr>
                  <w:rStyle w:val="InternetLink"/>
                  <w:rFonts w:ascii="Times New Roman;serif" w:hAnsi="Times New Roman;serif"/>
                  <w:b w:val="false"/>
                  <w:color w:val="0000FF"/>
                  <w:sz w:val="20"/>
                  <w:u w:val="single"/>
                </w:rPr>
                <w:t>33</w:t>
              </w:r>
            </w:hyperlink>
          </w:p>
        </w:tc>
      </w:tr>
    </w:tbl>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tbl>
      <w:tblPr>
        <w:tblW w:w="9761" w:type="dxa"/>
        <w:jc w:val="left"/>
        <w:tblInd w:w="0" w:type="dxa"/>
        <w:tblLayout w:type="fixed"/>
        <w:tblCellMar>
          <w:top w:w="28" w:type="dxa"/>
          <w:left w:w="28" w:type="dxa"/>
          <w:bottom w:w="28" w:type="dxa"/>
          <w:right w:w="28" w:type="dxa"/>
        </w:tblCellMar>
      </w:tblPr>
      <w:tblGrid>
        <w:gridCol w:w="1858"/>
        <w:gridCol w:w="1630"/>
        <w:gridCol w:w="1642"/>
        <w:gridCol w:w="109"/>
        <w:gridCol w:w="109"/>
        <w:gridCol w:w="109"/>
        <w:gridCol w:w="308"/>
        <w:gridCol w:w="1206"/>
        <w:gridCol w:w="159"/>
        <w:gridCol w:w="159"/>
        <w:gridCol w:w="159"/>
        <w:gridCol w:w="159"/>
        <w:gridCol w:w="308"/>
        <w:gridCol w:w="1206"/>
        <w:gridCol w:w="15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 and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91,594,084 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91,908,600 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91,873,702 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w:t>
      </w:r>
    </w:p>
    <w:tbl>
      <w:tblPr>
        <w:tblW w:w="10205" w:type="dxa"/>
        <w:jc w:val="left"/>
        <w:tblInd w:w="0" w:type="dxa"/>
        <w:tblLayout w:type="fixed"/>
        <w:tblCellMar>
          <w:top w:w="28" w:type="dxa"/>
          <w:left w:w="28" w:type="dxa"/>
          <w:bottom w:w="28" w:type="dxa"/>
          <w:right w:w="28" w:type="dxa"/>
        </w:tblCellMar>
      </w:tblPr>
      <w:tblGrid>
        <w:gridCol w:w="2535"/>
        <w:gridCol w:w="2214"/>
        <w:gridCol w:w="2238"/>
        <w:gridCol w:w="109"/>
        <w:gridCol w:w="109"/>
        <w:gridCol w:w="109"/>
        <w:gridCol w:w="211"/>
        <w:gridCol w:w="721"/>
        <w:gridCol w:w="109"/>
        <w:gridCol w:w="109"/>
        <w:gridCol w:w="109"/>
        <w:gridCol w:w="109"/>
        <w:gridCol w:w="211"/>
        <w:gridCol w:w="721"/>
        <w:gridCol w:w="109"/>
        <w:gridCol w:w="109"/>
        <w:gridCol w:w="109"/>
        <w:gridCol w:w="109"/>
        <w:gridCol w:w="155"/>
      </w:tblGrid>
      <w:tr>
        <w:trPr/>
        <w:tc>
          <w:tcPr>
            <w:tcW w:w="253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c>
          <w:tcPr>
            <w:tcW w:w="482" w:type="dxa"/>
            <w:gridSpan w:val="4"/>
            <w:tcBorders/>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 net of tax benefit (provision) of $105, and $(178),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included in net income, net of tax (benefit) provision of $(155), and $37,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Amortization of benefit plan costs, net of tax benefit of $(184), and $(158),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losses arising during the period, net of tax provision of $—, and $(85),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included in net income, net of tax provision of $—, and $80,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40"/>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40"/>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65"/>
        <w:gridCol w:w="2070"/>
        <w:gridCol w:w="2078"/>
        <w:gridCol w:w="109"/>
        <w:gridCol w:w="109"/>
        <w:gridCol w:w="109"/>
        <w:gridCol w:w="211"/>
        <w:gridCol w:w="976"/>
        <w:gridCol w:w="109"/>
        <w:gridCol w:w="109"/>
        <w:gridCol w:w="109"/>
        <w:gridCol w:w="109"/>
        <w:gridCol w:w="211"/>
        <w:gridCol w:w="976"/>
        <w:gridCol w:w="155"/>
      </w:tblGrid>
      <w:tr>
        <w:trPr/>
        <w:tc>
          <w:tcPr>
            <w:tcW w:w="276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w:t>
              <w:br/>
              <w:t>and per share amounts)</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authorized 325,000,000 shares; issued 128,997,724 and 128,720,819 shares at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Treasury stock at cost, 37,383,169 and 37,289,582 shares at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tbl>
      <w:tblPr>
        <w:tblW w:w="1290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721"/>
        <w:gridCol w:w="109"/>
        <w:gridCol w:w="109"/>
        <w:gridCol w:w="109"/>
        <w:gridCol w:w="109"/>
        <w:gridCol w:w="273"/>
        <w:gridCol w:w="567"/>
        <w:gridCol w:w="166"/>
        <w:gridCol w:w="109"/>
        <w:gridCol w:w="109"/>
        <w:gridCol w:w="109"/>
        <w:gridCol w:w="181"/>
        <w:gridCol w:w="7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BWX TECHNOLOGIES, INC.</w:t>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Capital In</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Excess of</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Retained</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Accumulated</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Other</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Comprehensive</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Total</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Treasury</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(Unaudited) (In thousands, except share and per share amounts)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128,720,819 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($0.27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128,997,724 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128,320,295 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128,644,088 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2,339,531 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(43,314)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81"/>
        <w:gridCol w:w="2337"/>
        <w:gridCol w:w="2342"/>
        <w:gridCol w:w="109"/>
        <w:gridCol w:w="109"/>
        <w:gridCol w:w="109"/>
        <w:gridCol w:w="200"/>
        <w:gridCol w:w="753"/>
        <w:gridCol w:w="111"/>
        <w:gridCol w:w="111"/>
        <w:gridCol w:w="111"/>
        <w:gridCol w:w="111"/>
        <w:gridCol w:w="200"/>
        <w:gridCol w:w="661"/>
        <w:gridCol w:w="160"/>
      </w:tblGrid>
      <w:tr>
        <w:trPr/>
        <w:tc>
          <w:tcPr>
            <w:tcW w:w="278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thousands)</w:t>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of investees, net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asset disposals and impairments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losses for 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Contracts in progress and 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liabilities, accrued postretirement benefit obligations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net of return of capital,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(156,350)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 INCREASE (DECREASE)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2025 (our "2025 10-K"). We have included all adjustments, in the opinion of management, consisting only of normal recurring adjustments, necessary for a fair presentation.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present the notes to our condensed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Our reportable segments are further described as follows:</w:t>
      </w:r>
    </w:p>
    <w:p>
      <w:pPr>
        <w:pStyle w:val="TextBody"/>
        <w:bidi w:val="0"/>
        <w:spacing w:lineRule="auto" w:line="288" w:before="240" w:after="283"/>
        <w:ind w:left="0" w:right="0" w:hanging="270"/>
        <w:jc w:val="left"/>
        <w:rPr/>
      </w:pPr>
      <w:r>
        <w:rPr>
          <w:color w:val="000000"/>
        </w:rPr>
        <w:t>•</w:t>
      </w:r>
      <w:r>
        <w:rPr>
          <w:rFonts w:ascii="Times New Roman;serif" w:hAnsi="Times New Roman;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develop capabilities related to the manufacture of high-purity depleted uranium, design advanced reactors and manufacture other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and Canadian Governments including nuclear materials management and operation, environmental management and administrative and operating services for various Government-owned facilities. These services are provided to the U.S. Department of Energy ("DOE"), including the National Nuclear Security Administration, the Office of Nuclear Energy, the Office of Science and the Office of Environmental Management, the Department of War (also known as the Department of Defense), NASA and Canadian Nuclear Labs.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supply the global nuclear industry with large, heavy components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 manufactures medical radioisotopes, radiopharmaceuticals and medical devices, and partners with life science and pharmaceutical companies developing new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and Note 8 for financial information about our segments. Operating results for the three months ended March 31, 2026 are not necessarily indicative of the results that may be expected for the year ending December 31, 2026. For further information, refer to the consolidated financial statements and notes included in our 2025 10-K.</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accounting standards adopted during the three months ended March 31, 2026 that had a significant impact on our financial position, results of operations, cash flows or disclosures.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Contracts and Revenue Recognition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generally recognize contract revenues and related costs over time for individual performance obligations based on a cost-to-cost method in accordance with Financial Accounting Standards Board ("FASB")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a further discussion of revenue recognition.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federal income tax in the U.S., Canada and various other foreign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March 31, 2026 was 15.0% as compared to 17.7% for the three months ended March 31, 2025. The effective tax rates for the three months ended March 31, 2026 and March 31, 2025 were lower than the U.S. corporate federal income tax rate of 21% primarily due to excess tax benefits associated with equity compensation.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Cash and Cash Equivalents and Restricted Cash and Cash Equivalents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March 31, 2026, we had restricted cash and cash equivalents totaling $8.0 million, $4.8 million of which was held for future decommissioning of facilities (which is included in Other Assets on our condensed consolidated balance sheets) and $3.2 million of which was held to meet reinsurance reserve requirements of our captive insurer.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and cash equivalents on our condensed consolidated balance sheets to the totals presented on our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640"/>
        <w:gridCol w:w="2281"/>
        <w:gridCol w:w="2292"/>
        <w:gridCol w:w="109"/>
        <w:gridCol w:w="109"/>
        <w:gridCol w:w="109"/>
        <w:gridCol w:w="211"/>
        <w:gridCol w:w="826"/>
        <w:gridCol w:w="109"/>
        <w:gridCol w:w="109"/>
        <w:gridCol w:w="109"/>
        <w:gridCol w:w="109"/>
        <w:gridCol w:w="211"/>
        <w:gridCol w:w="826"/>
        <w:gridCol w:w="155"/>
      </w:tblGrid>
      <w:tr>
        <w:trPr/>
        <w:tc>
          <w:tcPr>
            <w:tcW w:w="2640"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and cash equivalents as presented on our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we had inventories totaling $45.6 million and $46.5 million, respectively, consisting almost entirely of raw materials and supplies.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is stated at cost and is set forth below:</w:t>
      </w:r>
    </w:p>
    <w:tbl>
      <w:tblPr>
        <w:tblW w:w="6441" w:type="dxa"/>
        <w:jc w:val="left"/>
        <w:tblInd w:w="0" w:type="dxa"/>
        <w:tblLayout w:type="fixed"/>
        <w:tblCellMar>
          <w:top w:w="28" w:type="dxa"/>
          <w:left w:w="28" w:type="dxa"/>
          <w:bottom w:w="28" w:type="dxa"/>
          <w:right w:w="28" w:type="dxa"/>
        </w:tblCellMar>
      </w:tblPr>
      <w:tblGrid>
        <w:gridCol w:w="1140"/>
        <w:gridCol w:w="996"/>
        <w:gridCol w:w="1014"/>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included in Stockholders' Equity are as follows:</w:t>
      </w:r>
    </w:p>
    <w:tbl>
      <w:tblPr>
        <w:tblW w:w="7520" w:type="dxa"/>
        <w:jc w:val="left"/>
        <w:tblInd w:w="0" w:type="dxa"/>
        <w:tblLayout w:type="fixed"/>
        <w:tblCellMar>
          <w:top w:w="28" w:type="dxa"/>
          <w:left w:w="28" w:type="dxa"/>
          <w:bottom w:w="28" w:type="dxa"/>
          <w:right w:w="28" w:type="dxa"/>
        </w:tblCellMar>
      </w:tblPr>
      <w:tblGrid>
        <w:gridCol w:w="1662"/>
        <w:gridCol w:w="1461"/>
        <w:gridCol w:w="1466"/>
        <w:gridCol w:w="109"/>
        <w:gridCol w:w="109"/>
        <w:gridCol w:w="109"/>
        <w:gridCol w:w="211"/>
        <w:gridCol w:w="796"/>
        <w:gridCol w:w="109"/>
        <w:gridCol w:w="109"/>
        <w:gridCol w:w="109"/>
        <w:gridCol w:w="109"/>
        <w:gridCol w:w="211"/>
        <w:gridCol w:w="79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amounts reclassified out of Accumulated other comprehensive income (loss) by component and the affected condensed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1181"/>
        <w:gridCol w:w="975"/>
        <w:gridCol w:w="978"/>
        <w:gridCol w:w="109"/>
        <w:gridCol w:w="109"/>
        <w:gridCol w:w="109"/>
        <w:gridCol w:w="211"/>
        <w:gridCol w:w="658"/>
        <w:gridCol w:w="109"/>
        <w:gridCol w:w="109"/>
        <w:gridCol w:w="109"/>
        <w:gridCol w:w="109"/>
        <w:gridCol w:w="211"/>
        <w:gridCol w:w="508"/>
        <w:gridCol w:w="109"/>
        <w:gridCol w:w="109"/>
        <w:gridCol w:w="109"/>
        <w:gridCol w:w="109"/>
        <w:gridCol w:w="109"/>
        <w:gridCol w:w="1546"/>
        <w:gridCol w:w="146"/>
        <w:gridCol w:w="109"/>
        <w:gridCol w:w="692"/>
        <w:gridCol w:w="692"/>
        <w:gridCol w:w="990"/>
      </w:tblGrid>
      <w:tr>
        <w:trPr/>
        <w:tc>
          <w:tcPr>
            <w:tcW w:w="118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3" w:type="dxa"/>
            <w:gridSpan w:val="4"/>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6"/>
              </w:rPr>
            </w:pPr>
            <w:r>
              <w:rPr>
                <w:rFonts w:ascii="Times New Roman;serif" w:hAnsi="Times New Roman;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Line Item Presented</w:t>
            </w:r>
          </w:p>
        </w:tc>
        <w:tc>
          <w:tcPr>
            <w:tcW w:w="2629" w:type="dxa"/>
            <w:gridSpan w:val="5"/>
            <w:tcBorders/>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Realized losses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reclassification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March 31, 2026, we had deferred approximately $0.2 million of net gains on these derivative financial instruments. Assuming market conditions continue, we expect to recognize the majority of this amount in the next 12 months. For the three months ended March 31, 2026 and 2025, we recognized losses (gains) of $4.0 million and $(1.7) million, respectively, in Other – net on our condensed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March 31, 2026, our derivative financial instruments consisted of FX forward contracts with a total notional value of $252.7 million with maturities extending to December 2028.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New Accounting and Disclosure Standards</w:t>
      </w:r>
    </w:p>
    <w:p>
      <w:pPr>
        <w:pStyle w:val="TextBody"/>
        <w:bidi w:val="0"/>
        <w:spacing w:lineRule="auto" w:line="288" w:before="360" w:after="283"/>
        <w:ind w:left="0" w:right="0" w:firstLine="540"/>
        <w:jc w:val="left"/>
        <w:rPr/>
      </w:pPr>
      <w:r>
        <w:rPr>
          <w:rFonts w:ascii="Times New Roman;serif" w:hAnsi="Times New Roman;serif"/>
          <w:b w:val="false"/>
          <w:color w:val="000000"/>
          <w:sz w:val="20"/>
        </w:rPr>
        <w:t xml:space="preserve">In November 2024, the FASB issued updates to Topic </w:t>
      </w:r>
      <w:r>
        <w:rPr>
          <w:rFonts w:ascii="Times New Roman;serif" w:hAnsi="Times New Roman;serif"/>
          <w:b w:val="false"/>
          <w:i/>
          <w:color w:val="000000"/>
          <w:sz w:val="20"/>
        </w:rPr>
        <w:t>Income Statement – Reporting Comprehensive Income – Expense Disaggregation Disclosures: Disaggregation of Income Statement Expenses</w:t>
      </w:r>
      <w:r>
        <w:rPr>
          <w:rFonts w:ascii="Times New Roman;serif" w:hAnsi="Times New Roman;serif"/>
          <w:b w:val="false"/>
          <w:color w:val="000000"/>
          <w:sz w:val="20"/>
        </w:rPr>
        <w:t>. These updates require a public entity to disclose additional information about specific expense categories in 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 and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September 2025, the FASB issued updates to Topic </w:t>
      </w:r>
      <w:r>
        <w:rPr>
          <w:rFonts w:ascii="Times New Roman;serif" w:hAnsi="Times New Roman;serif"/>
          <w:b w:val="false"/>
          <w:i/>
          <w:color w:val="000000"/>
          <w:sz w:val="20"/>
        </w:rPr>
        <w:t xml:space="preserve">Intangibles – Goodwill and Other – Internal-Use Software: Targeted Improvements to the Accounting for Internal-Use Software. </w:t>
      </w:r>
      <w:r>
        <w:rPr>
          <w:rFonts w:ascii="Times New Roman;serif" w:hAnsi="Times New Roman;serif"/>
          <w:b w:val="false"/>
          <w:color w:val="000000"/>
          <w:sz w:val="20"/>
        </w:rPr>
        <w:t>These updates modernize the accounting for internal-use software by eliminating the sequential development stages currently in use, and modify when an entity is required to begin capitalizing software costs. Furthermore, disclosures for property, plant and equipment will be required for all capitalized software costs. The updates are effective for annual reporting periods beginning after December 15, 2027 and interim reporting periods within those annual reporting periods. Early adoption is permitted. Upon adoption, the updates may be applied prospectively, retrospectively or using a modified transition approach. We are currently evaluating the impact of the adoption of this standard on our financial condition, results of operations, cash flows and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2025 the FASB issued updates to Topic </w:t>
      </w:r>
      <w:r>
        <w:rPr>
          <w:rFonts w:ascii="Times New Roman;serif" w:hAnsi="Times New Roman;serif"/>
          <w:b w:val="false"/>
          <w:i/>
          <w:color w:val="000000"/>
          <w:sz w:val="20"/>
        </w:rPr>
        <w:t>Government Grants – Accounting for Government Grants Received</w:t>
      </w:r>
    </w:p>
    <w:p>
      <w:pPr>
        <w:pStyle w:val="TextBody"/>
        <w:bidi w:val="0"/>
        <w:spacing w:lineRule="auto" w:line="288" w:before="0" w:after="0"/>
        <w:jc w:val="left"/>
        <w:rPr/>
      </w:pPr>
      <w:r>
        <w:rPr>
          <w:rFonts w:ascii="Times New Roman;serif" w:hAnsi="Times New Roman;serif"/>
          <w:b w:val="false"/>
          <w:i/>
          <w:color w:val="000000"/>
          <w:sz w:val="20"/>
        </w:rPr>
        <w:t>by Business Entities</w:t>
      </w:r>
      <w:r>
        <w:rPr>
          <w:rFonts w:ascii="Times New Roman;serif" w:hAnsi="Times New Roman;serif"/>
          <w:b w:val="false"/>
          <w:color w:val="000000"/>
          <w:sz w:val="20"/>
        </w:rPr>
        <w:t>. These updates add guidance on the recognition, measurement and presentation of government grants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where entities historically were required to analogize other existing guidance to determine the appropriate accounting.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FASB largely leveraged this other guidance in these updates. The updates are effective for annual periods beginning after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15, 2028, including interim periods within those fiscal years with early adoption permitted. We are currently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evaluating the impact of the adoption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 ACQUISITIONS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acquired all of the equity interests of Aerojet Ordnance Tennessee, Inc. ("A.O.T."), a subsidiary of L3Harris Technologies, Inc. for approximately $101.1 million. A.O.T. is a leading provider of advanced special materials which will further enhance our capabilities to develop and manufacture advanced materials and products for commercial, military and space applications. A.O.T. is reported as part of our Government Operations segment. Our final purchase price allocation resulted in the recognition of $75.0 million of Goodwill, $27.0 million of Intangible Assets and $12.7 million of Property, Plant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33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11"/>
        <w:gridCol w:w="721"/>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Kinectrics Inc. ("Kinectrics") for CAD $782.7 million, subject to certain working capital and other adjustments. This resulted in purchase consideration of CAD $614.5 million ($440.6 million U.S. dollar equivalent) which is net of assumed pension liabilities, other postretirement benefit obligations and indebtedness.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Kinectrics is reported as part of our Commercial Operations segment.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fair value assessment of the Kinectrics acquisition is in process as of the filing date of this Form 10-Q. The amounts allocated to the assets acquired and liabilities assumed have been determined by management, using estimates of fair value based on the information currently available and on current assumptions of future operations. These fair values are subject to change upon the completion of purchase accounting, the impact of which may be material.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estimates of fair value resulted in the recognition of $174.9 million of Property, Plant and Equipment, $129.3 million of Goodwill, $151.3 million of Intangible Assets, $39.5 million of Investments in Unconsolidated Affiliates and $25.4 million of net working capital, net of acquired Pension Liabilities and Other Postretirement Obligations totaling $90.3 million.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445"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826"/>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Precision Components Group, LLC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we announced our intention to acquire Precision Components Group, LLC ("PCG"), including its subsidiaries Precision Custom Components and DC Fabricators. PCG is a privately held U.S. manufacturer of complex, heavy-walled and heat-transfer components. The acquisition will expand BWXT’s heavy-manufacturing footprint and establish additional U.S. commercial nuclear production capacity to serve growing domestic demand. The acquisition is expected to close during the second half of 2026, subject to required regulatory approvals and customary closing conditions. Once completed, PCG will be reported as part of our Commercial Operations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Disaggregated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by geographic area and customer type were as follows:</w:t>
      </w:r>
    </w:p>
    <w:tbl>
      <w:tblPr>
        <w:tblW w:w="108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Revenues by timing of transfer of goods or services were as follows:</w:t>
      </w:r>
    </w:p>
    <w:tbl>
      <w:tblPr>
        <w:tblW w:w="105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by contract type were as follows:</w:t>
      </w:r>
    </w:p>
    <w:tbl>
      <w:tblPr>
        <w:tblW w:w="110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tbl>
      <w:tblPr>
        <w:tblW w:w="4937"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91"/>
        <w:gridCol w:w="109"/>
        <w:gridCol w:w="109"/>
        <w:gridCol w:w="109"/>
        <w:gridCol w:w="109"/>
        <w:gridCol w:w="211"/>
        <w:gridCol w:w="796"/>
        <w:gridCol w:w="109"/>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(1)During the three months ended March 31, 2026 and 2025, no adjustments to any one contract had a material impact on our consolidated financial statements.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recognized $67.3 million and $69.5 million, respectively, of revenues that were in Advance billings on contracts at the beginning of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dollar amount of revenue we expect to recognize in the future from performance obligations on contracts previously awarded and in progress. At March 31, 2026, our remaining performance obligations were $8,650.8 million. We expect to recognize approximately 60% of the revenue associated with our remaining performance obligations by the end of 2027,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PENSION PLANS AND POSTRETIREMENT BENEFITS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record the service cost component of net periodic benefit cost within Operating income on our condensed consolidated statements of income. For the three months ended March 31, 2026 and 2025, these amounts were $5.3 million and $1.8 million, respectively. All other components of net periodic benefit cost are included in Other – net within the condensed consolidated statements of income. For the three months ended March 31, 2026 and 2025, these amounts were $(4.0) million and $(1.7) million, respectively.</w:t>
      </w:r>
    </w:p>
    <w:tbl>
      <w:tblPr>
        <w:tblW w:w="9524" w:type="dxa"/>
        <w:jc w:val="left"/>
        <w:tblInd w:w="0" w:type="dxa"/>
        <w:tblLayout w:type="fixed"/>
        <w:tblCellMar>
          <w:top w:w="28" w:type="dxa"/>
          <w:left w:w="28" w:type="dxa"/>
          <w:bottom w:w="28" w:type="dxa"/>
          <w:right w:w="28" w:type="dxa"/>
        </w:tblCellMar>
      </w:tblPr>
      <w:tblGrid>
        <w:gridCol w:w="1041"/>
        <w:gridCol w:w="915"/>
        <w:gridCol w:w="923"/>
        <w:gridCol w:w="109"/>
        <w:gridCol w:w="109"/>
        <w:gridCol w:w="109"/>
        <w:gridCol w:w="211"/>
        <w:gridCol w:w="616"/>
        <w:gridCol w:w="109"/>
        <w:gridCol w:w="109"/>
        <w:gridCol w:w="109"/>
        <w:gridCol w:w="109"/>
        <w:gridCol w:w="211"/>
        <w:gridCol w:w="616"/>
        <w:gridCol w:w="109"/>
        <w:gridCol w:w="109"/>
        <w:gridCol w:w="384"/>
        <w:gridCol w:w="384"/>
        <w:gridCol w:w="385"/>
        <w:gridCol w:w="109"/>
        <w:gridCol w:w="109"/>
        <w:gridCol w:w="109"/>
        <w:gridCol w:w="211"/>
        <w:gridCol w:w="616"/>
        <w:gridCol w:w="109"/>
        <w:gridCol w:w="109"/>
        <w:gridCol w:w="109"/>
        <w:gridCol w:w="109"/>
        <w:gridCol w:w="211"/>
        <w:gridCol w:w="466"/>
        <w:gridCol w:w="109"/>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c>
          <w:tcPr>
            <w:tcW w:w="2857" w:type="dxa"/>
            <w:gridSpan w:val="16"/>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857" w:type="dxa"/>
            <w:gridSpan w:val="16"/>
            <w:tcBorders/>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Net periodic benefit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COMMITMENTS AND CONTINGENCIES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material contingencies during the period covered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March 31, 2026:</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December 31, 2025:</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investments based on quoted market prices. For investments for which there are no quoted market prices, we derive fair values from available yield curves for investments of similar quality and terms.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Level 2 derivative assets and liabilities currently consist of FX forward contracts. Where applicable, the value of these derivative assets and liabilities is computed by discounting the projected future cash flow amounts to present value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market-based observable inputs, including FX forward and spot rates, interest rates and counterparty performance risk adjustments. At March 31, 2026 and December 31, 2025, we had FX forward contracts outstanding to purchase or sell foreign currencies, primarily Canadian dollars and Euros, with a total fair value of $1.2 million and $5.2 million, respectively. Derivative assets and liabilities are included in Accounts receivable – other and Accounts payable, respectively, on our condensed consolidated balance sheets.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used the following methods and assumptions in estimating our fair value disclosures for our other financial instruments, as follows: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Cash and cash equivalents and restricted cash and cash equivalents</w:t>
      </w:r>
      <w:r>
        <w:rPr>
          <w:rFonts w:ascii="Times New Roman;serif" w:hAnsi="Times New Roman;serif"/>
          <w:b w:val="false"/>
          <w:color w:val="000000"/>
          <w:sz w:val="20"/>
        </w:rPr>
        <w:t>. The carrying amounts that we have reported in the accompanying condensed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Long-term and short-term debt</w:t>
      </w:r>
      <w:r>
        <w:rPr>
          <w:rFonts w:ascii="Times New Roman;serif" w:hAnsi="Times New Roman;serif"/>
          <w:b w:val="false"/>
          <w:color w:val="000000"/>
          <w:sz w:val="20"/>
        </w:rPr>
        <w:t>. We base the fair values of debt instruments, including our Senior Notes,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March 31, 2026, the fair value of the Senior Notes due 2028, Senior Notes due 2029, and 2030 Notes was $384.5 million, $388.3 million, and $1.285 billion, respectively. At December 31, 2025, their fair values were $392.9 million, $389.3 million, and $1.194 billion, respectively. The fair value of our remaining debt instruments approximated their carrying values at March 31, 2026 and December 31, 2025.</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Note receivable.</w:t>
      </w:r>
      <w:r>
        <w:rPr>
          <w:color w:val="000000"/>
        </w:rPr>
        <w:t xml:space="preserve"> </w:t>
      </w:r>
      <w:r>
        <w:rPr>
          <w:rFonts w:ascii="Times New Roman;serif" w:hAnsi="Times New Roman;serif"/>
          <w:b w:val="false"/>
          <w:color w:val="000000"/>
          <w:sz w:val="20"/>
        </w:rPr>
        <w:t>Included in Other current assets is a note receivable related to a third-party loan. We base the fair value of this level 2 note receivable instrument on the present value of future cash flows discounted at market interest rates for financial instruments with similar quality and terms. At March 31, 2026 and December 31, 2025, the carrying value of our note receivable was $6.2 million and $6.4 million, respectively, and approximated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 STOCK-BASED COMPENSATION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recognized for all of our plans for the three months ended March 31, 2026 and 2025 totaled $10.2 million and $5.0 million, respectively, with associated tax benefit totaling $2.3 million and $1.0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 SEGMENT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 An analysis of our operations by reportable segment is as follows:</w:t>
      </w:r>
    </w:p>
    <w:tbl>
      <w:tblPr>
        <w:tblW w:w="7416" w:type="dxa"/>
        <w:jc w:val="left"/>
        <w:tblInd w:w="0" w:type="dxa"/>
        <w:tblLayout w:type="fixed"/>
        <w:tblCellMar>
          <w:top w:w="28" w:type="dxa"/>
          <w:left w:w="28" w:type="dxa"/>
          <w:bottom w:w="28" w:type="dxa"/>
          <w:right w:w="28" w:type="dxa"/>
        </w:tblCellMar>
      </w:tblPr>
      <w:tblGrid>
        <w:gridCol w:w="1445"/>
        <w:gridCol w:w="1269"/>
        <w:gridCol w:w="1275"/>
        <w:gridCol w:w="109"/>
        <w:gridCol w:w="109"/>
        <w:gridCol w:w="109"/>
        <w:gridCol w:w="211"/>
        <w:gridCol w:w="826"/>
        <w:gridCol w:w="109"/>
        <w:gridCol w:w="109"/>
        <w:gridCol w:w="109"/>
        <w:gridCol w:w="109"/>
        <w:gridCol w:w="211"/>
        <w:gridCol w:w="826"/>
        <w:gridCol w:w="109"/>
        <w:gridCol w:w="109"/>
        <w:gridCol w:w="109"/>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Asset Disposals and Impairments,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Operating Income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(1)Other segment expenses include the total cost of operations and selling, general, and administrative expenses.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(2)Unallocated Corporate includes general corporate overhead not allocated to segments in addition to losses on asset disposals and impairments, net.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following amounts are included in Operating Income:</w:t>
      </w:r>
    </w:p>
    <w:p>
      <w:pPr>
        <w:pStyle w:val="TextBody"/>
        <w:bidi w:val="0"/>
        <w:spacing w:before="0" w:after="0"/>
        <w:jc w:val="left"/>
        <w:rPr/>
      </w:pPr>
      <w:r>
        <w:rPr/>
      </w:r>
    </w:p>
    <w:tbl>
      <w:tblPr>
        <w:tblW w:w="5811"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211"/>
        <w:gridCol w:w="721"/>
        <w:gridCol w:w="109"/>
        <w:gridCol w:w="109"/>
        <w:gridCol w:w="109"/>
        <w:gridCol w:w="109"/>
        <w:gridCol w:w="211"/>
        <w:gridCol w:w="721"/>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Equity in Income of Investees</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tbl>
      <w:tblPr>
        <w:tblW w:w="6756" w:type="dxa"/>
        <w:jc w:val="left"/>
        <w:tblInd w:w="0" w:type="dxa"/>
        <w:tblLayout w:type="fixed"/>
        <w:tblCellMar>
          <w:top w:w="28" w:type="dxa"/>
          <w:left w:w="28" w:type="dxa"/>
          <w:bottom w:w="28" w:type="dxa"/>
          <w:right w:w="28" w:type="dxa"/>
        </w:tblCellMar>
      </w:tblPr>
      <w:tblGrid>
        <w:gridCol w:w="1283"/>
        <w:gridCol w:w="1126"/>
        <w:gridCol w:w="1130"/>
        <w:gridCol w:w="109"/>
        <w:gridCol w:w="109"/>
        <w:gridCol w:w="109"/>
        <w:gridCol w:w="211"/>
        <w:gridCol w:w="721"/>
        <w:gridCol w:w="109"/>
        <w:gridCol w:w="109"/>
        <w:gridCol w:w="109"/>
        <w:gridCol w:w="109"/>
        <w:gridCol w:w="211"/>
        <w:gridCol w:w="721"/>
        <w:gridCol w:w="109"/>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Product and Service Lines:</w:t>
      </w:r>
    </w:p>
    <w:tbl>
      <w:tblPr>
        <w:tblW w:w="7057"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826"/>
        <w:gridCol w:w="109"/>
        <w:gridCol w:w="109"/>
        <w:gridCol w:w="109"/>
        <w:gridCol w:w="109"/>
        <w:gridCol w:w="211"/>
        <w:gridCol w:w="826"/>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Components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Uranium Processing and Nuclear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Reactor Design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Services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Consolidated Operations in Different Geographic Areas:</w:t>
      </w:r>
    </w:p>
    <w:tbl>
      <w:tblPr>
        <w:tblW w:w="7191" w:type="dxa"/>
        <w:jc w:val="left"/>
        <w:tblInd w:w="0" w:type="dxa"/>
        <w:tblLayout w:type="fixed"/>
        <w:tblCellMar>
          <w:top w:w="28" w:type="dxa"/>
          <w:left w:w="28" w:type="dxa"/>
          <w:bottom w:w="28" w:type="dxa"/>
          <w:right w:w="28" w:type="dxa"/>
        </w:tblCellMar>
      </w:tblPr>
      <w:tblGrid>
        <w:gridCol w:w="1413"/>
        <w:gridCol w:w="1242"/>
        <w:gridCol w:w="1245"/>
        <w:gridCol w:w="109"/>
        <w:gridCol w:w="109"/>
        <w:gridCol w:w="109"/>
        <w:gridCol w:w="211"/>
        <w:gridCol w:w="976"/>
        <w:gridCol w:w="109"/>
        <w:gridCol w:w="109"/>
        <w:gridCol w:w="109"/>
        <w:gridCol w:w="109"/>
        <w:gridCol w:w="211"/>
        <w:gridCol w:w="97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revenues by geographic area for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Information about our Major Customers:</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2025, sales to the U.S. Government accounted for approximately 89% and 92% of our Government Operations segment revenues, respectively. In the three months ended March 31, 2026 and 2025, sales to two large utility customers accounted for approximately 61% and 73% of our Commercial Operations segment revenues, respectively.</w:t>
      </w:r>
    </w:p>
    <w:p>
      <w:pPr>
        <w:pStyle w:val="TextBody"/>
        <w:bidi w:val="0"/>
        <w:spacing w:lineRule="auto" w:line="276" w:before="30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Evaluation of segment performance:</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measures the performance of each segment based on several metrics, including revenue and 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 EARNINGS PER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tbl>
      <w:tblPr>
        <w:tblW w:w="9793" w:type="dxa"/>
        <w:jc w:val="left"/>
        <w:tblInd w:w="0" w:type="dxa"/>
        <w:tblLayout w:type="fixed"/>
        <w:tblCellMar>
          <w:top w:w="28" w:type="dxa"/>
          <w:left w:w="28" w:type="dxa"/>
          <w:bottom w:w="28" w:type="dxa"/>
          <w:right w:w="28" w:type="dxa"/>
        </w:tblCellMar>
      </w:tblPr>
      <w:tblGrid>
        <w:gridCol w:w="1864"/>
        <w:gridCol w:w="1638"/>
        <w:gridCol w:w="1658"/>
        <w:gridCol w:w="109"/>
        <w:gridCol w:w="109"/>
        <w:gridCol w:w="109"/>
        <w:gridCol w:w="335"/>
        <w:gridCol w:w="1145"/>
        <w:gridCol w:w="173"/>
        <w:gridCol w:w="173"/>
        <w:gridCol w:w="173"/>
        <w:gridCol w:w="173"/>
        <w:gridCol w:w="335"/>
        <w:gridCol w:w="1145"/>
        <w:gridCol w:w="173"/>
        <w:gridCol w:w="109"/>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91,663,975 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91,594,084 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91,663,975 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91,594,084 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 xml:space="preserve">Stock options, restricted stock units and performance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91,908,600 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91,873,702 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(1)At March 31, 2026 and 2025, we excluded 213,765 and 241,796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2025 (our "2025 10-K").</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this Report, unless the context otherwise indicates, "we," "us" and "our" mean BWX Technologies, Inc. ("BWXT" or the "Company")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2025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risk of government shutdowns, including the risk of program cancellations, schedule delays, production halts and other disruptions and nonpayment, and changing funding and acquisition priorities. Accordingly, our actual results may differ materially from the future performance that we have expressed or forecast in our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or in our 2025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However, it is possible that reductions in federal government spending could have an adverse impact on the operating results and cash flows of this segment in the future.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engineer, design and manufacture precision naval nuclear components, reactors and nuclear fuel for the U.S. Department of Energy ("DOE")/National Nuclear Safety Administration's ("NNSA") Naval Nuclear Propulsion Program. In addition, this segment downblends Cold War-era government stockpiles of high-enriched uranium, develops and manufactures advanced materials and products for commercial, military and space applications and supplies proprietary and sole-source valves, manifolds and fittings to global naval and commercial shipping customers. As a supplier of major nuclear components for certain U.S. Government programs, this segment is a significant participant in the defense industry.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and other federal agencies.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this segment also develops technology for a variety of applications, including advanced nuclear power sources, and offers complete advanced nuclear fuel and reactor design and engineering and licensing and manufacturing services for new advanced nuclear reactors.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nuclear power plants. This segment also provides a variety of engineering and in-plant services and offers a broad suite of lifecycle support and management services for the global nuclear power industry, transmission and distribution markets. This segment is a significant supplier to nuclear power utilities undergoing major refurbishment and plant life extension projects and is a global manufacturer and supplier of critical medical radioisotopes and radiopharmaceuticals.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and refueling outages, the cyclical nature of capital expenditures and major refurbishment and plant life extension projects, as well as the demand for nuclear fuel and fuel handling equipment and engineering services primarily in the Canadian market, which could cause variability in our financial results.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2025, we acquired all of the equity interests of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will enable us to expand our portfolio of products and services in the global nuclear market. Kinectrics is reported as part of our Commercial Operations segment.</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Precision Components Group, LLC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we announced our intention to acquire Precision Components Group, LLC ("PCG"), including its subsidiaries Precision Custom Components and DC Fabricators. PCG is a privately held U.S. manufacturer of complex, heavy-walled and heat-transfer components. The acquisition will expand BWXT’s heavy-manufacturing footprint and establish additional U.S. commercial nuclear production capacity to serve growing domestic demand. The acquisition is expected to close during the second half of 2026, subject to required regulatory approvals and customary closing conditions. Once completed, PCG will be reported as part of our Commercial Operations segment.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2 to our condensed consolidated financial statements for additional information about our recent acquisition activity.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summary of the critical accounting policies and estimates that we use in the preparation of our unaudited condensed consolidated financial statements, see Item 7 of our 2025 10-K. There have been no material changes to our critical accounting policies and estimates during the three months ended March 31, 2026.</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Contracts &amp;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tbl>
      <w:tblPr>
        <w:tblW w:w="4937"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91"/>
        <w:gridCol w:w="109"/>
        <w:gridCol w:w="109"/>
        <w:gridCol w:w="109"/>
        <w:gridCol w:w="109"/>
        <w:gridCol w:w="211"/>
        <w:gridCol w:w="796"/>
        <w:gridCol w:w="109"/>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March 31, 2026 and 2025, no adjustments to any one contract had a material impact on our consolidated financial statements.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495"/>
        <w:jc w:val="left"/>
        <w:rPr>
          <w:rFonts w:ascii="Times New Roman;serif" w:hAnsi="Times New Roman;serif"/>
          <w:b/>
          <w:i/>
          <w:color w:val="000000"/>
          <w:sz w:val="20"/>
        </w:rPr>
      </w:pPr>
      <w:r>
        <w:rPr>
          <w:rFonts w:ascii="Times New Roman;serif" w:hAnsi="Times New Roman;serif"/>
          <w:b/>
          <w:i/>
          <w:color w:val="000000"/>
          <w:sz w:val="20"/>
        </w:rPr>
        <w:t>Results of Operations – Three Months Ended March 31, 2026 vs. Three Months Ended March 31,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Selected financial highlights are presented in the table below:</w:t>
      </w:r>
    </w:p>
    <w:tbl>
      <w:tblPr>
        <w:tblW w:w="7188"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Results of Operations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26.1%, or $178.0 million, to $860.2 million in the three months ended March 31, 2026 compared to $682.3 million for the corresponding period of 2025, due to increases in our Government Operations and Commercial Operations segments of $22.6 million and $155.3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$10.1 million to $106.7 million in the three months ended March 31, 2026 compared to $96.6 million for the corresponding period of 2025 due to increases in our Government Operations and Commercial Operations segments of $1.4 million and $17.6 million, respectively, offset partially by higher Unallocated Corporate expenses of $8.9 million when compared to the corresponding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tbl>
      <w:tblPr>
        <w:tblW w:w="6588" w:type="dxa"/>
        <w:jc w:val="left"/>
        <w:tblInd w:w="0" w:type="dxa"/>
        <w:tblLayout w:type="fixed"/>
        <w:tblCellMar>
          <w:top w:w="28" w:type="dxa"/>
          <w:left w:w="28" w:type="dxa"/>
          <w:bottom w:w="28" w:type="dxa"/>
          <w:right w:w="28" w:type="dxa"/>
        </w:tblCellMar>
      </w:tblPr>
      <w:tblGrid>
        <w:gridCol w:w="570"/>
        <w:gridCol w:w="499"/>
        <w:gridCol w:w="50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Revenues increased $22.6 million, or 4.1%, to $577.9 million in the three months ended March 31, 2026 compared to $555.3 million for the corresponding period of 2025. The increase was primarily due to an increase in revenues of $16.2 million associated with A.O.T. and contributions from enrichment operations. These increases were partially offset by a decrease in revenues associated with our advanced technologies business.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increased $1.4 million to $99.1 million in the three months ended March 31, 2026 compared to $97.7 million for the corresponding period of 2025 primarily due to the operating income impact of the changes in revenue noted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tbl>
      <w:tblPr>
        <w:tblW w:w="6693" w:type="dxa"/>
        <w:jc w:val="left"/>
        <w:tblInd w:w="0" w:type="dxa"/>
        <w:tblLayout w:type="fixed"/>
        <w:tblCellMar>
          <w:top w:w="28" w:type="dxa"/>
          <w:left w:w="28" w:type="dxa"/>
          <w:bottom w:w="28" w:type="dxa"/>
          <w:right w:w="28" w:type="dxa"/>
        </w:tblCellMar>
      </w:tblPr>
      <w:tblGrid>
        <w:gridCol w:w="570"/>
        <w:gridCol w:w="499"/>
        <w:gridCol w:w="50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Revenues increased 121.1%, or $155.3 million, to $283.6 million in the three months ended March 31, 2026 compared to $128.3 million for the corresponding period of 2025. The increase was primarily related to the acquisition of Kinectrics, completed on May 20, 2025, which resulted in an increase in revenues of $105.3 million. The increase was also due to higher revenues related to on-site inspection, maintenance and refurbishment work of $23.1 million and components manufacturing of $19.2 million.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$17.6 million to $24.0 million in the three months ended March 31, 2026 compared to $6.5 million for the corresponding period of 2025. The increase was primarily related to the operating income impact of the changes in revenues noted above as well as a favorable shift in our product mix. These increases were partially offset by a $1.7 million increase in expenses associated with acquisition and restructuring-related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Corporate</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increased $8.9 million to $16.5 million in the three months ended March 31, 2026 compared to $7.6 million the corresponding period of 2025. The increase was primarily related to higher expenditures for legal and consulting costs associated with merger and acquisition related activities of $3.0 million and restructuring related activities $1.0 million when compared to the corresponding period of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8447" w:type="dxa"/>
        <w:jc w:val="left"/>
        <w:tblInd w:w="0" w:type="dxa"/>
        <w:tblLayout w:type="fixed"/>
        <w:tblCellMar>
          <w:top w:w="28" w:type="dxa"/>
          <w:left w:w="28" w:type="dxa"/>
          <w:bottom w:w="28" w:type="dxa"/>
          <w:right w:w="28" w:type="dxa"/>
        </w:tblCellMar>
      </w:tblPr>
      <w:tblGrid>
        <w:gridCol w:w="1281"/>
        <w:gridCol w:w="1127"/>
        <w:gridCol w:w="113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primarily operate in the U.S., Canada and various other foreign jurisdictions and we recognize our U.S. income tax provision based on the U.S. federal statutory rate of 21%, our Canadian tax provision is based on the Canadian local statutory rate of approximately 25%, and other foreign jurisdictions at various enacted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March 31, 2026 was 15.0% as compared to 17.7% for the three months ended March 31, 2025. The effective tax rates for the three months ended March 31, 2026 and March 31, 2025 were lower than the U.S. corporate federal income tax rate of 21% primarily due to excess tax benefits associated with equity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erif" w:hAnsi="Times New Roman;serif"/>
          <w:b w:val="false"/>
          <w:color w:val="000000"/>
          <w:sz w:val="20"/>
        </w:rPr>
        <w:t xml:space="preserve">Our backlog is equal to our remaining performance obligations under contracts that meet the criteria in Financial Accounting Standards Board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as discussed in Note 3 to our condensed consolidated financial statements included in this Report. It is possible that our methodology for determining backlog may not be comparable to methods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tbl>
      <w:tblPr>
        <w:tblW w:w="4784"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616"/>
        <w:gridCol w:w="109"/>
        <w:gridCol w:w="109"/>
        <w:gridCol w:w="109"/>
        <w:gridCol w:w="109"/>
        <w:gridCol w:w="245"/>
        <w:gridCol w:w="716"/>
        <w:gridCol w:w="17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do not include the value of our unconsolidated joint venture contracts in backlog.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our ending backlog was $8,650.8 million, which included $2,367.4 million of unfunded backlog related to U.S. Government contracts. We expect to recognize approximately 60% of the revenue associated with our backlog by the end of 2027, with the remainder to be recognized thereafter.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value of unexercised options excluded from backlog as of March 31, 2026, including previous awards, was approximately $1,400 million. We expect $900 million to be awarded in 2030 and $500 million to be awarded in 2035, subject to annual Congressional appropriations.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New Credit Facility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November 10, 2025, we entered into a second Amended and Restated Credit Agreement (the "New Credit Facility") with Wells Fargo Bank, National Association, as administrative agent, and the other lenders party thereto, which amended and restated our then-existing secured credit facility (the "Former Credit Facility"), which consisted of a $750 million senior secured revolving credit facility (the "Revolving Credit Facility") and a $250 million senior secured term A loan (the "Term Loan"). The Revolving Credit Facility and the Term Loan were repaid, in their entirety, with the proceeds from the 2030 Notes as discussed below. The New Credit Facility includes a $1.25 billion senior secured revolving credit facility. The proceeds of loans under the New Credit Facility are available for working capital needs, permitted acquisitions and other general corporate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is scheduled to mature on November 10, 2030, subject to an early maturity trigger if on any date the aggregate outstanding principal amount of unsecured indebtedness due within 91 days thereof is in excess of 100% of EBITDA, as defined in the New Credit Facility, for the last four full fiscal quarters. However, this early maturity trigger will not apply if (1) the total Net Leverage Ratio is less than or equal to 2.00 to 1.00 or (2) liquidity is at least 125% of such outstanding unsecured indebtedness. The Company’s obligations under the New Credit Facility are guaranteed by the same guarantors that guarantee the 2030 Notes. The New Credit Facility is secured by first-priority liens on certain assets owned by the Company and the guarantors (other than its subsidiaries comprising a portion of its Government Operations segment), provided such liens may be released if the Company obtains investment grade ratings of at least BBB- from S&amp;P or Baa3 from Moody's and no default or event of default exists.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allows for additional parties to become lenders and, subject to certain conditions, for the increase of the commitments under the New Credit Facility, subject to an aggregate maximum for all additional commitments of (1) the greater of (a) $600 million and (b) 100% of EBITDA, as defined in the New Credit Facility, for the last four full fiscal quarters, plus (2) additional amounts provided the Company is in compliance with a pro forma first lien leverage ratio test 3.00 to 1.00 or less.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loans under the New Credit Facility bear interest at our option at either (i) the Term SOFR rate plus a margin ranging from 1.00% to 1.75% per year or (ii) the base rate (the highest of (x) the administrative agent's prime rate, (y) the Federal Funds rate plus 0.50% and (z) the Term SOFR rate for a one-month tenor plus 1.00%) plus a margin ranging from 0% to 0.75% per year. In addition, the Company will be charged (1) a commitment fee of between 0.15% and 0.225% per year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unused portion of the New Credit Facility, (2) a letter of credit fee of between 1.00% and 1.75% per year with respect to the amount of each financial letter of credit issued under the New Credit Facility, and (3) a letter of credit fee of between 0.75% and 1.05% per year with respect to the amount of each performance letter of credit or commercial letter of credit issued under the New Credit Facility. The applicable margin for loans, the commitment fee and the letter of credit fees set forth above will vary quarterly based on the Company's consolidated total net leverage ratio.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prepay all loans under the New Credit Facility at any time without premium or penalty (other than customary Term SOFR rate breakage costs), subject to notice requirements.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contains representations and warranties, affirmative and negative covenants and events of default that the Company considers customary for an agreement of this type, including covenants setting a maximum consolidated total net leverage ratio and a minimum consolidated interest coverage ratio. If any event of default relating to bankruptcy or other insolvency events occurs with respect to the Company, the lenders’ commitments under the New Credit Facility will automatically terminate and all outstanding obligations under the New Credit Facility will immediately become due and payable. If any other event of default occurs, the lenders will be permitted to terminate their commitments under the New Credit Facility, accelerate all outstanding obligations under the New Credit Facility and exercise other rights and remedies, including the commencement of foreclosure or other actions against the collateral. Based on the total net leverage ratio applicable at March 31, 2026, the margin for Term SOFR and base rate loans was 1.50% and 0.50%, respectively, the letter of credit fee for financial letters of credit and performance letters of credit was 1.50% and 0.90%, respectively, and the commitment fee for the unused portion of the New Credit Facility was 0.20%.</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New Credit Facility contains various restrictive covenants, including with respect to debt, liens, investments, mergers, acquisitions, dividends, equity repurchases and asset sales. As of March 31, 2026, we were in compliance with all covenants set forth in the New Credit Facility.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letters of credit issued under the New Credit Facility totaled $1.4 million. We had no outstanding borrowings and $1,248.6 million available under the New Credit Facility for borrowings and to meet letter of credit requirements.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New Credit Facility generally includes customary events of default for a secured credit facility. Under the New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any default occurs under the New Credit Facility, or if we are unable to make any of the representations and warranties in the New Credit Facility, we will be unable to borrow funds or have letters of credit issued under the New Credit Facility.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2028</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due 2028, in whole or in part, at any time at a redemption price equal to 100.0% of the principal amount to be redeemed plus accrued and unpaid interest, if any, to, but excluding, the redemption date.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2020 Indenture contains customary events of default, including, among other things, payment default, failure to comply with covenants or agreements contained in the 2020 Indenture or the Senior Notes due 2028 and certain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related to bankruptcy events. The 2020 Indenture also contains customary negative covenants. As of March 31, 2026, we were in compliance with all covenants set forth in the 2020 Indenture and the Senior Notes due 2028.</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2029</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redeem the Senior Notes due 2029, in whole or in part, at any time at a redemption price equal to 100.0% of the principal amount to be redeemed if the redemption occurs on or after April 15, 2026, in each case plus accrued and unpaid interest, if any, to, but excluding, the redemption date.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March 31, 2026, we were in compliance with all covenants set forth in the 2021 Indenture and the Senior Notes due 2029.</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$1.25 billion aggregate principal amount of 0% Convertible Senior Notes due 2030 (the "2030 Notes"), including the exercise in full of the initial purchasers' option to purchase up to an additional $150.0 million principal amount of the 2030 Notes. The 2030 Notes were issued pursuant to an Indenture, dated November 19, 2025 (the "Indenture"), among the Company, certain of our subsidiaries, as guarantors, and U.S. Bank Trust Company, National Association, as trustee. The 2030 Notes are guaranteed by each of the Company's present and future direct and indirect wholly owned domestic subsidiaries that guarantee its existing and future capital markets indebtedness.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conversion rate for the 2030 Notes will initially be 3.8094 shares of common stock per $1,000 principal amount of the 2030 Notes, which is equivalent to an initial conversion price of approximately $262.51 per share of common stock. The conversion rate is subject to adjustment upon certain events. Upon conversion, the Company will settle conversions by paying cash up to the aggregate principal amount of the 2030 Notes to be converted and paying or delivering, as the case may be, cash, shares of common stock or a combination of cash and shares of common stock, at its election, in respect of the remainder, if any, of its conversion obligation in excess of the aggregate principal amount of the 2030 Notes being converted, based on the applicable conversion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will mature on November 1, 2030, unless earlier converted, redeemed or repurchased. The 2030 Notes will not bear regular interest, and the principal amount of the 2030 Notes will not accrete. However, special interest and additional interest, if any, may accrue on the 2030 Notes at a combined rate per annum not exceeding 0.50% upon the occurrence of certain events as described in the Indenture.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not redeem the 2030 Notes at its option before November 6, 2028. The Company will have the option to redeem the 2030 Notes, in whole or in part (subject to the partial redemption limitation described below), at any time, and from time to time, on or after November 6, 2028 and before the 26th Scheduled Trading Day (as defined in the Indenture) immediately before the maturity date, at a cash redemption price equal to the principal amount of the 2030 Notes to be redeemed, plus accrued and unpaid special interest and additional interest, if any, to, but excluding, the redemption date, but only if certain conditions are met.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or after August 1, 2030, until the close of business on the second Scheduled Trading Day (as defined in the Indenture) immediately before the maturity date, the 2030 Notes will be convertible at the option of the noteholders at any time.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Before August 1, 2030, noteholders will have the right to convert their 2030 Notes only under the following circumstances: (1) during any fiscal quarter commencing after the fiscal quarter ending on March 31, 2026, if the last reported sale price of the Company’s common stock exceeds 130% of the conversion price for each of at least 20 trading days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 not consecutive) during a period of 30 consecutive trading days ending on, and including, the last trading day of the immediately preceding fiscal quarter; (2) during the five consecutive business days immediately after any ten consecutive trading day period if the trading price per $1,000 principal amount of 2030 Notes for each trading day of the measurement period was less than 98% of the product of the last reported sale price per share of common stock on such trading day and the conversion rate on each Trading Day; (3) upon the occurrence of specified corporate events or distributions on the common stock as set forth in the Indenture; or (4) if the Company calls the 2030 Notes for redemption.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then, subject to certain exceptions, noteholders may require the Company to repurchase their 2030 Notes in whole or in part for cash at a price equal to the principal amount of the 2030 Notes to be repurchased, plus accrued and unpaid special interest and additional interest, if any, to, but excluding, the Fundamental Change Repurchase Date (as defined in the Indenture). The definition of Fundamental Change includes, among other things, certain business combination transactions involving the Company and certain de-listing events with respect to the common stock.</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and the exercise by the initial purchasers of their option in full to purchase additional 2030 Notes, respectively, the Company paid $131.9 million to enter into privately negotiated capped call transactions (the “Capped Call Transactions”) with affiliates of certain of the initial purchasers and certain other financial institutions (the “Option Counterparties”). The Capped Call Transactions have an expiration date of November 1, 2030 but may be redeemed earlier, subject to certain conditions.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cover, subject to anti-dilution adjustments substantially similar to those applicable to the 2030 Notes, the number of shares of common stock initially underlying the 2030 Notes. The Capped Call Transactions are expected generally to reduce the potential dilution to the holders of common stock upon any conversion of the 2030 Notes and/or offset any potential cash payments the Company is required to make in excess of the principal amount of converted 2030 Notes, as the case may be, with such reduction and/or offset subject to a cap. The cap price of the Capped Call Transactions will initially be $396.24 per share of common stock, which represents a premium of 100% over the last reported sale price of the common stock of $198.12 per share on November 5, 2025, and is subject to certain adjustments under the terms of the Capped Call Transactions.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Capped Call Transactions are separate transactions (in each case entered into by the Company with the Option Counterparties), are not part of the terms of the 2030 Notes and will not change the holders’ rights under the 2030 Notes. Holders will not have any rights with respect to the Capped Call Transactions. The Capped Call Transactions qualify for a scope exception from derivative accounting for instruments that are both indexed to the issuer's own stock and classified in stockholders' equity on our consolidated balance sheets.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and the Capped Call Transactions have been integrated for tax purposes. The impact of this tax treatment results in the Capped Call Transactions being deductible with the cost of the Capped Call Transactions qualifying as original issue discount for tax purposes over the term of the 2030 Notes.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March 31, 2026, surety bonds issued and outstanding under these arrangements totaled approximately $359.6 million.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Similarly, we have provided letters of credit and bank guarantees to governmental agencies and contractual counterparties to support regulatory and contractual obligations for certain decommissioning responsibilities, projects and legal matters. We utilize our New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New Credit Facility. Although there can be no assurance that we will maintain our bilateral letter of credit facility capacity, we believe our current capacity, together with capacity under our New Credit Facility, is adequate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support our existing requirements for the next 12 months. As of March 31, 2026, letters of credit and bank guarantees issued and outstanding under our bilateral letter of credit facility totaled approximately $50.7 million, and such letters of credit and bank guarantees are secured by the collateral under our New Credit Facility.</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Long-term Benefit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we had underfunded defined benefit pension and postretirement benefit plans with obligations totaling approximately $158.1 million. These long-term liabilities are expected to require use of our resources to satisfy future funding obligations. Based largely on statutory funding requirements, we expect to make contributions of approximately $16.3 million for the remainder of 2026 related to our pension and postretirement plans. We may also make additional contributions based on a variety of factors including, but not limited to, tax planning, evaluation of funded status and risk mitigation strategies.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domestic and foreign cash and cash equivalents, restricted cash and cash equivalents and investments as of March 31, 2026 and December 31, 2025 were as follows:</w:t>
      </w:r>
    </w:p>
    <w:tbl>
      <w:tblPr>
        <w:tblW w:w="3877"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working capital increased by $53.8 million to $942.2 million at March 31, 2026 from $888.3 million at December 31, 2025, primarily due to changes in contracts in progress and advance billings on contracts due to the timing of project cash flows and decreases in accrued employee benefits offset partially by increases in accounts payable and accrued liabilities.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increased by $42.0 million to $92.6 million in the three months ended March 31, 2026, compared to cash provided by operating activities of $50.7 million in the three months ended March 31, 2025. The increase in cash provided by operating activities was primarily attributable to the timing of vendor payments and project cash flows.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decreased by $109.4 million to $46.9 million in the three months ended March 31, 2026, compared to cash used in investing activities of $156.4 million in the three months ended March 31, 2025. The decrease in cash used in investing activities was primarily attributable to the acquisition of A.O.T. on January 3,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net cash used in financing activities increased by $119.0 million to $34.2 million in the three months ended March 31, 2026, compared to cash provided by financing activities of $84.8 million in the three months ended March 31, 2025. The increase in cash used in financing activities was primarily due to net borrowings of long-term debt of $141.9 million in the corresponding period in the prior year.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March 31, 2026, we had restricted cash and cash equivalents totaling $8.0 million, $4.8 million of which was held for future decommissioning of facilities (which is included in Other Assets on our condensed consolidated balance sheets) and $3.2 million of which was held to meet reinsurance reserve requirements of our captive insurer.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March 31, 2026, we had long-term investments with a fair value of $7.9 million and our investment portfolio consisted entirely of mutual funds. These equity securities are carried at fair value with the unrealized gains and losses reported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Requirements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discussed in Note 2 to our condensed consolidated financial statements, we announced our intention to acquire PCG. We expect to make a significant cash investment during 2026 to complete this acquisition.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we have sufficient cash and cash equivalents and borrowing capacity, along with cash generated from operations and continued access to capital markets, to satisfy our cash requirements for the next 12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exposures to market risks have not changed materially from those disclosed in Item 7A of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March 31, 2026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completed the acquisition of Kinectrics and started the process of integrating Kinectrics into our operations and internal control structure. Certain internal controls over financial reporting related to Kinectrics have been impacted by changes made to conform to existing controls and procedures of BWXT. Other than the changes resulting from the Kinectrics acquisition, there have been no changes in our internal control over financial reporting that have materially affected, or are reasonably likely to materially affect, our internal control over financial reporting. The integration of Kinectrics is expected to be completed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information regarding ongoing investigations and litigation, see Note 5 to our unaudited condensed consolidated financial statements in Part I of this Report, which we incorporate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in this Report, the other factors presented in Item 1A of our 2025 10-K are some of the factors that could materially affect our business, financial condition or future results. There have been no material changes to our risk factors from those disclosed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November 2012, we have periodically announced that our Board of Directors has authorized share repurchase programs. The following table provides information on our purchases of equity securities during the three months ended March 31, 2026. Any shares purchased that were not part of a publicly announced plan or program are related to repurchases of common stock pursuant to the provisions of employee benefit plans that permit the repurchase of shares to satisfy statutory tax withholding obligations.</w:t>
      </w:r>
    </w:p>
    <w:tbl>
      <w:tblPr>
        <w:tblW w:w="10205" w:type="dxa"/>
        <w:jc w:val="left"/>
        <w:tblInd w:w="0" w:type="dxa"/>
        <w:tblLayout w:type="fixed"/>
        <w:tblCellMar>
          <w:top w:w="28" w:type="dxa"/>
          <w:left w:w="28" w:type="dxa"/>
          <w:bottom w:w="28" w:type="dxa"/>
          <w:right w:w="28" w:type="dxa"/>
        </w:tblCellMar>
      </w:tblPr>
      <w:tblGrid>
        <w:gridCol w:w="607"/>
        <w:gridCol w:w="478"/>
        <w:gridCol w:w="483"/>
        <w:gridCol w:w="109"/>
        <w:gridCol w:w="109"/>
        <w:gridCol w:w="109"/>
        <w:gridCol w:w="425"/>
        <w:gridCol w:w="425"/>
        <w:gridCol w:w="426"/>
        <w:gridCol w:w="109"/>
        <w:gridCol w:w="109"/>
        <w:gridCol w:w="109"/>
        <w:gridCol w:w="211"/>
        <w:gridCol w:w="721"/>
        <w:gridCol w:w="109"/>
        <w:gridCol w:w="109"/>
        <w:gridCol w:w="109"/>
        <w:gridCol w:w="109"/>
        <w:gridCol w:w="1049"/>
        <w:gridCol w:w="1049"/>
        <w:gridCol w:w="1051"/>
        <w:gridCol w:w="109"/>
        <w:gridCol w:w="109"/>
        <w:gridCol w:w="109"/>
        <w:gridCol w:w="400"/>
        <w:gridCol w:w="1168"/>
        <w:gridCol w:w="295"/>
      </w:tblGrid>
      <w:tr>
        <w:trPr/>
        <w:tc>
          <w:tcPr>
            <w:tcW w:w="60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pPr>
            <w:r>
              <w:rPr>
                <w:rFonts w:ascii="Times New Roman;serif" w:hAnsi="Times New Roman;serif"/>
                <w:b/>
                <w:color w:val="000000"/>
                <w:sz w:val="20"/>
              </w:rPr>
              <w:t xml:space="preserve">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 of shares that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may yet be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under the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p>
            <w:pPr>
              <w:pStyle w:val="TableContents"/>
              <w:bidi w:val="0"/>
              <w:spacing w:lineRule="auto" w:line="240" w:before="0" w:after="0"/>
              <w:jc w:val="center"/>
              <w:rPr/>
            </w:pPr>
            <w:r>
              <w:rPr>
                <w:rFonts w:ascii="Times New Roman;serif" w:hAnsi="Times New Roman;serif"/>
                <w:b/>
                <w:color w:val="000000"/>
                <w:sz w:val="20"/>
              </w:rPr>
              <w:t xml:space="preserve">(in millions) </w:t>
            </w:r>
            <w:r>
              <w:rPr>
                <w:rFonts w:ascii="Times New Roman;serif" w:hAnsi="Times New Roman;serif"/>
                <w:b/>
                <w:color w:val="000000"/>
                <w:sz w:val="12"/>
              </w:rPr>
              <w:t>(2)</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93,461 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766, 90,286 and 2,409 shares repurchased during January, February and March,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(2)On April 30, 2021, our Board of Directors authorized us to repurchase an indeterminate number of shares of our common stock at an aggregate market value of up to $500 million with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676"/>
        <w:gridCol w:w="2649"/>
        <w:gridCol w:w="3783"/>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Amendment to Restated Certificate of Incorporation dated May 14, 2019 (incorporated by reference to Exhibit 3.1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 (incorporated by reference to Exhibit 3.2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"https://www.sec.gov/ix?doc=/Archives/edgar/data/0001486957/000148695725000032/bwxt-20250502.htm" \l "ifabfe6a709cf4446811566db7e35ce82_226"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Certificate of Amendment to Restated Certificate of Incorporation of BWX Technologies, Inc. dated May 5, 2025 (incorporated by reference to Exhibit 3.1 to the Company’s Current Report on Form 8-K filed with the SEC on May 3, 2025 (File No. 1-34658)).</w:t>
            </w:r>
            <w:r>
              <w:rPr>
                <w:rStyle w:val="InternetLink"/>
                <w:sz w:val="20"/>
                <w:u w:val="single"/>
                <w:b w:val="false"/>
                <w:rFonts w:ascii="Times New Roman;serif" w:hAnsi="Times New Roman;serif"/>
                <w:color w:val="0000FF"/>
              </w:rPr>
              <w:fldChar w:fldCharType="end"/>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effective August 2, 2023 (incorporated by reference to Exhibit 3.3 to the Company's Quarterly Report on Form 10-Q for the quarter ended June 30, 2023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_33126x10q.htm">
              <w:r>
                <w:rPr>
                  <w:rStyle w:val="InternetLink"/>
                  <w:rFonts w:ascii="Times New Roman;serif" w:hAnsi="Times New Roman;serif"/>
                  <w:b w:val="false"/>
                  <w:color w:val="000080"/>
                  <w:sz w:val="20"/>
                  <w:u w:val="single"/>
                </w:rPr>
                <w:t>Form of Performance Restrict</w:t>
              </w:r>
            </w:hyperlink>
            <w:hyperlink w:anchor="exhibit101_33126x10q.htm">
              <w:r>
                <w:rPr>
                  <w:rStyle w:val="InternetLink"/>
                  <w:rFonts w:ascii="Times New Roman;serif" w:hAnsi="Times New Roman;serif"/>
                  <w:b w:val="false"/>
                  <w:color w:val="000080"/>
                  <w:sz w:val="20"/>
                  <w:u w:val="single"/>
                </w:rPr>
                <w:t xml:space="preserve">ed Stock </w:t>
              </w:r>
            </w:hyperlink>
            <w:hyperlink w:anchor="exhibit101_33126x10q.htm">
              <w:r>
                <w:rPr>
                  <w:rStyle w:val="InternetLink"/>
                  <w:rFonts w:ascii="Times New Roman;serif" w:hAnsi="Times New Roman;serif"/>
                  <w:b w:val="false"/>
                  <w:color w:val="000080"/>
                  <w:sz w:val="20"/>
                  <w:u w:val="single"/>
                </w:rPr>
                <w:t>Units Grant Agreement for Employees</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33126x10q.htm">
              <w:r>
                <w:rPr>
                  <w:rStyle w:val="InternetLink"/>
                  <w:rFonts w:ascii="Times New Roman;serif" w:hAnsi="Times New Roman;serif"/>
                  <w:b w:val="false"/>
                  <w:color w:val="0000FF"/>
                  <w:sz w:val="20"/>
                  <w:u w:val="single"/>
                </w:rPr>
                <w:t>Rule 13a-14(a)/15d-14(a)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33126x10q.htm">
              <w:r>
                <w:rPr>
                  <w:rStyle w:val="InternetLink"/>
                  <w:rFonts w:ascii="Times New Roman;serif" w:hAnsi="Times New Roman;serif"/>
                  <w:b w:val="false"/>
                  <w:color w:val="0000FF"/>
                  <w:sz w:val="20"/>
                  <w:u w:val="single"/>
                </w:rPr>
                <w:t>Rule 13a-14(a)/15d-14(a)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33126x10q.htm">
              <w:r>
                <w:rPr>
                  <w:rStyle w:val="InternetLink"/>
                  <w:rFonts w:ascii="Times New Roman;serif" w:hAnsi="Times New Roman;serif"/>
                  <w:b w:val="false"/>
                  <w:color w:val="0000FF"/>
                  <w:sz w:val="20"/>
                  <w:u w:val="single"/>
                </w:rPr>
                <w:t>Section 1350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33126x10q.htm">
              <w:r>
                <w:rPr>
                  <w:rStyle w:val="InternetLink"/>
                  <w:rFonts w:ascii="Times New Roman;serif" w:hAnsi="Times New Roman;serif"/>
                  <w:b w:val="false"/>
                  <w:color w:val="0000FF"/>
                  <w:sz w:val="20"/>
                  <w:u w:val="single"/>
                </w:rPr>
                <w:t>Section 1350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ind w:left="0" w:right="0" w:firstLine="495"/>
        <w:jc w:val="left"/>
        <w:rPr/>
      </w:pPr>
      <w:hyperlink w:anchor="id3cc3a41ec5d447db60ab887e79dd04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63" w:type="dxa"/>
        <w:jc w:val="left"/>
        <w:tblInd w:w="0" w:type="dxa"/>
        <w:tblLayout w:type="fixed"/>
        <w:tblCellMar>
          <w:top w:w="28" w:type="dxa"/>
          <w:left w:w="28" w:type="dxa"/>
          <w:bottom w:w="28" w:type="dxa"/>
          <w:right w:w="28" w:type="dxa"/>
        </w:tblCellMar>
      </w:tblPr>
      <w:tblGrid>
        <w:gridCol w:w="417"/>
        <w:gridCol w:w="368"/>
        <w:gridCol w:w="370"/>
        <w:gridCol w:w="134"/>
        <w:gridCol w:w="134"/>
        <w:gridCol w:w="136"/>
        <w:gridCol w:w="1259"/>
        <w:gridCol w:w="1259"/>
        <w:gridCol w:w="178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BWX TECHNOLOGIES, INC.</w:t>
            </w:r>
          </w:p>
        </w:tc>
      </w:tr>
      <w:tr>
        <w:trPr/>
        <w:tc>
          <w:tcPr>
            <w:tcW w:w="5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Gorman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Gorman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Exhibit 10.1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FORM OF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PERFORMANCE RESTRICTED STOCK UNITS</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GRANT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To: </w:t>
      </w:r>
      <w:r>
        <w:rPr>
          <w:rFonts w:ascii="Times New Roman;serif" w:hAnsi="Times New Roman;serif"/>
          <w:b/>
          <w:color w:val="000000"/>
          <w:sz w:val="24"/>
        </w:rPr>
        <w:t>[________________]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accepting your grant online through the Schwab Equity Award Center, you agree that these incentives are granted under and governed by the terms and conditions of the BWX Technologies, Inc. 2020 Omnibus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and this</w:t>
      </w:r>
      <w:r>
        <w:rPr>
          <w:color w:val="000000"/>
        </w:rPr>
        <w:t xml:space="preserve"> </w:t>
      </w:r>
      <w:r>
        <w:rPr>
          <w:rFonts w:ascii="Times New Roman;serif" w:hAnsi="Times New Roman;serif"/>
          <w:b w:val="false"/>
          <w:color w:val="000000"/>
          <w:sz w:val="24"/>
        </w:rPr>
        <w:t>Performance Restricted Stock Units Grant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which is included in the online acceptance process. A copy of the Plan and the Prospectus relating to the stock issued under the Plan can be found at https://eac.schwab.com within the Messages inbox of your Schwab account. The Plan and Prospectus are incorporated by reference and made a part of the terms and conditions of your award. If you would like to receive a paper copy of either the Plan or Prospectus, please contact [______] at [_____] or [_____]@bwxt.com.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Effective [______]</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Date of Grant</w:t>
      </w:r>
      <w:r>
        <w:rPr>
          <w:color w:val="000000"/>
        </w:rPr>
        <w:t>”</w:t>
      </w:r>
      <w:r>
        <w:rPr>
          <w:rFonts w:ascii="Times New Roman;serif" w:hAnsi="Times New Roman;serif"/>
          <w:b w:val="false"/>
          <w:color w:val="000000"/>
          <w:sz w:val="24"/>
        </w:rPr>
        <w:t>), the Compensation Committee of the Board of Directors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of BWX Technologies, Inc. (“</w:t>
      </w:r>
      <w:r>
        <w:rPr>
          <w:rFonts w:ascii="Times New Roman;serif" w:hAnsi="Times New Roman;serif"/>
          <w:b w:val="false"/>
          <w:color w:val="000000"/>
          <w:sz w:val="24"/>
          <w:u w:val="single"/>
        </w:rPr>
        <w:t>BWXT</w:t>
      </w:r>
      <w:r>
        <w:rPr>
          <w:color w:val="000000"/>
        </w:rPr>
        <w:t>”</w:t>
      </w:r>
      <w:r>
        <w:rPr>
          <w:rFonts w:ascii="Times New Roman;serif" w:hAnsi="Times New Roman;serif"/>
          <w:b w:val="false"/>
          <w:color w:val="000000"/>
          <w:sz w:val="24"/>
        </w:rPr>
        <w:t>) awarded you a grant of performance-based Restricted Stock Units (“</w:t>
      </w:r>
      <w:r>
        <w:rPr>
          <w:rFonts w:ascii="Times New Roman;serif" w:hAnsi="Times New Roman;serif"/>
          <w:b w:val="false"/>
          <w:color w:val="000000"/>
          <w:sz w:val="24"/>
          <w:u w:val="single"/>
        </w:rPr>
        <w:t>Performance RSUs</w:t>
      </w:r>
      <w:r>
        <w:rPr>
          <w:color w:val="000000"/>
        </w:rPr>
        <w:t>”</w:t>
      </w:r>
      <w:r>
        <w:rPr>
          <w:rFonts w:ascii="Times New Roman;serif" w:hAnsi="Times New Roman;serif"/>
          <w:b w:val="false"/>
          <w:color w:val="000000"/>
          <w:sz w:val="24"/>
        </w:rPr>
        <w:t>) under the Plan. The provisions of the Plan are incorporated herein by reference and capitalized terms used but not otherwise defined in this Agreement have the meanings given them in the Plan. In the event of a discrepancy between the capitalized terms defined in this Agreement and in the Plan, this Agreement shall govern.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Any reference or definition contained in this Agreement shall, except as otherwise specified, be construed in accordance with the terms and conditions of the Plan and all determinations and interpretations made by the Committee with regard to any question arising hereunder or under the Plan shall be binding and conclusive on you and your legal representatives and beneficiaries. The term “BWXT” as used in this Agreement with reference to employment shall include subsidiaries of BWXT (including unconsolidated joint ventures). Whenever the words “you” or “your” are used in any provision of this Agreement under circumstances where the provision should logically be construed to apply to your beneficiary, estate, or personal representative, to whom any rights under this Agreement may be transferred by will or by the laws of descent and distribution, it shall be deemed to include such person.</w:t>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Performance RSUs</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Performance RSU Award</w:t>
      </w:r>
      <w:r>
        <w:rPr>
          <w:rFonts w:ascii="Times New Roman;serif" w:hAnsi="Times New Roman;serif"/>
          <w:b w:val="false"/>
          <w:color w:val="000000"/>
          <w:sz w:val="24"/>
        </w:rPr>
        <w:t>. You have been awarded [_______] performance-based restricted stock units (the “</w:t>
      </w:r>
      <w:r>
        <w:rPr>
          <w:rFonts w:ascii="Times New Roman;serif" w:hAnsi="Times New Roman;serif"/>
          <w:b w:val="false"/>
          <w:color w:val="000000"/>
          <w:sz w:val="24"/>
          <w:u w:val="single"/>
        </w:rPr>
        <w:t>Initial Performance RSUs</w:t>
      </w:r>
      <w:r>
        <w:rPr>
          <w:color w:val="000000"/>
        </w:rPr>
        <w:t>”</w:t>
      </w:r>
      <w:r>
        <w:rPr>
          <w:rFonts w:ascii="Times New Roman;serif" w:hAnsi="Times New Roman;serif"/>
          <w:b w:val="false"/>
          <w:color w:val="000000"/>
          <w:sz w:val="24"/>
        </w:rPr>
        <w:t>). These Performance RSUs represent a right to receive Shares, calculated as described below, provided (and to the extent that) the applicable performance measures and vesting requirements set forth in this Agreement have been satisfied. No Shares are awarded or issued to you on the Date of Grant.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Vesting Requirements</w:t>
      </w:r>
      <w:r>
        <w:rPr>
          <w:rFonts w:ascii="Times New Roman;serif" w:hAnsi="Times New Roman;serif"/>
          <w:b w:val="false"/>
          <w:color w:val="000000"/>
          <w:sz w:val="24"/>
        </w:rPr>
        <w:t>. Subject to Section 3 of this Agreement (the “Forfeiture of Performance RSUs” provision), Performance RSUs will become vested under one of the following circumstances, to the extent the Performance RSUs have not previously vested or become forfeited:</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percentage of the Initial Performance RSUs shall become vested on [the third anniversary of the Date of Grant (the “Third Anniversary Date”)] [________], provided you are still employed by BWXT (with the number in which you vest determined as described in Section 4 of this Agreement (the “Number of Performance RSUs” provision);</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[if your employment terminates on or after the first anniversary of the Date of Grant but prior to [the Third Anniversary Date] [________] due to an involuntary termination by BWXT without Cause, you will be eligible to vest in a number of Performance RSUs equal to the product of (a) the number of Performance RSUs that would have vested if you would have remained in the continuous employ of BWXT until [the Third Anniversary Date] [________] or the occurrence of a Change in Control that would otherwise result in vesting (whichever occurs first) multiplied by (b) a fraction, the numerator of which is the number of calendar days you are employed by BWXT during the Performance Period, and the denominator of which is the total number of calendar days in the Performance Period];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[if your employment terminates on or after the first anniversary of the Date of Grant but prior to _______ due to an involuntary termination by BWXT without Cause, 100% of the Initial Performance RSUs shall vest on the date of such termination];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[if your employment terminates on or after the first anniversary of the Date of Grant but prior to [the Third Anniversary Date] [________] due to Retirement (as defined below), you will be eligible to vest in a number of Performance RSUs equal to the number of Performance RSUs that would have vested if you would have remained in the continuous employ of BWXT until [the Third Anniversary Date] [________] or the occurrence of a Change in Control that would otherwise result in vesting (whichever occurs first)];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100% of the Initial Performance RSUs shall become vested prior to [the Third Anniversary Date] [________] on the earlier to occur of: (a) your death, or (b) your Disability; and</w:t>
      </w:r>
    </w:p>
    <w:p>
      <w:pPr>
        <w:pStyle w:val="TextBody"/>
        <w:bidi w:val="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 xml:space="preserve">the Committee may provide for additional vesting under other circumstances, in its sole discretion.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a Change in Control that occurs prior to the vesting or forfeiture of the Performance RSUs, the Performance RSUs shall be treated as set forth in Article 16 of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“Retirement” means termination of your employment with BWXT (other than for Cause) after attaining (i) at least 60 years of age and (ii) at least [5] [10] years of service with BWXT (with years of service calculated by reference from your “adjusted service date,” as determined by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Forfeiture of Performance RSUs</w:t>
      </w:r>
      <w:r>
        <w:rPr>
          <w:rFonts w:ascii="Times New Roman;serif" w:hAnsi="Times New Roman;serif"/>
          <w:b w:val="false"/>
          <w:color w:val="000000"/>
          <w:sz w:val="24"/>
        </w:rPr>
        <w:t>. Except as otherwise provided in Section 2 above, Performance RSUs which are not or do not become vested upon your termination of employment for any reason shall, coincident therewith, be forfeited and be of no force and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termination of your employment for Cause, as determined in the sole judgment of the Committee, all Performance RSUs and all rights or benefits awarded to you under this grant of Performance RSUs are forfeited, terminated and withdrawn immediately upon notice of such determination.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Number of Performance RSUs.</w:t>
      </w:r>
      <w:r>
        <w:rPr>
          <w:color w:val="000000"/>
        </w:rPr>
        <w:t xml:space="preserve"> </w:t>
      </w:r>
      <w:r>
        <w:rPr>
          <w:rFonts w:ascii="Times New Roman;serif" w:hAnsi="Times New Roman;serif"/>
          <w:b w:val="false"/>
          <w:color w:val="000000"/>
          <w:sz w:val="24"/>
        </w:rPr>
        <w:t xml:space="preserve">Except as otherwise provided in this Agreement and subject to adjustments permitted by the Plan, the number of Performance RSUs in which you will vest under this Agreement, if any, will be determined pursuant to the terms of Schedule 1 attached hereto and incorporated by reference. The maximum number of Performance RSUs in which you can vest is 200% of your Initial Performance RSUs and the minimum number of Performance RSUs in which you can vest is 0% of your Initial Performance RSUs.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calculation of the number of Performance RSUs in which you can vest will be determined over the Performance Period as set forth on Schedule 1 attached hereto and incorporated by reference herein. For purposes of this Agreement, the “</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means the period beginning on [__________] and ending on [___________].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Settlement of Performance RSUs</w:t>
      </w:r>
      <w:r>
        <w:rPr>
          <w:rFonts w:ascii="Times New Roman;serif" w:hAnsi="Times New Roman;serif"/>
          <w:b w:val="false"/>
          <w:color w:val="000000"/>
          <w:sz w:val="24"/>
        </w:rPr>
        <w:t>. You (or your beneficiary, if applicable) will receive one Share for each Performance RSU that vests under this Agreement. If you have made a permitted deferral election with respect to the Performance RSUs, then, subject to compliance with Section 409A of the Code (to the extent applicable), vested Performance RSUs shall be paid to you in accordance with such deferral election. If you have not made a permitted deferral election with respect to the Performance RSUs, vested Performance RSUs shall be paid to you as soon as administratively practicable after the Performance RSUs vest, but in no event later than the earlier of (a) March 15 following the end of the calendar year in which the Performance RSUs vest and (b) [________] (and in all events within the short-term deferral period for purposes of Section 409A of the Code).</w:t>
      </w:r>
    </w:p>
    <w:p>
      <w:pPr>
        <w:pStyle w:val="TextBody"/>
        <w:bidi w:val="0"/>
        <w:jc w:val="both"/>
        <w:rPr/>
      </w:pPr>
      <w:r>
        <w:rPr/>
      </w:r>
    </w:p>
    <w:p>
      <w:pPr>
        <w:pStyle w:val="TextBody"/>
        <w:bidi w:val="0"/>
        <w:spacing w:lineRule="auto" w:line="288" w:before="0" w:after="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Dividend, Voting Rights and Other Rights</w:t>
      </w:r>
      <w:r>
        <w:rPr>
          <w:rFonts w:ascii="Times New Roman;serif" w:hAnsi="Times New Roman;serif"/>
          <w:b w:val="false"/>
          <w:color w:val="000000"/>
          <w:sz w:val="24"/>
        </w:rPr>
        <w:t>. You shall have no rights of ownership in the Shares underlying the Performance RSUs and shall have no right to vote such Shares until the date on which the Shares are transferred to you pursuant hereto. From and after the Date of Grant and until the earlier of (a) the time when the Performance RSUs become vested and are paid in accordance with Section 5 hereof or (b) the time when your right to receive Shares in payment of the Performance RSUs is forfeited in accordance with Section 3 hereof, on the date that BWXT pays a cash dividend (if any) to holders of Shares generally, you shall be credited with cash per Performance RSU equal to the amount of such dividend. Any amounts credited pursuant to the immediately preceding sentence shall be subject to the same applicable terms and conditions (including vesting, payment and forfeitability) as apply to the Performance RSUs based on which the dividend equivalents were credited, and such amounts shall be paid in cash (without interest) at the same time as the Shares underlying the Performance RSUs to which they relate are delivered.</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Liability for Tax-Related Items</w:t>
      </w:r>
      <w:r>
        <w:rPr>
          <w:rFonts w:ascii="Times New Roman;serif" w:hAnsi="Times New Roman;serif"/>
          <w:b w:val="false"/>
          <w:color w:val="000000"/>
          <w:sz w:val="24"/>
        </w:rPr>
        <w:t>. Regardless of any action BWXT or your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takes with respect to any or all federal, state, local or foreign taxes or other tax-related amounts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xml:space="preserve">),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Performance RSUs, including the grant and vesting of Performance RSUs, subsequent delivery of Shares or the subsequent sale of any Shares acquired pursuant to such Performance RSUs and receipt of any dividend equivalent payments (if any) and (ii) do not commit to structure the terms or any aspect of this grant of Performance RSUs to reduce or eliminate your liability for Tax-Related Items. To the extent that BWXT or the Employer is required to withhold Tax-Related Items in connection with any payment made to or benefit realized by you or another person with respect to the Performance RSUs, you agree that, unless otherwise determined by the Committee,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7 to satisfy applicable Tax-Related Items exceed your estimated tax obligations attributable to the applicable transaction.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The Shares withheld as described above shall be credited against any such withholding requirement at the fair market value of such Shares on the date the applicable benefit is to be included in your income.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If the obligation for Tax-Related Items is satisfied by withholding a number of Shares as described herein, you understand that you will be deemed to have been issued the full number of Shares subject to the settled Performance RSUs, notwithstanding that a number of Shares are held back solely for the purpose of paying the Tax-Related Items due as a result of the settlement of the Performance RSUs. Notwithstanding anything herein to the contrary, if the Federal Insurance Contributions Act tax (“</w:t>
      </w:r>
      <w:r>
        <w:rPr>
          <w:rFonts w:ascii="Times New Roman;serif" w:hAnsi="Times New Roman;serif"/>
          <w:b w:val="false"/>
          <w:color w:val="000000"/>
          <w:sz w:val="24"/>
          <w:u w:val="single"/>
        </w:rPr>
        <w:t>FICA Tax</w:t>
      </w:r>
      <w:r>
        <w:rPr>
          <w:color w:val="000000"/>
        </w:rPr>
        <w:t>”</w:t>
      </w:r>
      <w:r>
        <w:rPr>
          <w:rFonts w:ascii="Times New Roman;serif" w:hAnsi="Times New Roman;serif"/>
          <w:b w:val="false"/>
          <w:color w:val="000000"/>
          <w:sz w:val="24"/>
        </w:rPr>
        <w:t xml:space="preserve">) imposed under Sections 3101, 3121(a) and 3121(v)(2) of the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Code becomes due with respect to any of the Performance RSUs prior to the payment of such Performance RSUs, BWXT or Employer will withhold from your cash compensation an amount sufficient to pay the FICA Tax with respect to such Performance RSUs.</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Transferability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Non-Transferability</w:t>
      </w:r>
      <w:r>
        <w:rPr>
          <w:rFonts w:ascii="Times New Roman;serif" w:hAnsi="Times New Roman;serif"/>
          <w:b w:val="false"/>
          <w:color w:val="000000"/>
          <w:sz w:val="24"/>
        </w:rPr>
        <w:t>. Performance RSUs granted hereunder are non-transferable other than by will or by the laws of descent and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Clawback Provisions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Recovery of Performance RSUs</w:t>
      </w:r>
      <w:r>
        <w:rPr>
          <w:rFonts w:ascii="Times New Roman;serif" w:hAnsi="Times New Roman;serif"/>
          <w:b w:val="false"/>
          <w:color w:val="000000"/>
          <w:sz w:val="24"/>
        </w:rPr>
        <w:t>.  In the event that BWXT is required to prepare an accounting restatement due to the material noncompliance of BWXT with any financial reporting requirement under the U.S. federal securities laws as a result of misconduct (a “</w:t>
      </w:r>
      <w:r>
        <w:rPr>
          <w:rFonts w:ascii="Times New Roman;serif" w:hAnsi="Times New Roman;serif"/>
          <w:b w:val="false"/>
          <w:color w:val="000000"/>
          <w:sz w:val="24"/>
          <w:u w:val="single"/>
        </w:rPr>
        <w:t>Restatement</w:t>
      </w:r>
      <w:r>
        <w:rPr>
          <w:color w:val="000000"/>
        </w:rPr>
        <w:t>”</w:t>
      </w:r>
      <w:r>
        <w:rPr>
          <w:rFonts w:ascii="Times New Roman;serif" w:hAnsi="Times New Roman;serif"/>
          <w:b w:val="false"/>
          <w:color w:val="000000"/>
          <w:sz w:val="24"/>
        </w:rPr>
        <w:t>) and the Board reasonably determines that you knowingly engaged in the misconduct, BWXT will have the right to recover the Performance RSUs granted during the three-year period preceding the date on which the Board or BWXT, as applicable, determines it is required to prepare the Restatement (the “</w:t>
      </w:r>
      <w:r>
        <w:rPr>
          <w:rFonts w:ascii="Times New Roman;serif" w:hAnsi="Times New Roman;serif"/>
          <w:b w:val="false"/>
          <w:color w:val="000000"/>
          <w:sz w:val="24"/>
          <w:u w:val="single"/>
        </w:rPr>
        <w:t>Three-Year Period</w:t>
      </w:r>
      <w:r>
        <w:rPr>
          <w:color w:val="000000"/>
        </w:rPr>
        <w:t>”</w:t>
      </w:r>
      <w:r>
        <w:rPr>
          <w:rFonts w:ascii="Times New Roman;serif" w:hAnsi="Times New Roman;serif"/>
          <w:b w:val="false"/>
          <w:color w:val="000000"/>
          <w:sz w:val="24"/>
        </w:rPr>
        <w:t>), or vested in whole or in part during the Three-Year Period, or the proceeds related to the Performance RSUs in the Three-Year Period, to the extent of any excess of what would have been granted to or would have vested for you under the Restatement.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Recovery Process</w:t>
      </w:r>
      <w:r>
        <w:rPr>
          <w:rFonts w:ascii="Times New Roman;serif" w:hAnsi="Times New Roman;serif"/>
          <w:b w:val="false"/>
          <w:color w:val="000000"/>
          <w:sz w:val="24"/>
        </w:rPr>
        <w:t xml:space="preserve">.  In the event a Restatement is required, the Board, based upon a recommendation by the Committee, will (a) review the Performance RSUs either granted or vested in whole or in part during the Three-Year Period and (b) in accordance with the provisions of this Agreement and the Plan, will take reasonable action to seek recovery of the amount of such Performance RSUs in excess of what would have been granted to or would have vested for you under the Restatement (but in no event more than the total amount of such Performance RSUs), as such excess amount is reasonably determined by the Board in its sole discretion, in compliance with Section 409A of the Code.  There shall be no duplication of recovery under Sections 9 and 10 of this Agreement and, to the extent that it applies to you, the BWX Technologies Inc. Policy for the Recovery of Erroneously Awarded Compensation. The clawback provisions of this Agreement are in addition to the forfeiture provisions contained in Section 3 of this Agreement (under the heading “Forfeiture of Performance RSUs”). Notwithstanding anything in this Agreement to the contrary, you acknowledge and agree that this Agreement and the award described herein (and any settlement thereof) are, to the extent that such policy is applicable to you, subject to the terms and conditions of the BWX Technologies, Inc. Policy for the Recovery of Erroneously Awarded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Other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No Guarantee of Continued Service</w:t>
      </w:r>
      <w:r>
        <w:rPr>
          <w:rFonts w:ascii="Times New Roman;serif" w:hAnsi="Times New Roman;serif"/>
          <w:b w:val="false"/>
          <w:color w:val="000000"/>
          <w:sz w:val="24"/>
        </w:rPr>
        <w:t>. Neither the action of BWXT in establishing the Plan, nor any action taken by it, by the Committee or by your employer, nor any provision of the Plan or this Agreement shall be construed as conferring upon you the right to be retained in the employment of BWXT or any of its subsidiaries or affiliates.</w:t>
      </w:r>
    </w:p>
    <w:p>
      <w:pPr>
        <w:pStyle w:val="TextBody"/>
        <w:bidi w:val="0"/>
        <w:jc w:val="both"/>
        <w:rPr/>
      </w:pPr>
      <w:r>
        <w:rPr/>
      </w:r>
    </w:p>
    <w:p>
      <w:pPr>
        <w:pStyle w:val="TextBody"/>
        <w:bidi w:val="0"/>
        <w:spacing w:lineRule="auto" w:line="288" w:before="0" w:after="20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Non-Solicitation of Covered Individuals</w:t>
      </w:r>
      <w:r>
        <w:rPr>
          <w:rFonts w:ascii="Times New Roman;serif" w:hAnsi="Times New Roman;serif"/>
          <w:b w:val="false"/>
          <w:color w:val="000000"/>
          <w:sz w:val="24"/>
        </w:rPr>
        <w:t>. In consideration of the grant of Performance RSUs provided under this Agreement, the sufficiency of which is expressly acknowledged, you agree that, during your employment and for the 12-month period following your termination of employment for any reason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you shall not, without the prior written consent of the Company, directly or indirectly, or on behalf of any person, (i) induce, entice or solicit (or attempt to induce, entice or solicit) any person who is an employee, consultant or independent contractor of the Company or any of its Affiliates or Ventures and with whom you worked or whose identity you learned during your employment (a “</w:t>
      </w:r>
      <w:r>
        <w:rPr>
          <w:rFonts w:ascii="Times New Roman;serif" w:hAnsi="Times New Roman;serif"/>
          <w:b w:val="false"/>
          <w:color w:val="000000"/>
          <w:sz w:val="24"/>
          <w:u w:val="single"/>
        </w:rPr>
        <w:t>Covered Individual</w:t>
      </w:r>
      <w:r>
        <w:rPr>
          <w:color w:val="000000"/>
        </w:rPr>
        <w:t>”</w:t>
      </w:r>
      <w:r>
        <w:rPr>
          <w:rFonts w:ascii="Times New Roman;serif" w:hAnsi="Times New Roman;serif"/>
          <w:b w:val="false"/>
          <w:color w:val="000000"/>
          <w:sz w:val="24"/>
        </w:rPr>
        <w:t>) to leave the employment of, or terminate or reduce the engagement with, the Company or any of its Affiliates or Ventures, or (ii) hire, engage, employ or assist any third party in hiring, engaging or employing any Covered Individual, or attempt to do same, who is at such time (or was within 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12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12,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12 shall survive the termination of your employment for any reason.</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If you should take actions in violation or breach of or in conflict with Section 12 hereof, the Company has the right to cause an immediate forfeiture of (i) your rights to any Performance RSUs, and (ii) with respect to the period commencing thirty-six (36) months prior to your termination of employment with the Company or any Affiliate and ending thirty-six (36) months following such termination of employment (A) a forfeiture of any gain recognized by you upon the sale of any Shares received as a result of the vesting of any Performance RSUs, and (B) a forfeiture of any vested Shares held by you as a result of the vesting of any Performance RSUs.</w:t>
      </w:r>
    </w:p>
    <w:p>
      <w:pPr>
        <w:pStyle w:val="TextBody"/>
        <w:bidi w:val="0"/>
        <w:spacing w:lineRule="auto" w:line="288" w:before="0" w:after="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Adjustments</w:t>
      </w:r>
      <w:r>
        <w:rPr>
          <w:rFonts w:ascii="Times New Roman;serif" w:hAnsi="Times New Roman;serif"/>
          <w:b w:val="false"/>
          <w:color w:val="000000"/>
          <w:sz w:val="24"/>
        </w:rPr>
        <w:t>. The Performance RSUs evidenced by this Agreement are subject to adjustment as provided in Sections 4.3 and 17.2 of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Compliance with Section 409A of the Code</w:t>
      </w:r>
      <w:r>
        <w:rPr>
          <w:rFonts w:ascii="Times New Roman;serif" w:hAnsi="Times New Roman;serif"/>
          <w:b w:val="false"/>
          <w:color w:val="000000"/>
          <w:sz w:val="24"/>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BWXT without your consent). Any reference in this Agreement to Section 409A of the Code will also include any proposed, temporary or final regulations, or any other guidance, promulgated with respect to such Section by the U.S. Department of the Treasury or the Internal Revenue Service.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Electronic Delivery</w:t>
      </w:r>
      <w:r>
        <w:rPr>
          <w:rFonts w:ascii="Times New Roman;serif" w:hAnsi="Times New Roman;serif"/>
          <w:b w:val="false"/>
          <w:color w:val="000000"/>
          <w:sz w:val="24"/>
        </w:rPr>
        <w:t xml:space="preserve">. BWXT may, in its sole discretion, deliver any documents related to the Performance RSUs and your participation in the Plan, or future awards that may be granted under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by electronic means or request your consent to participate in the Plan by electronic means. You hereby consent to receive such documents by electronic delivery and, if requested, agree to participate in the Plan through an on-line or electronic system established and maintained by BWXT or another third party designated by BWXT.</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Without limiting Section 8 hereof, the provisions of this Agreement shall inure to the benefit of, and be binding upon, your successors, administrators, heirs, legal representatives and assigns, and the successors and assigns of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Acknowledgement</w:t>
      </w:r>
      <w:r>
        <w:rPr>
          <w:rFonts w:ascii="Times New Roman;serif" w:hAnsi="Times New Roman;serif"/>
          <w:b w:val="false"/>
          <w:color w:val="000000"/>
          <w:sz w:val="24"/>
        </w:rPr>
        <w:t>. You acknowledge that you (a) have received a copy of the Plan, (b) have had an opportunity to review the terms of this Agreement and the Plan, (c) understand the terms and conditions of this Agreement and the Plan and (d) agree to such 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Country-Specific Special Terms and Conditions</w:t>
      </w:r>
      <w:r>
        <w:rPr>
          <w:rFonts w:ascii="Times New Roman;serif" w:hAnsi="Times New Roman;serif"/>
          <w:b w:val="false"/>
          <w:color w:val="000000"/>
          <w:sz w:val="24"/>
        </w:rPr>
        <w:t xml:space="preserve">. Notwithstanding any provisions in this Agreement, the Performance RSUs shall also be subject to the special terms and conditions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to this Agreement for your country of residence. Moreover, if you relocate to one of the countries included on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the special terms and conditions for such country will apply to you, to the extent BWXT determines that the application of such terms and conditions are necessary or advisable in order to comply with local law or facilitate the administration of the Plan.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constitutes part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Notice to Governmental Authority</w:t>
      </w:r>
      <w:r>
        <w:rPr>
          <w:rFonts w:ascii="Times New Roman;serif" w:hAnsi="Times New Roman;serif"/>
          <w:b w:val="false"/>
          <w:color w:val="000000"/>
          <w:sz w:val="24"/>
        </w:rPr>
        <w:t>. Notwithstanding anything in this Agreement to the contrary, nothing in this Agreement prevents you from providing, without prior notice to BWXT,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1934 Act.</w:t>
      </w:r>
    </w:p>
    <w:p>
      <w:pPr>
        <w:pStyle w:val="TextBody"/>
        <w:bidi w:val="0"/>
        <w:spacing w:before="0" w:after="20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COUNTRY-SPECIFIC SPECIAL TERMS AND CONDITIONS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Appendix A</w:t>
      </w:r>
      <w:r>
        <w:rPr>
          <w:rFonts w:ascii="Times New Roman;serif" w:hAnsi="Times New Roman;serif"/>
          <w:b w:val="false"/>
          <w:color w:val="000000"/>
          <w:sz w:val="24"/>
        </w:rPr>
        <w:t>, which is part of the BWXT Performance Restricted Stock Units Grant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contains additional and superseding terms and conditions of the Agreement that will apply to you if you reside in one of the countries listed below. It also includes information about certain other issues of which you should be aware with respect to your participation in the Plan. Such information is based on securities, exchange control, and other laws in effect in the respective countries as of [___________]. Capitalized terms used but not defined herein shall have the same meanings assigned to them in the Plan and/or the Agreement. By accepting the Performance RSUs, you agree to be bound by the terms and conditions contained in the paragraphs below in addition to the terms of the Plan, the Agreement, and the terms of any other document that may apply to you and your Performance RSUs.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You are advised to seek appropriate professional advice as to how the relevant laws in your country may apply to your situation.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Finally, if you are a citizen or resident of a country other than the one in which you are currently working, transferred employment after the Performance RSUs were granted to you, or are considered a resident of another country for local law purposes, the information contained herein may not apply.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u w:val="single"/>
        </w:rPr>
        <w:t>COUNTRIES COVERED BY THIS APPENDIX A</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 xml:space="preserve">Terms and Conditions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Canadian Residents.</w:t>
      </w:r>
      <w:r>
        <w:rPr>
          <w:color w:val="000000"/>
        </w:rPr>
        <w:t xml:space="preserve"> </w:t>
      </w:r>
      <w:r>
        <w:rPr>
          <w:rFonts w:ascii="Times New Roman;serif" w:hAnsi="Times New Roman;serif"/>
          <w:b w:val="false"/>
          <w:color w:val="000000"/>
          <w:sz w:val="24"/>
        </w:rPr>
        <w:t xml:space="preserve">The following terms and conditions apply to you if you are (a) resident in or primarily reporting to work in a province or territory of Canada; or (b) subject to Canadian taxation under the </w:t>
      </w:r>
      <w:r>
        <w:rPr>
          <w:rFonts w:ascii="Times New Roman;serif" w:hAnsi="Times New Roman;serif"/>
          <w:b w:val="false"/>
          <w:i/>
          <w:color w:val="000000"/>
          <w:sz w:val="24"/>
        </w:rPr>
        <w:t xml:space="preserve">Income Tax Act </w:t>
      </w:r>
      <w:r>
        <w:rPr>
          <w:rFonts w:ascii="Times New Roman;serif" w:hAnsi="Times New Roman;serif"/>
          <w:b w:val="false"/>
          <w:color w:val="000000"/>
          <w:sz w:val="24"/>
        </w:rPr>
        <w:t>(Canada) (the “</w:t>
      </w:r>
      <w:r>
        <w:rPr>
          <w:rFonts w:ascii="Times New Roman;serif" w:hAnsi="Times New Roman;serif"/>
          <w:b w:val="false"/>
          <w:color w:val="000000"/>
          <w:sz w:val="24"/>
          <w:u w:val="single"/>
        </w:rPr>
        <w:t>Tax Act</w:t>
      </w:r>
      <w:r>
        <w:rPr>
          <w:color w:val="000000"/>
        </w:rPr>
        <w:t>”</w:t>
      </w:r>
      <w:r>
        <w:rPr>
          <w:rFonts w:ascii="Times New Roman;serif" w:hAnsi="Times New Roman;serif"/>
          <w:b w:val="false"/>
          <w:color w:val="000000"/>
          <w:sz w:val="24"/>
        </w:rPr>
        <w:t>) and/or the taxing legislation of any province or territory of Canada.</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Additional Definitions.</w:t>
      </w:r>
      <w:r>
        <w:rPr>
          <w:color w:val="000000"/>
        </w:rPr>
        <w:t xml:space="preserve"> </w:t>
      </w:r>
      <w:r>
        <w:rPr>
          <w:rFonts w:ascii="Times New Roman;serif" w:hAnsi="Times New Roman;serif"/>
          <w:b w:val="false"/>
          <w:color w:val="000000"/>
          <w:sz w:val="24"/>
        </w:rPr>
        <w:t xml:space="preserve">For the purposes of the Agreement (including, for clarity, this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Active Employment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Actively Employed</w:t>
      </w:r>
      <w:r>
        <w:rPr>
          <w:color w:val="000000"/>
        </w:rPr>
        <w:t xml:space="preserve">” </w:t>
      </w:r>
      <w:r>
        <w:rPr>
          <w:rFonts w:ascii="Times New Roman;serif" w:hAnsi="Times New Roman;serif"/>
          <w:b w:val="false"/>
          <w:color w:val="000000"/>
          <w:sz w:val="24"/>
        </w:rPr>
        <w:t xml:space="preserve">shall mean the period during which you actually perform work for the Company or its Affiliates, which shall be deemed to include, as applicable: (i) any period of vacation, paid time off, Disability, or other leave of absence permitted by applicable legislation; and (ii) any period constituting the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minimum notice of termination period that is required to be provided to you, if any, pursuant to the employment standards legislation that is applicable to you (if any), but shall exclude any other period, including any period of reasonable notice at common law, that follows or ought to have followed the later of: (A) the end of the minimum notice of termination period that is required to be provided pursuant to applicable employment standards legislation; or (B) your last day of performing work for the Company and its Affiliates (including any period of vacation, paid time off, Disability, or other leave of absence permitted by applicable legislation), whether arising from a contractual or common law right, as applicable;</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4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Active Engagement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Actively Engaged</w:t>
      </w:r>
      <w:r>
        <w:rPr>
          <w:color w:val="000000"/>
        </w:rPr>
        <w:t xml:space="preserve">” </w:t>
      </w:r>
      <w:r>
        <w:rPr>
          <w:rFonts w:ascii="Times New Roman;serif" w:hAnsi="Times New Roman;serif"/>
          <w:b w:val="false"/>
          <w:color w:val="000000"/>
          <w:sz w:val="24"/>
        </w:rPr>
        <w:t>shall mean any period in which you provide services to BWXT. For certainty, “Active Engagement” or “Actively Engaged” shall be deemed to exclude any period that follows, or ought to have followed, the last day on which you provide services to BWXT;</w:t>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(i) your wilful misconduct, disobedience or wilful neglect of duty that is not trivial and that has not been condoned by the Company or its Affiliates; or (ii) the occurrence of such other event or circumstances as would permit the termination of your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employment without notice, payment in lieu of notice, and severance pay (if applicable) under the applicable employment standards legislation; </w:t>
      </w:r>
    </w:p>
    <w:p>
      <w:pPr>
        <w:pStyle w:val="TextBody"/>
        <w:bidi w:val="0"/>
        <w:spacing w:lineRule="auto" w:line="288" w:before="240" w:after="24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a permanent medical disability, as determined by BWXT in good faith and subject to obligations pursuant to applicable human rights legislation; and</w:t>
      </w:r>
    </w:p>
    <w:p>
      <w:pPr>
        <w:pStyle w:val="TextBody"/>
        <w:bidi w:val="0"/>
        <w:spacing w:lineRule="auto" w:line="288" w:before="0" w:after="0"/>
        <w:ind w:left="0" w:right="0" w:hanging="36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last day upon which you are Actively Employed or Actively Engaged, as applicable, with the Company or an Affiliate, whether such date is selected by you or unilaterally by the Company or an Affiliate.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 Requirements.</w:t>
      </w:r>
      <w:r>
        <w:rPr>
          <w:color w:val="000000"/>
        </w:rPr>
        <w:t xml:space="preserve"> </w:t>
      </w:r>
      <w:r>
        <w:rPr>
          <w:rFonts w:ascii="Times New Roman;serif" w:hAnsi="Times New Roman;serif"/>
          <w:b w:val="false"/>
          <w:color w:val="000000"/>
          <w:sz w:val="24"/>
        </w:rPr>
        <w:t xml:space="preserve">Section 2 of the Agreement (the “Vesting Requirements” provision) is deleted in its entirety and replaced with the following: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Subject to Section 3 of this Agreement (the “Forfeiture of Performance RSUs” provision) and your continued Active Employment or Active Engagement, as applicable, through the applicable vesting date, the Performance RSUs will become vested under one of the following circumstances, to the extent the Performance RSUs have not previously vested or become forfeited: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(a)a percentage of the Initial Performance RSUs shall become vested on [the third anniversary of the Date of Grant (the “</w:t>
      </w:r>
      <w:r>
        <w:rPr>
          <w:rFonts w:ascii="Times New Roman;serif" w:hAnsi="Times New Roman;serif"/>
          <w:b w:val="false"/>
          <w:color w:val="000000"/>
          <w:sz w:val="24"/>
          <w:u w:val="single"/>
        </w:rPr>
        <w:t>Third Anniversary Date</w:t>
      </w:r>
      <w:r>
        <w:rPr>
          <w:color w:val="000000"/>
        </w:rPr>
        <w:t>”</w:t>
      </w:r>
      <w:r>
        <w:rPr>
          <w:rFonts w:ascii="Times New Roman;serif" w:hAnsi="Times New Roman;serif"/>
          <w:b w:val="false"/>
          <w:color w:val="000000"/>
          <w:sz w:val="24"/>
        </w:rPr>
        <w:t>)] [________], provided that, except as otherwise set out herein, you must be and remain Actively Employed (as defined herein) with BWXT or an Affiliate on the Third Anniversary Date (with the number of Performance RSUs in which you vest determined as described in Section 4 of this Agreement (the “Number of Performance RSUs” provision));</w:t>
      </w:r>
    </w:p>
    <w:p>
      <w:pPr>
        <w:pStyle w:val="TextBody"/>
        <w:bidi w:val="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(b)[if you cease to be Actively Employed due to an involuntary termination by BWXT without Cause and the Termination Date (as defined herein) is on or after the first anniversary of the Date of Grant but prior to [the Third Anniversary Date] [________], you will be eligible to vest in a number of Performance RSUs equal to the product of: (i) the number of Performance RSUs that would have vested if you would have remained Actively Employed by BWXT or an Affiliate until [the Third Anniversary Date] [________] or the occurrence of a Change in Control that would otherwise result in vesting (whichever occurs first) multiplied by (ii) a fraction, the numerator of which is the number of calendar days you are Actively Employed by BWXT or an Affiliate during the Performance Period, and the denominator of which is the total number of calendar days in the Performance Period];</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(c)[if you cease to be Actively Employed on or after the first anniversary of the Date of Grant but prior to ________ due to an involuntary termination by BWXT without Cause, 100% of the Initial Performance Units shall vest on the date of such termination];</w:t>
      </w:r>
    </w:p>
    <w:p>
      <w:pPr>
        <w:pStyle w:val="TextBody"/>
        <w:bidi w:val="0"/>
        <w:spacing w:before="0" w:after="0"/>
        <w:jc w:val="left"/>
        <w:rPr/>
      </w:pPr>
      <w:r>
        <w:rPr/>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(d)[if you cease to be Actively Employed on or after the first anniversary of the Date of Grant but prior to [the Third Anniversary Date] [________] due to Retirement (as defined below), you will be eligible to vest in a number of Performance RSUs equal to the number of Performance RSUs that would have vested if you would have remained Actively Employed by BWXT or an Affiliate until [the Third Anniversary Date] [________] or the occurrence of a Change in Control that would otherwise result in vesting (whichever occurs first)];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(e)if you cease to be Actively Employed as a result of: (i) your death; or (ii) your Disability and the Termination Date is prior to the Third Anniversary Date, then 100% of the Initial Performance RSUs shall become vested prior to [the Third Anniversary Date] [_______] on the earlier of: (a) your Disability; and (b) your death;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(f)the Committee may provide for additional vesting under other circumstances, in its sole discretion.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a Change in Control that occurs prior to the vesting or forfeiture of the Performance RSUs, the Performance RSUs shall be treated as set forth in Article 16 of the Plan.</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[For the purposes of this Agreement, the term “</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 xml:space="preserve">means the voluntary termination of your employment with BWXT or its Affiliate (other than for Cause) after attaining (i) at least 60 years of age and (ii) at least [5] [10] years of service with BWXT and its Affiliates (with years of service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calculated by reference from your “adjusted service date,” as determined by the Company).]</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Forfeiture of Performance RSUs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Section 3 of the Agreement (the “Forfeiture of Performance RSUs” provision) is deleted in its entirety and replaced with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Except as otherwise provided in Section 2, all Performance RSUs which are not, or do not become, vested as of the Termination Date shall, coincident therewith, terminate and be of no force or effect as of the Termination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that your employment is terminated for Cause, as determined by the Committee, then all Performance RSUs and all rights or benefits awarded to you under this grant of Performance RSUs are forfeited, terminated and withdrawn immediately upon the Termination Date.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grant of Performance RSUs, you represent, warrant, acknowledge and agree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Plan is established voluntarily by BWXT, is discretionary in nature and may be modified, amended, suspended or terminated by BWXT at any time and from time to time;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(b)the grant of the Performance RSUs is voluntary and occasional and, except as expressly required by the applicable employment standards legislation, does not create any contractual or other right to receive future grants of Performance RSUs, or benefits in lieu of Performance RSUs, even if Performance RSUs have been granted repeatedly in the past;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(c)all decisions with respect to future Performance RSUs grants, if any, will be at the sole discretion of BWXT;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(d)you are voluntarily participating in the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(e)the Performance RSUs and the Shares subject to the Performance RSUs are an extraordinary item that does not constitute compensation of any kind for services of any kind rendered to BWXT or the Employer, and which is outside the scope of your employment contract, if any;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(f)the Performance RSUs and the Shares subject to the Performance RSUs are not intended to replace any pension rights or compensation;</w:t>
      </w:r>
    </w:p>
    <w:p>
      <w:pPr>
        <w:pStyle w:val="TextBody"/>
        <w:bidi w:val="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(g)except as expressly required by the applicable employment standards legislation, the Performance RSUs and the Shares subject to the Performance RSUs are not part of normal or expected compensation or salary for any purposes, including, but not limited to, calculating any severance, overtime, resignation, termination, redundancy, dismissal, end of service payments, bonuses, long-service awards, pension or retirement or welfare benefits or similar payments and in no event should the Performance RSUs be considered as compensation for, or relating in any way to, past services for BWXT, the Employer, or any</w:t>
      </w:r>
      <w:r>
        <w:rPr>
          <w:color w:val="000000"/>
        </w:rPr>
        <w:t xml:space="preserve"> </w:t>
      </w:r>
      <w:r>
        <w:rPr>
          <w:rFonts w:ascii="Times New Roman;serif" w:hAnsi="Times New Roman;serif"/>
          <w:b w:val="false"/>
          <w:color w:val="000000"/>
          <w:sz w:val="24"/>
        </w:rPr>
        <w:t>Subsidiary;</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(h)the Performance RSUs and your participation in the Plan will not be interpreted to form an employment contract or relationship with BWXT or any Subsidiary (other than the Employer);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(i)there is no promise of a particular monetary value associated with the vesting of any Performance RSUs;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(j)you have received, or have had the opportunity to receive independent legal advice in connection with the terms and conditions of this Agreement and the Plan (including the consequences of the cessation of your Active Employment or Active Engagement upon the Performance RSUs);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(k)BWXT and its Subsidiaries (including the Employer) reserve the right to terminate the employment of any person, regardless of the effect of such termination of employment on entitlements under the Agreement. You hereby waive, and irrevocably release BWXT and its Subsidiaries (including the Employer) from, any claim or entitlement to compensation or damages that may arise from any forfeiture of the Performance RSUs as a result of the cessation of vesting on and after the Termination Date; notwithstanding the foregoing, if your service terminates due to certain termination events as described in this Agreement, the Performance RSUs will be fully vested;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(l)the Performance RSUs and the benefits under the Plan, if any, will not automatically transfer to another company in the case of a merger, take-over or transfer of liability; and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(m)you acknowledge and agree that the execution of this Agreement is done freely and voluntarily, without inducement or duress.</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6.</w:t>
      </w:r>
      <w:r>
        <w:rPr>
          <w:rFonts w:ascii="Times New Roman;serif" w:hAnsi="Times New Roman;serif"/>
          <w:b/>
          <w:i/>
          <w:color w:val="000000"/>
          <w:sz w:val="24"/>
          <w:u w:val="single"/>
        </w:rPr>
        <w:t>Data Privacy</w:t>
      </w:r>
      <w:r>
        <w:rPr>
          <w:rFonts w:ascii="Times New Roman;serif" w:hAnsi="Times New Roman;serif"/>
          <w:b/>
          <w:i/>
          <w:color w:val="000000"/>
          <w:sz w:val="24"/>
        </w:rPr>
        <w:t>. You hereby explicitly and unambiguously consent to the collection, use and transfer, in electronic or other form, of your personal data as described in this Agreement, the Plan, and any other award materials by and among, as applicable, the Employer, BWXT, and its Subsidiaries for the exclusive purpose of implementing, administering and managing your participation in the Plan.</w:t>
      </w:r>
    </w:p>
    <w:p>
      <w:pPr>
        <w:pStyle w:val="TextBody"/>
        <w:bidi w:val="0"/>
        <w:spacing w:lineRule="auto" w:line="288"/>
        <w:jc w:val="both"/>
        <w:rPr>
          <w:rFonts w:ascii="Times New Roman;serif" w:hAnsi="Times New Roman;serif"/>
          <w:b/>
          <w:i/>
          <w:color w:val="000000"/>
          <w:sz w:val="24"/>
        </w:rPr>
      </w:pPr>
      <w:r>
        <w:rPr>
          <w:rFonts w:ascii="Times New Roman;serif" w:hAnsi="Times New Roman;serif"/>
          <w:b/>
          <w:i/>
          <w:color w:val="000000"/>
          <w:sz w:val="24"/>
        </w:rPr>
        <w:t xml:space="preserve">You understand that BWXT and the Employer may hold certain personal information about you, including but not limited to, your name, home address, email address and telephone number, date of birth, social insurance number, passport number or other identification number, salary, nationality, job title, any Shares or directorships held in </w:t>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 xml:space="preserve">BWXT, details of all awards or any other entitlement to Shares granted, canceled, purchased, exercised, vested, unvested or outstanding in your favor (“Data”), for the exclusive purpose of implementing, administering and managing the Plan.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You understand that Data will be transferred to any third parties assisting BWXT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BWXT and any other possible recipients which may assist BWXT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Liability for Tax-Related Items.</w:t>
      </w:r>
      <w:r>
        <w:rPr>
          <w:color w:val="000000"/>
        </w:rPr>
        <w:t xml:space="preserve"> </w:t>
      </w:r>
      <w:r>
        <w:rPr>
          <w:rFonts w:ascii="Times New Roman;serif" w:hAnsi="Times New Roman;serif"/>
          <w:b w:val="false"/>
          <w:color w:val="000000"/>
          <w:sz w:val="24"/>
        </w:rPr>
        <w:t xml:space="preserve">Section 7 of the Agreement (the “Liability for Tax-Related Items” provision) is deleted in its entirety and replaced with the following: </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val="false"/>
          <w:color w:val="000000"/>
          <w:sz w:val="24"/>
        </w:rPr>
        <w:t>Liability for Tax-Related Items. Regardless of any action BWXT or your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takes with respect to any or all federal, state, provincial, local, foreign, social insurance, payroll or other taxes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xml:space="preserve">),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Performance RSUs, including the grant and vesting of Performance RSUs, subsequent delivery of Shares or the subsequent sale of any Shares acquired pursuant to such Performance RSUs and any dividend equivalent (if any) and (ii) do not commit to structure the terms or any aspect of this grant of Performance RSUs to reduce or eliminate your liability for Tax-Related Items. To the extent that BWXT or the Employer is required to withhold Tax-Related Items in connection with any payment made to or benefit realized by you or another person with respect to the Performance RSUs, you agree that, unless otherwise determined by the Committee,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7 to satisfy applicable Tax-Related Items exceed </w:t>
      </w:r>
    </w:p>
    <w:p>
      <w:pPr>
        <w:pStyle w:val="TextBody"/>
        <w:bidi w:val="0"/>
        <w:spacing w:lineRule="auto" w:line="288" w:before="0" w:after="0"/>
        <w:jc w:val="both"/>
        <w:rPr/>
      </w:pPr>
      <w:r>
        <w:rPr>
          <w:rFonts w:ascii="Times New Roman;serif" w:hAnsi="Times New Roman;serif"/>
          <w:b w:val="false"/>
          <w:color w:val="000000"/>
          <w:sz w:val="24"/>
        </w:rPr>
        <w:t>your estimated tax obligations attributable to the applicable transaction. Furthermore, you may withdraw such agreement to withhold Shares at any time, provided that you make advance arrangements satisfactory to BWXT and the Employer to satisfy the withholding of Tax-Related Items as and when they become due.</w:t>
      </w:r>
      <w:r>
        <w:rPr>
          <w:color w:val="000000"/>
        </w:rPr>
        <w:t xml:space="preserve"> </w:t>
      </w:r>
      <w:r>
        <w:rPr>
          <w:rFonts w:ascii="Times New Roman;serif" w:hAnsi="Times New Roman;serif"/>
          <w:b w:val="false"/>
          <w:color w:val="000000"/>
          <w:sz w:val="24"/>
        </w:rPr>
        <w:t>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Any Shares withheld as described above shall be credited against any such withholding requirement at the fair market value of such Shares on the date the applicable benefit is to be included in your income.</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If the obligation for Tax-Related Items is satisfied by withholding a number of Shares as described herein, you understand that you will be deemed to have been issued the full number of Shares subject to the settled Performance RSUs, notwithstanding that a number of Shares are held back solely for the purpose of paying the Tax-Related Items due as a result of the settlement of the Performance RSUs. Notwithstanding anything herein to the contrary, if the Federal Insurance Contributions Act tax (“</w:t>
      </w:r>
      <w:r>
        <w:rPr>
          <w:rFonts w:ascii="Times New Roman;serif" w:hAnsi="Times New Roman;serif"/>
          <w:b w:val="false"/>
          <w:color w:val="000000"/>
          <w:sz w:val="24"/>
          <w:u w:val="single"/>
        </w:rPr>
        <w:t>FICA Tax</w:t>
      </w:r>
      <w:r>
        <w:rPr>
          <w:color w:val="000000"/>
        </w:rPr>
        <w:t>”</w:t>
      </w:r>
      <w:r>
        <w:rPr>
          <w:rFonts w:ascii="Times New Roman;serif" w:hAnsi="Times New Roman;serif"/>
          <w:b w:val="false"/>
          <w:color w:val="000000"/>
          <w:sz w:val="24"/>
        </w:rPr>
        <w:t>) imposed under Sections 3101, 3121(a) and 3121(v)(2) of the Code becomes due with respect to any of the Performance RSUs prior to the payment of such Performance RSUs, BWXT or Employer will withhold from your cash compensation an amount sufficient to pay the FICA Tax with respect to such Performance RSUs.</w:t>
      </w:r>
    </w:p>
    <w:p>
      <w:pPr>
        <w:pStyle w:val="TextBody"/>
        <w:bidi w:val="0"/>
        <w:spacing w:before="0" w:after="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Recovery of Performance RSUs</w:t>
      </w:r>
      <w:r>
        <w:rPr>
          <w:rFonts w:ascii="Times New Roman;serif" w:hAnsi="Times New Roman;serif"/>
          <w:b w:val="false"/>
          <w:color w:val="000000"/>
          <w:sz w:val="24"/>
        </w:rPr>
        <w:t xml:space="preserve">. Section 9 of the Agreement (the “Recovery of Performance RSUs” provision) is deleted in its entirety and replaced with the following: </w:t>
      </w:r>
    </w:p>
    <w:p>
      <w:pPr>
        <w:pStyle w:val="TextBody"/>
        <w:bidi w:val="0"/>
        <w:spacing w:lineRule="auto" w:line="288" w:before="0" w:after="0"/>
        <w:jc w:val="both"/>
        <w:rPr/>
      </w:pPr>
      <w:r>
        <w:rPr>
          <w:rFonts w:ascii="Times New Roman;serif" w:hAnsi="Times New Roman;serif"/>
          <w:b w:val="false"/>
          <w:color w:val="000000"/>
          <w:sz w:val="24"/>
        </w:rPr>
        <w:t>In the event that BWXT is required to prepare an accounting restatement due to the material noncompliance of BWXT with any financial reporting requirement under the U.S. federal securities laws as a result of misconduct (a “</w:t>
      </w:r>
      <w:r>
        <w:rPr>
          <w:rFonts w:ascii="Times New Roman;serif" w:hAnsi="Times New Roman;serif"/>
          <w:b w:val="false"/>
          <w:color w:val="000000"/>
          <w:sz w:val="24"/>
          <w:u w:val="single"/>
        </w:rPr>
        <w:t>Restatement</w:t>
      </w:r>
      <w:r>
        <w:rPr>
          <w:color w:val="000000"/>
        </w:rPr>
        <w:t>”</w:t>
      </w:r>
      <w:r>
        <w:rPr>
          <w:rFonts w:ascii="Times New Roman;serif" w:hAnsi="Times New Roman;serif"/>
          <w:b w:val="false"/>
          <w:color w:val="000000"/>
          <w:sz w:val="24"/>
        </w:rPr>
        <w:t>) and the Board reasonably determines that you knowingly engaged in the misconduct, subject to applicable employment standards legislation, BWXT will have the right to recover the Performance RSUs granted during the three-year period preceding the date on which the Board or BWXT, as applicable, determines it is required to prepare the Restatement (the “</w:t>
      </w:r>
      <w:r>
        <w:rPr>
          <w:rFonts w:ascii="Times New Roman;serif" w:hAnsi="Times New Roman;serif"/>
          <w:b w:val="false"/>
          <w:color w:val="000000"/>
          <w:sz w:val="24"/>
          <w:u w:val="single"/>
        </w:rPr>
        <w:t>Three-Year Period</w:t>
      </w:r>
      <w:r>
        <w:rPr>
          <w:color w:val="000000"/>
        </w:rPr>
        <w:t>”</w:t>
      </w:r>
      <w:r>
        <w:rPr>
          <w:rFonts w:ascii="Times New Roman;serif" w:hAnsi="Times New Roman;serif"/>
          <w:b w:val="false"/>
          <w:color w:val="000000"/>
          <w:sz w:val="24"/>
        </w:rPr>
        <w:t>), or vested in whole or in part during the Three-Year Period, or the proceeds related to the Performance RSUs in the Three-Year Period, to the extent of any excess of what would have been granted to or would have vested for you under the Restatement.</w:t>
      </w:r>
    </w:p>
    <w:p>
      <w:pPr>
        <w:pStyle w:val="TextBody"/>
        <w:bidi w:val="0"/>
        <w:spacing w:before="0" w:after="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Non-Solicitation of Covered Individuals</w:t>
      </w:r>
      <w:r>
        <w:rPr>
          <w:rFonts w:ascii="Times New Roman;serif" w:hAnsi="Times New Roman;serif"/>
          <w:b w:val="false"/>
          <w:color w:val="000000"/>
          <w:sz w:val="24"/>
        </w:rPr>
        <w:t xml:space="preserve">. Section 12 of the Agreement (the “Non-Solicitation of Covered Individuals” provision) is deleted in its entirety and replaced with the following: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In consideration of the grant of Performance RSUs provided under this Agreement, the sufficiency of which is expressly acknowledged, you agree that, during your employment and for the twelve (12) month period following your Termination Date, you shall not, without the prior written consent of the Company, directly or </w:t>
      </w:r>
    </w:p>
    <w:p>
      <w:pPr>
        <w:pStyle w:val="TextBody"/>
        <w:bidi w:val="0"/>
        <w:spacing w:lineRule="auto" w:line="288" w:before="0" w:after="0"/>
        <w:jc w:val="both"/>
        <w:rPr/>
      </w:pPr>
      <w:r>
        <w:rPr>
          <w:rFonts w:ascii="Times New Roman;serif" w:hAnsi="Times New Roman;serif"/>
          <w:b w:val="false"/>
          <w:color w:val="000000"/>
          <w:sz w:val="24"/>
        </w:rPr>
        <w:t>indirectly, or on behalf of any person, (i) entice or solicit (or attempt to entice or solicit) any person who is an employee, consultant or independent contractor of the Company or any of its Affiliates or Ventures and with whom you had contact in the course of your employment with the Company during the two (2) year period immediately before the Termination Date (or, if shorter, such period as you are / were employed) (a “</w:t>
      </w:r>
      <w:r>
        <w:rPr>
          <w:rFonts w:ascii="Times New Roman;serif" w:hAnsi="Times New Roman;serif"/>
          <w:b w:val="false"/>
          <w:color w:val="000000"/>
          <w:sz w:val="24"/>
          <w:u w:val="single"/>
        </w:rPr>
        <w:t>Covered Individual</w:t>
      </w:r>
      <w:r>
        <w:rPr>
          <w:color w:val="000000"/>
        </w:rPr>
        <w:t>”</w:t>
      </w:r>
      <w:r>
        <w:rPr>
          <w:rFonts w:ascii="Times New Roman;serif" w:hAnsi="Times New Roman;serif"/>
          <w:b w:val="false"/>
          <w:color w:val="000000"/>
          <w:sz w:val="24"/>
        </w:rPr>
        <w:t>) to leave the employment of, or terminate or reduce the engagement with, the Company or any of its Affiliates or Ventures, or (ii) assist any third party in soliciting any Covered Individual, or attempt to do same, who is at such time (or was within 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12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12,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12 shall survive the termination of your employment for any reason.</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should take actions in violation or breach of or in conflict with Section 12 hereof, the Company has the right to cause an immediate forfeiture of (i) your rights to any Performance RSUs, and (ii) with respect to the period commencing thirty-six (36) months prior to your termination of employment with the Company or any Affiliate and ending thirty-six (36) months following such termination of employment (A) a forfeiture of any gain recognized by you upon the sale of any Shares received as a result of the vesting of any Performance RSUs, and (B) a forfeiture of any vested Shares held by you as a result of the vesting of any Performance RSUs.</w:t>
      </w:r>
    </w:p>
    <w:p>
      <w:pPr>
        <w:pStyle w:val="TextBody"/>
        <w:bidi w:val="0"/>
        <w:spacing w:before="0" w:after="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Language Consent</w:t>
      </w:r>
      <w:r>
        <w:rPr>
          <w:rFonts w:ascii="Times New Roman;serif" w:hAnsi="Times New Roman;serif"/>
          <w:b w:val="false"/>
          <w:color w:val="000000"/>
          <w:sz w:val="24"/>
        </w:rPr>
        <w:t>. The following provision will apply to residents of Quebec: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parties acknowledge that it is their express wish that this Agreement, as well as all documents, notices, and legal proceedings entered into, given or instituted pursuant hereto or relating directly or indirectly hereto, be drawn up in English.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before="0" w:after="0"/>
        <w:jc w:val="both"/>
        <w:rPr/>
      </w:pPr>
      <w:r>
        <w:rPr/>
      </w:r>
    </w:p>
    <w:p>
      <w:pPr>
        <w:pStyle w:val="TextBody"/>
        <w:bidi w:val="0"/>
        <w:spacing w:lineRule="auto" w:line="288"/>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Dividend Equivalents Settled in Shares Only</w:t>
      </w:r>
      <w:r>
        <w:rPr>
          <w:rFonts w:ascii="Times New Roman;serif" w:hAnsi="Times New Roman;serif"/>
          <w:b w:val="false"/>
          <w:color w:val="000000"/>
          <w:sz w:val="24"/>
        </w:rPr>
        <w:t xml:space="preserve">. Notwithstanding anything to the contrary in the Plan and/or this Agreement, any dividend equivalents credited shall be in the form of additional Performance RSUs that are subject to the same terms and conditions, including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vesting and time of settlement, as the Performance RSUs to which they relate and shall only be settled in Shares.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Performance RSUs Settled in Shares Only</w:t>
      </w:r>
      <w:r>
        <w:rPr>
          <w:rFonts w:ascii="Times New Roman;serif" w:hAnsi="Times New Roman;serif"/>
          <w:b w:val="false"/>
          <w:color w:val="000000"/>
          <w:sz w:val="24"/>
        </w:rPr>
        <w:t>. Notwithstanding anything to the contrary in the Plan and/or this Agreement, the Company shall not have the right unilaterally to cause you to surrender all or a portion of your Performance RSUs for cash in lieu of Shares (including with respect to cash amounts required to satisfy Tax-Related Items). However, from time to time, the Committee may provide you with the right to elect (which right may be time-limited and/or tied to the occurrence of contingent events, at the Committee’s sole discretion) to surrender such Performance RSUs for a cash compensation payment. Any Performance RSUs that you have not elected to be surrendered for cash compensation shall only be settled in Shares or, if so determined by the Committee and communicated to you in advance, forfeited.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Form of Payment</w:t>
      </w:r>
      <w:r>
        <w:rPr>
          <w:rFonts w:ascii="Times New Roman;serif" w:hAnsi="Times New Roman;serif"/>
          <w:b w:val="false"/>
          <w:color w:val="000000"/>
          <w:sz w:val="24"/>
        </w:rPr>
        <w:t>. Notwithstanding any language to the contrary in the Plan, you are prohibited from surrendering Shares that you already own or from attesting to the ownership of Shares to pay any tax withholding in connection with Performance RSUs granted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 xml:space="preserve">No Fractional Shares. </w:t>
      </w:r>
      <w:r>
        <w:rPr>
          <w:rFonts w:ascii="Times New Roman;serif" w:hAnsi="Times New Roman;serif"/>
          <w:b w:val="false"/>
          <w:color w:val="000000"/>
          <w:sz w:val="24"/>
        </w:rPr>
        <w:t>Notwithstanding anything to the contrary in the Plan, no payment or other compensation shall be provided with respect to fractional Shares, which shall be rounded down to the nearest whole number of Shares.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Common Law Waiver</w:t>
      </w:r>
      <w:r>
        <w:rPr>
          <w:rFonts w:ascii="Times New Roman;serif" w:hAnsi="Times New Roman;serif"/>
          <w:b w:val="false"/>
          <w:color w:val="000000"/>
          <w:sz w:val="24"/>
        </w:rPr>
        <w:t>. For absolute certainty, by accepting and executing this Agreement, you specifically represent, warrant and acknowledge that you have read and understood the terms and conditions set out in Section 4 and the definitions of “Actively Employed”, “Actively Engaged” and “Termination Date” in this Agreement, which: (i) have the effect that you shall have no entitlement to damages or other compensation whatsoever arising from, in lieu of, or related to any Performance RSU which would have vested or been granted after your Termination Date, including but not limited to damages in lieu of notice at common law; and (ii) have the effect that no period of contractual or common law reasonable notice that exceeds your minimum statutory notice period under applicable employment standards legislation (if any), shall be used for the purposes of calculating your entitlement under the Plan or this Agreement. By accepting and executing this Agreement, you further waive any eligibility to receive damages or payment in lieu of any forfeited Performance RSUs that would have vested or accrued during any contractual or common law reasonable notice period that exceeds your minimum statutory notice period under the applicable employment standards legislation (if any).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Acknowledgement</w:t>
      </w:r>
      <w:r>
        <w:rPr>
          <w:rFonts w:ascii="Times New Roman;serif" w:hAnsi="Times New Roman;serif"/>
          <w:b w:val="false"/>
          <w:color w:val="000000"/>
          <w:sz w:val="24"/>
        </w:rPr>
        <w:t>. Section 18 of the Agreement (the “Acknowledgment” provision) is deleted in its entirety and replaced with the following:</w:t>
      </w:r>
    </w:p>
    <w:p>
      <w:pPr>
        <w:pStyle w:val="TextBody"/>
        <w:bidi w:val="0"/>
        <w:spacing w:before="0" w:after="0"/>
        <w:ind w:left="0" w:right="0" w:hanging="72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"By accepting and executing this Agreement, you further represent, warrant and acknowledge that: (a) have received a copy of the Plan, (b) have had an opportunity to review the terms of this Agreement and the Plan, (c) understand the terms and conditions of this Agreement and the Plan, (d) the terms and conditions of the Plan are fair and reasonable and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 will not make a claim to the contrary, (e) agree to such terms and conditions, and (f) you have read and understood the Plan and this Agreement, and agree to the terms and conditions thereof including, without limitation, the definitions of “Active Employment”, “Active Engagement”, “Termination Date” and Sections 4, 9 and 10 of this Agreement."</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 xml:space="preserve">Notifications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Additional Restrictions on Resale</w:t>
      </w:r>
      <w:r>
        <w:rPr>
          <w:rFonts w:ascii="Times New Roman;serif" w:hAnsi="Times New Roman;serif"/>
          <w:b w:val="false"/>
          <w:color w:val="000000"/>
          <w:sz w:val="24"/>
        </w:rPr>
        <w:t>. In addition to the restrictions on resale and transfer noted in the Plan materials, securities purchased under the Plan may be subject to certain restrictions on resale imposed by Canadian provincial securities laws. You are encouraged to seek legal advice prior to any resale of such securities. In general, participants resident in Canada may resell their securities in transactions carried out on exchanges outside of Canada</w:t>
      </w:r>
      <w:r>
        <w:rPr>
          <w:color w:val="000000"/>
        </w:rPr>
        <w:t xml:space="preserve"> </w:t>
      </w:r>
      <w:r>
        <w:rPr>
          <w:rFonts w:ascii="Times New Roman;serif" w:hAnsi="Times New Roman;serif"/>
          <w:b w:val="false"/>
          <w:color w:val="000000"/>
          <w:sz w:val="24"/>
        </w:rPr>
        <w:t xml:space="preserve">and, in particular, you are generally permitted to sell Shares acquired pursuant to the Plan through the designated broker appointed under the Plan, if any, provided that BWXT is a foreign issuer that is not public in Canada and the sale of the Shares acquired pursuant to the Plan takes place: (i) through an exchange, or a market, outside of Canada on the distribution date; or (ii) to a person or company outside of Canada. For purposes hereof, a foreign issuer is an issuer that: (a) is not incorporated or existing pursuant to the laws of Canada or any jurisdiction of Canada; (b) does not have its head office in Canada; and (c) does not have a majority of its executive officers or directors ordinarily resident in Canada.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Tax Reporting.</w:t>
      </w:r>
      <w:r>
        <w:rPr>
          <w:color w:val="000000"/>
        </w:rPr>
        <w:t xml:space="preserve"> </w:t>
      </w:r>
      <w:r>
        <w:rPr>
          <w:rFonts w:ascii="Times New Roman;serif" w:hAnsi="Times New Roman;serif"/>
          <w:b w:val="false"/>
          <w:color w:val="000000"/>
          <w:sz w:val="24"/>
        </w:rPr>
        <w:t>You acknowledge that the Tax Act and the regulations thereunder require a Canadian resident individual (among others) to file an information return disclosing prescribed information where, at any time in a tax year, the total cost amount of such individual’s “specified foreign property” (which includes shares, options, restricted stock units, and performance-based restricted stock units) exceeds Cdn.$100,000. You acknowledge having had the opportunity to consult your own tax advisor regarding this reporting requirement and agree that such requirement is solely your responsibility.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Non-Qualified Security.</w:t>
      </w:r>
      <w:r>
        <w:rPr>
          <w:color w:val="000000"/>
        </w:rPr>
        <w:t xml:space="preserve"> </w:t>
      </w:r>
      <w:r>
        <w:rPr>
          <w:rFonts w:ascii="Times New Roman;serif" w:hAnsi="Times New Roman;serif"/>
          <w:b w:val="false"/>
          <w:color w:val="000000"/>
          <w:sz w:val="24"/>
        </w:rPr>
        <w:t>In the event that BWXT or the Employer is at any time concurrent with a grant of a Performance RSU a “specified person” as defined in subsection 110(0.1) of the Tax Act, each Share subject to such Performance RSU is hereby designated a “non-qualified security” within the meaning of section 110 of the Tax Act.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Rex D. Geveden,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March 31, 2026;</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May 4, 2026</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Mike T. Fitzgerald,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March 31, 2026;</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pPr>
      <w:r>
        <w:rPr>
          <w:color w:val="000000"/>
        </w:rPr>
        <w:t> </w:t>
      </w:r>
      <w:r>
        <w:rPr>
          <w:rFonts w:ascii="Times New Roman;serif" w:hAnsi="Times New Roman;serif"/>
          <w:b w:val="false"/>
          <w:color w:val="000000"/>
          <w:sz w:val="20"/>
        </w:rPr>
        <w:t>May 4, 2026</w:t>
      </w:r>
    </w:p>
    <w:tbl>
      <w:tblPr>
        <w:tblW w:w="4482" w:type="dxa"/>
        <w:jc w:val="left"/>
        <w:tblInd w:w="0" w:type="dxa"/>
        <w:tblLayout w:type="fixed"/>
        <w:tblCellMar>
          <w:top w:w="28" w:type="dxa"/>
          <w:left w:w="28" w:type="dxa"/>
          <w:bottom w:w="28" w:type="dxa"/>
          <w:right w:w="28" w:type="dxa"/>
        </w:tblCellMar>
      </w:tblPr>
      <w:tblGrid>
        <w:gridCol w:w="124"/>
        <w:gridCol w:w="109"/>
        <w:gridCol w:w="109"/>
        <w:gridCol w:w="1209"/>
        <w:gridCol w:w="1209"/>
        <w:gridCol w:w="1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March 31, 2026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527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939"/>
        <w:gridCol w:w="939"/>
        <w:gridCol w:w="133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March 31, 2026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620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209"/>
        <w:gridCol w:w="1209"/>
        <w:gridCol w:w="172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6957/000148695719000022/exhibit31_51419.htm" TargetMode="External"/><Relationship Id="rId3" Type="http://schemas.openxmlformats.org/officeDocument/2006/relationships/hyperlink" Target="https://www.sec.gov/Archives/edgar/data/1486957/000148695719000022/exhibit31_51419.htm" TargetMode="External"/><Relationship Id="rId4" Type="http://schemas.openxmlformats.org/officeDocument/2006/relationships/hyperlink" Target="https://www.sec.gov/Archives/edgar/data/1486957/000148695723000033/exhibit33-amendedandresta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24504</Words>
  <Characters>135431</Characters>
  <CharactersWithSpaces>158868</CharactersWithSpaces>
  <Paragraphs>2407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